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68" w:rsidRDefault="00BD7E29" w:rsidP="00BD7E29">
      <w:pPr>
        <w:jc w:val="center"/>
        <w:rPr>
          <w:b/>
          <w:sz w:val="36"/>
        </w:rPr>
      </w:pPr>
      <w:r w:rsidRPr="00873404">
        <w:rPr>
          <w:b/>
          <w:sz w:val="36"/>
        </w:rPr>
        <w:t>Compte rendu du CSA-SA du 04 avril 2024</w:t>
      </w:r>
    </w:p>
    <w:p w:rsidR="00335038" w:rsidRPr="00335038" w:rsidRDefault="00335038" w:rsidP="00BD7E29">
      <w:pPr>
        <w:jc w:val="center"/>
        <w:rPr>
          <w:b/>
          <w:sz w:val="16"/>
        </w:rPr>
      </w:pPr>
    </w:p>
    <w:p w:rsidR="00E2221B" w:rsidRDefault="00BD7E29" w:rsidP="00873404">
      <w:pPr>
        <w:jc w:val="both"/>
      </w:pPr>
      <w:r w:rsidRPr="00BD7E29">
        <w:rPr>
          <w:rFonts w:cstheme="minorHAnsi"/>
          <w:u w:val="single"/>
        </w:rPr>
        <w:t>É</w:t>
      </w:r>
      <w:r w:rsidRPr="00BD7E29">
        <w:rPr>
          <w:u w:val="single"/>
        </w:rPr>
        <w:t>taient présents</w:t>
      </w:r>
      <w:r>
        <w:t> :</w:t>
      </w:r>
      <w:r w:rsidR="00E2221B">
        <w:t xml:space="preserve"> </w:t>
      </w:r>
    </w:p>
    <w:p w:rsidR="0096414B" w:rsidRDefault="00BD7E29" w:rsidP="00873404">
      <w:pPr>
        <w:jc w:val="both"/>
      </w:pPr>
      <w:r>
        <w:t xml:space="preserve">Jean-Jacques VIAL, secrétaire général académique </w:t>
      </w:r>
      <w:r w:rsidR="00EB57E6">
        <w:t>-</w:t>
      </w:r>
      <w:r>
        <w:t xml:space="preserve"> </w:t>
      </w:r>
      <w:r w:rsidR="00EB57E6">
        <w:t xml:space="preserve">Nathalie </w:t>
      </w:r>
      <w:r>
        <w:t xml:space="preserve">DEPARDIEU, directrice des ressources humaines </w:t>
      </w:r>
      <w:r w:rsidR="00EB57E6">
        <w:t>-</w:t>
      </w:r>
      <w:r>
        <w:t xml:space="preserve"> </w:t>
      </w:r>
      <w:r w:rsidR="00EB57E6">
        <w:t xml:space="preserve">Delphine </w:t>
      </w:r>
      <w:r>
        <w:t>PIONN</w:t>
      </w:r>
      <w:r w:rsidR="00EB57E6">
        <w:t>I</w:t>
      </w:r>
      <w:r>
        <w:t xml:space="preserve">ER, chef de la DOS </w:t>
      </w:r>
      <w:r w:rsidR="00EB57E6">
        <w:t>-</w:t>
      </w:r>
      <w:r>
        <w:t xml:space="preserve"> </w:t>
      </w:r>
      <w:r w:rsidR="00EB57E6">
        <w:t xml:space="preserve">Yannick </w:t>
      </w:r>
      <w:r>
        <w:t xml:space="preserve">THEVENET, chef du SAIIO - Jean-Charles LINIER, chef de la DPE - Fabien MARCHAND, chef de la DIBAG -  Nadine BOISARD, chef de la division DIPEAR </w:t>
      </w:r>
      <w:r w:rsidR="00EB57E6">
        <w:t>-</w:t>
      </w:r>
      <w:r w:rsidR="00BF4D0B">
        <w:t xml:space="preserve"> </w:t>
      </w:r>
      <w:r w:rsidR="00EB57E6">
        <w:t xml:space="preserve">Mathilde </w:t>
      </w:r>
      <w:r w:rsidR="00BF4D0B">
        <w:t xml:space="preserve">PERRIN, </w:t>
      </w:r>
      <w:r w:rsidR="00EB57E6">
        <w:t>adjointe</w:t>
      </w:r>
      <w:r w:rsidR="00BF4D0B">
        <w:t xml:space="preserve"> </w:t>
      </w:r>
      <w:r w:rsidR="00EB57E6">
        <w:t xml:space="preserve">au cheffe de bureau </w:t>
      </w:r>
      <w:r w:rsidR="00BF4D0B">
        <w:t xml:space="preserve">des affaires juridiques - </w:t>
      </w:r>
      <w:r>
        <w:t xml:space="preserve"> </w:t>
      </w:r>
      <w:r w:rsidR="0096414B">
        <w:t>4 membres de l’UNSA - 2 membres du SNASUB-FSU</w:t>
      </w:r>
    </w:p>
    <w:p w:rsidR="00335038" w:rsidRDefault="00335038" w:rsidP="00873404">
      <w:pPr>
        <w:jc w:val="both"/>
      </w:pPr>
    </w:p>
    <w:p w:rsidR="00BF4D0B" w:rsidRPr="00BD3328" w:rsidRDefault="00BF4D0B" w:rsidP="00873404">
      <w:pPr>
        <w:pStyle w:val="Paragraphedeliste"/>
        <w:numPr>
          <w:ilvl w:val="0"/>
          <w:numId w:val="3"/>
        </w:numPr>
        <w:ind w:left="284" w:hanging="284"/>
        <w:jc w:val="both"/>
        <w:rPr>
          <w:b/>
          <w:sz w:val="28"/>
        </w:rPr>
      </w:pPr>
      <w:r w:rsidRPr="00BD3328">
        <w:rPr>
          <w:b/>
          <w:sz w:val="28"/>
        </w:rPr>
        <w:t>Plan de requalification dans les services</w:t>
      </w:r>
    </w:p>
    <w:p w:rsidR="00915320" w:rsidRDefault="00BF4D0B" w:rsidP="00915320">
      <w:pPr>
        <w:jc w:val="both"/>
      </w:pPr>
      <w:r>
        <w:t xml:space="preserve">Après l’approbation du PV du CSA-SA du </w:t>
      </w:r>
      <w:r w:rsidR="00611073">
        <w:t>28 septembre 2023,</w:t>
      </w:r>
      <w:r>
        <w:t xml:space="preserve"> </w:t>
      </w:r>
      <w:r w:rsidR="00873404">
        <w:t>l’administration</w:t>
      </w:r>
      <w:r>
        <w:t xml:space="preserve"> présente un point de situation au </w:t>
      </w:r>
      <w:r w:rsidR="00873404">
        <w:t>1</w:t>
      </w:r>
      <w:r w:rsidR="00873404" w:rsidRPr="00873404">
        <w:rPr>
          <w:vertAlign w:val="superscript"/>
        </w:rPr>
        <w:t>er</w:t>
      </w:r>
      <w:r w:rsidR="00873404">
        <w:t xml:space="preserve"> septembre 202</w:t>
      </w:r>
      <w:r w:rsidR="00404CEA">
        <w:t>3</w:t>
      </w:r>
      <w:r>
        <w:t xml:space="preserve"> </w:t>
      </w:r>
      <w:r w:rsidR="00611073">
        <w:t xml:space="preserve">du </w:t>
      </w:r>
      <w:r>
        <w:t xml:space="preserve">plan de requalification </w:t>
      </w:r>
      <w:r w:rsidR="00873404">
        <w:t>conduit dans les services</w:t>
      </w:r>
      <w:r>
        <w:t xml:space="preserve">. </w:t>
      </w:r>
      <w:r w:rsidR="00611073">
        <w:t xml:space="preserve">Ce point intermédiaire permet de mettre en exergue que le nombre de requalifications de postes A et C n’est pas atteint. </w:t>
      </w:r>
    </w:p>
    <w:tbl>
      <w:tblPr>
        <w:tblStyle w:val="TableauGrille4-Accentuation5"/>
        <w:tblW w:w="0" w:type="auto"/>
        <w:tblLook w:val="04A0" w:firstRow="1" w:lastRow="0" w:firstColumn="1" w:lastColumn="0" w:noHBand="0" w:noVBand="1"/>
      </w:tblPr>
      <w:tblGrid>
        <w:gridCol w:w="3539"/>
        <w:gridCol w:w="1843"/>
        <w:gridCol w:w="1843"/>
        <w:gridCol w:w="1837"/>
      </w:tblGrid>
      <w:tr w:rsidR="00053BAF" w:rsidTr="0040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53BAF" w:rsidRDefault="00053BAF" w:rsidP="00053BAF">
            <w:pPr>
              <w:jc w:val="both"/>
            </w:pPr>
          </w:p>
        </w:tc>
        <w:tc>
          <w:tcPr>
            <w:tcW w:w="1843" w:type="dxa"/>
          </w:tcPr>
          <w:p w:rsidR="00053BAF" w:rsidRDefault="00053BAF" w:rsidP="00053BAF">
            <w:pPr>
              <w:jc w:val="center"/>
              <w:cnfStyle w:val="100000000000" w:firstRow="1" w:lastRow="0" w:firstColumn="0" w:lastColumn="0" w:oddVBand="0" w:evenVBand="0" w:oddHBand="0" w:evenHBand="0" w:firstRowFirstColumn="0" w:firstRowLastColumn="0" w:lastRowFirstColumn="0" w:lastRowLastColumn="0"/>
            </w:pPr>
            <w:r>
              <w:t>Catégorie A</w:t>
            </w:r>
          </w:p>
        </w:tc>
        <w:tc>
          <w:tcPr>
            <w:tcW w:w="1843" w:type="dxa"/>
          </w:tcPr>
          <w:p w:rsidR="00053BAF" w:rsidRDefault="00053BAF" w:rsidP="00053BAF">
            <w:pPr>
              <w:jc w:val="center"/>
              <w:cnfStyle w:val="100000000000" w:firstRow="1" w:lastRow="0" w:firstColumn="0" w:lastColumn="0" w:oddVBand="0" w:evenVBand="0" w:oddHBand="0" w:evenHBand="0" w:firstRowFirstColumn="0" w:firstRowLastColumn="0" w:lastRowFirstColumn="0" w:lastRowLastColumn="0"/>
            </w:pPr>
            <w:r>
              <w:t>Catégorie B</w:t>
            </w:r>
          </w:p>
        </w:tc>
        <w:tc>
          <w:tcPr>
            <w:tcW w:w="1837" w:type="dxa"/>
          </w:tcPr>
          <w:p w:rsidR="00053BAF" w:rsidRDefault="00053BAF" w:rsidP="00053BAF">
            <w:pPr>
              <w:jc w:val="center"/>
              <w:cnfStyle w:val="100000000000" w:firstRow="1" w:lastRow="0" w:firstColumn="0" w:lastColumn="0" w:oddVBand="0" w:evenVBand="0" w:oddHBand="0" w:evenHBand="0" w:firstRowFirstColumn="0" w:firstRowLastColumn="0" w:lastRowFirstColumn="0" w:lastRowLastColumn="0"/>
            </w:pPr>
            <w:r>
              <w:t>Catégorie C</w:t>
            </w:r>
          </w:p>
        </w:tc>
      </w:tr>
      <w:tr w:rsidR="00053BAF"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53BAF" w:rsidRPr="00053BAF" w:rsidRDefault="00404CEA" w:rsidP="00053BAF">
            <w:pPr>
              <w:jc w:val="both"/>
              <w:rPr>
                <w:b w:val="0"/>
              </w:rPr>
            </w:pPr>
            <w:r w:rsidRPr="00053BAF">
              <w:rPr>
                <w:b w:val="0"/>
              </w:rPr>
              <w:t xml:space="preserve">nombre de supports </w:t>
            </w:r>
            <w:r>
              <w:rPr>
                <w:b w:val="0"/>
              </w:rPr>
              <w:t>(</w:t>
            </w:r>
            <w:r w:rsidR="00053BAF" w:rsidRPr="00053BAF">
              <w:rPr>
                <w:b w:val="0"/>
              </w:rPr>
              <w:t>BOP 214</w:t>
            </w:r>
            <w:r>
              <w:rPr>
                <w:b w:val="0"/>
              </w:rPr>
              <w:t>)</w:t>
            </w:r>
          </w:p>
        </w:tc>
        <w:tc>
          <w:tcPr>
            <w:tcW w:w="1843"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82,5</w:t>
            </w:r>
          </w:p>
        </w:tc>
        <w:tc>
          <w:tcPr>
            <w:tcW w:w="1843"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159</w:t>
            </w:r>
          </w:p>
        </w:tc>
        <w:tc>
          <w:tcPr>
            <w:tcW w:w="1837"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166</w:t>
            </w:r>
          </w:p>
        </w:tc>
      </w:tr>
      <w:tr w:rsidR="00053BAF" w:rsidTr="00404CEA">
        <w:tc>
          <w:tcPr>
            <w:cnfStyle w:val="001000000000" w:firstRow="0" w:lastRow="0" w:firstColumn="1" w:lastColumn="0" w:oddVBand="0" w:evenVBand="0" w:oddHBand="0" w:evenHBand="0" w:firstRowFirstColumn="0" w:firstRowLastColumn="0" w:lastRowFirstColumn="0" w:lastRowLastColumn="0"/>
            <w:tcW w:w="3539" w:type="dxa"/>
          </w:tcPr>
          <w:p w:rsidR="00053BAF" w:rsidRPr="00404CEA" w:rsidRDefault="00404CEA" w:rsidP="00053BAF">
            <w:pPr>
              <w:jc w:val="both"/>
            </w:pPr>
            <w:r>
              <w:t>c</w:t>
            </w:r>
            <w:r w:rsidR="00053BAF" w:rsidRPr="00404CEA">
              <w:t>onstat au 01/09/23</w:t>
            </w:r>
          </w:p>
        </w:tc>
        <w:tc>
          <w:tcPr>
            <w:tcW w:w="1843" w:type="dxa"/>
          </w:tcPr>
          <w:p w:rsidR="00053BAF" w:rsidRPr="00404CEA" w:rsidRDefault="00053BAF" w:rsidP="00053BAF">
            <w:pPr>
              <w:jc w:val="center"/>
              <w:cnfStyle w:val="000000000000" w:firstRow="0" w:lastRow="0" w:firstColumn="0" w:lastColumn="0" w:oddVBand="0" w:evenVBand="0" w:oddHBand="0" w:evenHBand="0" w:firstRowFirstColumn="0" w:firstRowLastColumn="0" w:lastRowFirstColumn="0" w:lastRowLastColumn="0"/>
              <w:rPr>
                <w:b/>
              </w:rPr>
            </w:pPr>
            <w:r w:rsidRPr="00404CEA">
              <w:rPr>
                <w:b/>
              </w:rPr>
              <w:t>20,25%</w:t>
            </w:r>
          </w:p>
        </w:tc>
        <w:tc>
          <w:tcPr>
            <w:tcW w:w="1843" w:type="dxa"/>
          </w:tcPr>
          <w:p w:rsidR="00053BAF" w:rsidRPr="00404CEA" w:rsidRDefault="00053BAF" w:rsidP="00053BAF">
            <w:pPr>
              <w:jc w:val="center"/>
              <w:cnfStyle w:val="000000000000" w:firstRow="0" w:lastRow="0" w:firstColumn="0" w:lastColumn="0" w:oddVBand="0" w:evenVBand="0" w:oddHBand="0" w:evenHBand="0" w:firstRowFirstColumn="0" w:firstRowLastColumn="0" w:lastRowFirstColumn="0" w:lastRowLastColumn="0"/>
              <w:rPr>
                <w:b/>
              </w:rPr>
            </w:pPr>
            <w:r w:rsidRPr="00404CEA">
              <w:rPr>
                <w:b/>
              </w:rPr>
              <w:t>39,02%</w:t>
            </w:r>
          </w:p>
        </w:tc>
        <w:tc>
          <w:tcPr>
            <w:tcW w:w="1837" w:type="dxa"/>
          </w:tcPr>
          <w:p w:rsidR="00053BAF" w:rsidRPr="00404CEA" w:rsidRDefault="00053BAF" w:rsidP="00053BAF">
            <w:pPr>
              <w:jc w:val="center"/>
              <w:cnfStyle w:val="000000000000" w:firstRow="0" w:lastRow="0" w:firstColumn="0" w:lastColumn="0" w:oddVBand="0" w:evenVBand="0" w:oddHBand="0" w:evenHBand="0" w:firstRowFirstColumn="0" w:firstRowLastColumn="0" w:lastRowFirstColumn="0" w:lastRowLastColumn="0"/>
              <w:rPr>
                <w:b/>
              </w:rPr>
            </w:pPr>
            <w:r w:rsidRPr="00404CEA">
              <w:rPr>
                <w:b/>
              </w:rPr>
              <w:t>40,74%</w:t>
            </w:r>
          </w:p>
        </w:tc>
      </w:tr>
      <w:tr w:rsidR="00053BAF"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53BAF" w:rsidRPr="00053BAF" w:rsidRDefault="00053BAF" w:rsidP="00053BAF">
            <w:pPr>
              <w:jc w:val="both"/>
              <w:rPr>
                <w:b w:val="0"/>
              </w:rPr>
            </w:pPr>
            <w:r w:rsidRPr="00053BAF">
              <w:rPr>
                <w:b w:val="0"/>
              </w:rPr>
              <w:t>cible 2024 (BOP 214 et 141)</w:t>
            </w:r>
          </w:p>
        </w:tc>
        <w:tc>
          <w:tcPr>
            <w:tcW w:w="1843"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22%</w:t>
            </w:r>
          </w:p>
        </w:tc>
        <w:tc>
          <w:tcPr>
            <w:tcW w:w="1843"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36%</w:t>
            </w:r>
          </w:p>
        </w:tc>
        <w:tc>
          <w:tcPr>
            <w:tcW w:w="1837" w:type="dxa"/>
          </w:tcPr>
          <w:p w:rsidR="00053BAF" w:rsidRDefault="00053BAF" w:rsidP="00053BAF">
            <w:pPr>
              <w:jc w:val="center"/>
              <w:cnfStyle w:val="000000100000" w:firstRow="0" w:lastRow="0" w:firstColumn="0" w:lastColumn="0" w:oddVBand="0" w:evenVBand="0" w:oddHBand="1" w:evenHBand="0" w:firstRowFirstColumn="0" w:firstRowLastColumn="0" w:lastRowFirstColumn="0" w:lastRowLastColumn="0"/>
            </w:pPr>
            <w:r>
              <w:t>42%</w:t>
            </w:r>
          </w:p>
        </w:tc>
      </w:tr>
      <w:tr w:rsidR="00053BAF" w:rsidTr="00404CEA">
        <w:tc>
          <w:tcPr>
            <w:cnfStyle w:val="001000000000" w:firstRow="0" w:lastRow="0" w:firstColumn="1" w:lastColumn="0" w:oddVBand="0" w:evenVBand="0" w:oddHBand="0" w:evenHBand="0" w:firstRowFirstColumn="0" w:firstRowLastColumn="0" w:lastRowFirstColumn="0" w:lastRowLastColumn="0"/>
            <w:tcW w:w="3539" w:type="dxa"/>
          </w:tcPr>
          <w:p w:rsidR="00053BAF" w:rsidRPr="00053BAF" w:rsidRDefault="00053BAF" w:rsidP="00053BAF">
            <w:pPr>
              <w:jc w:val="both"/>
              <w:rPr>
                <w:b w:val="0"/>
              </w:rPr>
            </w:pPr>
            <w:r w:rsidRPr="00053BAF">
              <w:rPr>
                <w:b w:val="0"/>
              </w:rPr>
              <w:t>cible 2026 (BOP 214 et 141)</w:t>
            </w:r>
          </w:p>
        </w:tc>
        <w:tc>
          <w:tcPr>
            <w:tcW w:w="1843" w:type="dxa"/>
          </w:tcPr>
          <w:p w:rsidR="00053BAF" w:rsidRDefault="00053BAF" w:rsidP="00053BAF">
            <w:pPr>
              <w:jc w:val="center"/>
              <w:cnfStyle w:val="000000000000" w:firstRow="0" w:lastRow="0" w:firstColumn="0" w:lastColumn="0" w:oddVBand="0" w:evenVBand="0" w:oddHBand="0" w:evenHBand="0" w:firstRowFirstColumn="0" w:firstRowLastColumn="0" w:lastRowFirstColumn="0" w:lastRowLastColumn="0"/>
            </w:pPr>
            <w:r>
              <w:t>24%</w:t>
            </w:r>
          </w:p>
        </w:tc>
        <w:tc>
          <w:tcPr>
            <w:tcW w:w="1843" w:type="dxa"/>
          </w:tcPr>
          <w:p w:rsidR="00053BAF" w:rsidRDefault="00053BAF" w:rsidP="00053BAF">
            <w:pPr>
              <w:jc w:val="center"/>
              <w:cnfStyle w:val="000000000000" w:firstRow="0" w:lastRow="0" w:firstColumn="0" w:lastColumn="0" w:oddVBand="0" w:evenVBand="0" w:oddHBand="0" w:evenHBand="0" w:firstRowFirstColumn="0" w:firstRowLastColumn="0" w:lastRowFirstColumn="0" w:lastRowLastColumn="0"/>
            </w:pPr>
            <w:r>
              <w:t>37%</w:t>
            </w:r>
          </w:p>
        </w:tc>
        <w:tc>
          <w:tcPr>
            <w:tcW w:w="1837" w:type="dxa"/>
          </w:tcPr>
          <w:p w:rsidR="00053BAF" w:rsidRDefault="00053BAF" w:rsidP="00053BAF">
            <w:pPr>
              <w:jc w:val="center"/>
              <w:cnfStyle w:val="000000000000" w:firstRow="0" w:lastRow="0" w:firstColumn="0" w:lastColumn="0" w:oddVBand="0" w:evenVBand="0" w:oddHBand="0" w:evenHBand="0" w:firstRowFirstColumn="0" w:firstRowLastColumn="0" w:lastRowFirstColumn="0" w:lastRowLastColumn="0"/>
            </w:pPr>
            <w:r>
              <w:t>39%</w:t>
            </w:r>
          </w:p>
        </w:tc>
      </w:tr>
    </w:tbl>
    <w:p w:rsidR="00053BAF" w:rsidRDefault="00053BAF" w:rsidP="00915320">
      <w:pPr>
        <w:jc w:val="both"/>
      </w:pPr>
      <w:r>
        <w:t>*BOP :</w:t>
      </w:r>
      <w:r w:rsidR="00404CEA">
        <w:t xml:space="preserve"> budget opérationnel de programme</w:t>
      </w:r>
    </w:p>
    <w:p w:rsidR="00915320" w:rsidRDefault="00915320" w:rsidP="00915320">
      <w:pPr>
        <w:jc w:val="both"/>
      </w:pPr>
      <w:r>
        <w:t xml:space="preserve">L’administration considère que le travail engagé sur les requalifications est satisfaisant et qu’il est nécessaire de le poursuivre, notamment pour la catégorie A, dans le but de promouvoir des personnels, et d’améliorer la qualité de l’encadrement et de l’expertise dans les services. </w:t>
      </w:r>
      <w:r w:rsidR="00190EC9">
        <w:t>L’administration pointe cependant du doigt de gros déséquilibre</w:t>
      </w:r>
      <w:r w:rsidR="00381A92">
        <w:t>s</w:t>
      </w:r>
      <w:r w:rsidR="00190EC9">
        <w:t xml:space="preserve"> dans certaines divisions, notamment dans les DSDEN du 17 et du 79 où le nombre de postes en A est loin des objectifs.</w:t>
      </w:r>
    </w:p>
    <w:tbl>
      <w:tblPr>
        <w:tblStyle w:val="TableauGrille4-Accentuation5"/>
        <w:tblW w:w="0" w:type="auto"/>
        <w:tblLook w:val="04A0" w:firstRow="1" w:lastRow="0" w:firstColumn="1" w:lastColumn="0" w:noHBand="0" w:noVBand="1"/>
      </w:tblPr>
      <w:tblGrid>
        <w:gridCol w:w="1812"/>
        <w:gridCol w:w="1812"/>
        <w:gridCol w:w="1812"/>
        <w:gridCol w:w="1813"/>
        <w:gridCol w:w="1813"/>
      </w:tblGrid>
      <w:tr w:rsidR="00404CEA" w:rsidTr="0040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404CEA" w:rsidRDefault="00404CEA" w:rsidP="00404CEA">
            <w:pPr>
              <w:jc w:val="center"/>
            </w:pPr>
            <w:r>
              <w:t>répartition 2023</w:t>
            </w:r>
          </w:p>
        </w:tc>
        <w:tc>
          <w:tcPr>
            <w:tcW w:w="1812" w:type="dxa"/>
          </w:tcPr>
          <w:p w:rsidR="00404CEA" w:rsidRDefault="00404CEA" w:rsidP="00404CEA">
            <w:pPr>
              <w:jc w:val="center"/>
              <w:cnfStyle w:val="100000000000" w:firstRow="1" w:lastRow="0" w:firstColumn="0" w:lastColumn="0" w:oddVBand="0" w:evenVBand="0" w:oddHBand="0" w:evenHBand="0" w:firstRowFirstColumn="0" w:firstRowLastColumn="0" w:lastRowFirstColumn="0" w:lastRowLastColumn="0"/>
            </w:pPr>
            <w:r>
              <w:t>Catégorie A</w:t>
            </w:r>
          </w:p>
        </w:tc>
        <w:tc>
          <w:tcPr>
            <w:tcW w:w="1812" w:type="dxa"/>
          </w:tcPr>
          <w:p w:rsidR="00404CEA" w:rsidRDefault="00404CEA" w:rsidP="00404CEA">
            <w:pPr>
              <w:jc w:val="center"/>
              <w:cnfStyle w:val="100000000000" w:firstRow="1" w:lastRow="0" w:firstColumn="0" w:lastColumn="0" w:oddVBand="0" w:evenVBand="0" w:oddHBand="0" w:evenHBand="0" w:firstRowFirstColumn="0" w:firstRowLastColumn="0" w:lastRowFirstColumn="0" w:lastRowLastColumn="0"/>
            </w:pPr>
            <w:r>
              <w:t>Catégorie B</w:t>
            </w:r>
          </w:p>
        </w:tc>
        <w:tc>
          <w:tcPr>
            <w:tcW w:w="1813" w:type="dxa"/>
          </w:tcPr>
          <w:p w:rsidR="00404CEA" w:rsidRDefault="00404CEA" w:rsidP="00404CEA">
            <w:pPr>
              <w:jc w:val="center"/>
              <w:cnfStyle w:val="100000000000" w:firstRow="1" w:lastRow="0" w:firstColumn="0" w:lastColumn="0" w:oddVBand="0" w:evenVBand="0" w:oddHBand="0" w:evenHBand="0" w:firstRowFirstColumn="0" w:firstRowLastColumn="0" w:lastRowFirstColumn="0" w:lastRowLastColumn="0"/>
            </w:pPr>
            <w:r>
              <w:t>Catégorie C</w:t>
            </w:r>
          </w:p>
        </w:tc>
        <w:tc>
          <w:tcPr>
            <w:tcW w:w="1813" w:type="dxa"/>
          </w:tcPr>
          <w:p w:rsidR="00404CEA" w:rsidRDefault="00404CEA" w:rsidP="00404CEA">
            <w:pPr>
              <w:jc w:val="center"/>
              <w:cnfStyle w:val="100000000000" w:firstRow="1" w:lastRow="0" w:firstColumn="0" w:lastColumn="0" w:oddVBand="0" w:evenVBand="0" w:oddHBand="0" w:evenHBand="0" w:firstRowFirstColumn="0" w:firstRowLastColumn="0" w:lastRowFirstColumn="0" w:lastRowLastColumn="0"/>
            </w:pPr>
            <w:r>
              <w:t>TOTAL</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404CEA" w:rsidP="00404CEA">
            <w:pPr>
              <w:jc w:val="center"/>
            </w:pPr>
            <w:r>
              <w:t>DSDEN 16</w:t>
            </w:r>
          </w:p>
        </w:tc>
        <w:tc>
          <w:tcPr>
            <w:tcW w:w="1812" w:type="dxa"/>
          </w:tcPr>
          <w:p w:rsidR="00404CEA" w:rsidRDefault="00404CEA" w:rsidP="00404CEA">
            <w:pPr>
              <w:jc w:val="center"/>
              <w:cnfStyle w:val="000000100000" w:firstRow="0" w:lastRow="0" w:firstColumn="0" w:lastColumn="0" w:oddVBand="0" w:evenVBand="0" w:oddHBand="1" w:evenHBand="0" w:firstRowFirstColumn="0" w:firstRowLastColumn="0" w:lastRowFirstColumn="0" w:lastRowLastColumn="0"/>
            </w:pPr>
            <w:r>
              <w:t>6</w:t>
            </w:r>
          </w:p>
        </w:tc>
        <w:tc>
          <w:tcPr>
            <w:tcW w:w="1812" w:type="dxa"/>
          </w:tcPr>
          <w:p w:rsidR="00404CEA" w:rsidRDefault="00404CEA" w:rsidP="00404CEA">
            <w:pPr>
              <w:jc w:val="center"/>
              <w:cnfStyle w:val="000000100000" w:firstRow="0" w:lastRow="0" w:firstColumn="0" w:lastColumn="0" w:oddVBand="0" w:evenVBand="0" w:oddHBand="1" w:evenHBand="0" w:firstRowFirstColumn="0" w:firstRowLastColumn="0" w:lastRowFirstColumn="0" w:lastRowLastColumn="0"/>
            </w:pPr>
            <w:r>
              <w:t>10</w:t>
            </w:r>
          </w:p>
        </w:tc>
        <w:tc>
          <w:tcPr>
            <w:tcW w:w="1813" w:type="dxa"/>
          </w:tcPr>
          <w:p w:rsidR="00404CEA" w:rsidRDefault="00404CEA" w:rsidP="00404CEA">
            <w:pPr>
              <w:jc w:val="center"/>
              <w:cnfStyle w:val="000000100000" w:firstRow="0" w:lastRow="0" w:firstColumn="0" w:lastColumn="0" w:oddVBand="0" w:evenVBand="0" w:oddHBand="1" w:evenHBand="0" w:firstRowFirstColumn="0" w:firstRowLastColumn="0" w:lastRowFirstColumn="0" w:lastRowLastColumn="0"/>
            </w:pPr>
            <w:r>
              <w:t>17</w:t>
            </w:r>
          </w:p>
        </w:tc>
        <w:tc>
          <w:tcPr>
            <w:tcW w:w="1813" w:type="dxa"/>
          </w:tcPr>
          <w:p w:rsidR="00404CEA" w:rsidRDefault="00404CEA" w:rsidP="00404CEA">
            <w:pPr>
              <w:jc w:val="center"/>
              <w:cnfStyle w:val="000000100000" w:firstRow="0" w:lastRow="0" w:firstColumn="0" w:lastColumn="0" w:oddVBand="0" w:evenVBand="0" w:oddHBand="1" w:evenHBand="0" w:firstRowFirstColumn="0" w:firstRowLastColumn="0" w:lastRowFirstColumn="0" w:lastRowLastColumn="0"/>
            </w:pPr>
            <w:r>
              <w:t>33</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404CEA">
            <w:pPr>
              <w:jc w:val="center"/>
            </w:pPr>
          </w:p>
        </w:tc>
        <w:tc>
          <w:tcPr>
            <w:tcW w:w="1812"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18,18%</w:t>
            </w:r>
          </w:p>
        </w:tc>
        <w:tc>
          <w:tcPr>
            <w:tcW w:w="1812"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30,30%</w:t>
            </w:r>
          </w:p>
        </w:tc>
        <w:tc>
          <w:tcPr>
            <w:tcW w:w="1813"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51,52%</w:t>
            </w:r>
          </w:p>
        </w:tc>
        <w:tc>
          <w:tcPr>
            <w:tcW w:w="1813"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100%</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404CEA" w:rsidP="005E4F1C">
            <w:pPr>
              <w:jc w:val="center"/>
            </w:pPr>
            <w:r>
              <w:t>DSDEN 17</w:t>
            </w:r>
          </w:p>
        </w:tc>
        <w:tc>
          <w:tcPr>
            <w:tcW w:w="1812" w:type="dxa"/>
          </w:tcPr>
          <w:p w:rsidR="00404CEA" w:rsidRDefault="00404CEA" w:rsidP="005A5C09">
            <w:pPr>
              <w:jc w:val="center"/>
              <w:cnfStyle w:val="000000100000" w:firstRow="0" w:lastRow="0" w:firstColumn="0" w:lastColumn="0" w:oddVBand="0" w:evenVBand="0" w:oddHBand="1" w:evenHBand="0" w:firstRowFirstColumn="0" w:firstRowLastColumn="0" w:lastRowFirstColumn="0" w:lastRowLastColumn="0"/>
            </w:pPr>
            <w:r>
              <w:t>7</w:t>
            </w:r>
          </w:p>
        </w:tc>
        <w:tc>
          <w:tcPr>
            <w:tcW w:w="1812" w:type="dxa"/>
          </w:tcPr>
          <w:p w:rsidR="00404CEA" w:rsidRDefault="00404CEA" w:rsidP="005A5C09">
            <w:pPr>
              <w:jc w:val="center"/>
              <w:cnfStyle w:val="000000100000" w:firstRow="0" w:lastRow="0" w:firstColumn="0" w:lastColumn="0" w:oddVBand="0" w:evenVBand="0" w:oddHBand="1" w:evenHBand="0" w:firstRowFirstColumn="0" w:firstRowLastColumn="0" w:lastRowFirstColumn="0" w:lastRowLastColumn="0"/>
            </w:pPr>
            <w:r>
              <w:t>27</w:t>
            </w:r>
          </w:p>
        </w:tc>
        <w:tc>
          <w:tcPr>
            <w:tcW w:w="1813" w:type="dxa"/>
          </w:tcPr>
          <w:p w:rsidR="00404CEA" w:rsidRDefault="00404CEA" w:rsidP="005A5C09">
            <w:pPr>
              <w:jc w:val="center"/>
              <w:cnfStyle w:val="000000100000" w:firstRow="0" w:lastRow="0" w:firstColumn="0" w:lastColumn="0" w:oddVBand="0" w:evenVBand="0" w:oddHBand="1" w:evenHBand="0" w:firstRowFirstColumn="0" w:firstRowLastColumn="0" w:lastRowFirstColumn="0" w:lastRowLastColumn="0"/>
            </w:pPr>
            <w:r>
              <w:t>32</w:t>
            </w:r>
          </w:p>
        </w:tc>
        <w:tc>
          <w:tcPr>
            <w:tcW w:w="1813" w:type="dxa"/>
          </w:tcPr>
          <w:p w:rsidR="00404CEA" w:rsidRDefault="00404CEA" w:rsidP="005A5C09">
            <w:pPr>
              <w:jc w:val="center"/>
              <w:cnfStyle w:val="000000100000" w:firstRow="0" w:lastRow="0" w:firstColumn="0" w:lastColumn="0" w:oddVBand="0" w:evenVBand="0" w:oddHBand="1" w:evenHBand="0" w:firstRowFirstColumn="0" w:firstRowLastColumn="0" w:lastRowFirstColumn="0" w:lastRowLastColumn="0"/>
            </w:pPr>
            <w:r>
              <w:t>66</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P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rsidRPr="00404CEA">
              <w:t>10,61%</w:t>
            </w:r>
          </w:p>
        </w:tc>
        <w:tc>
          <w:tcPr>
            <w:tcW w:w="1812"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40,91%</w:t>
            </w:r>
          </w:p>
        </w:tc>
        <w:tc>
          <w:tcPr>
            <w:tcW w:w="1813"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48,48%</w:t>
            </w:r>
          </w:p>
        </w:tc>
        <w:tc>
          <w:tcPr>
            <w:tcW w:w="1813" w:type="dxa"/>
          </w:tcPr>
          <w:p w:rsidR="00404CEA" w:rsidRDefault="00404CEA" w:rsidP="005A5C09">
            <w:pPr>
              <w:jc w:val="center"/>
              <w:cnfStyle w:val="000000000000" w:firstRow="0" w:lastRow="0" w:firstColumn="0" w:lastColumn="0" w:oddVBand="0" w:evenVBand="0" w:oddHBand="0" w:evenHBand="0" w:firstRowFirstColumn="0" w:firstRowLastColumn="0" w:lastRowFirstColumn="0" w:lastRowLastColumn="0"/>
            </w:pPr>
            <w:r>
              <w:t>100%</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5E4F1C" w:rsidP="005E4F1C">
            <w:pPr>
              <w:jc w:val="center"/>
            </w:pPr>
            <w:r>
              <w:t>DSDEN 79</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5</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19</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16</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40</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12,50%</w:t>
            </w: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47,50%</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40,00%</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5E4F1C" w:rsidP="005E4F1C">
            <w:pPr>
              <w:jc w:val="center"/>
            </w:pPr>
            <w:r>
              <w:t>DSDEN 86</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2</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8</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8</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18</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11,11%</w:t>
            </w: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44,44%</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44,44%</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5E4F1C" w:rsidP="005E4F1C">
            <w:pPr>
              <w:jc w:val="center"/>
            </w:pPr>
            <w:r>
              <w:t>DEC</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8</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21</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23</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52</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15,38%</w:t>
            </w: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40,38%</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44,23%</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5E4F1C" w:rsidP="005E4F1C">
            <w:pPr>
              <w:jc w:val="center"/>
            </w:pPr>
            <w:r>
              <w:t>DEE</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2</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7</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7</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16</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12,50%</w:t>
            </w: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43,75</w:t>
            </w:r>
            <w:r w:rsidR="005A5C09">
              <w:t>%</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43,75</w:t>
            </w:r>
            <w:r w:rsidR="005A5C09">
              <w:t>%</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r w:rsidR="005A5C09">
              <w:t>%</w:t>
            </w:r>
          </w:p>
        </w:tc>
      </w:tr>
      <w:tr w:rsidR="00404CEA"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404CEA" w:rsidRDefault="005E4F1C" w:rsidP="005E4F1C">
            <w:pPr>
              <w:jc w:val="center"/>
            </w:pPr>
            <w:r>
              <w:t>DIBAG</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5</w:t>
            </w:r>
          </w:p>
        </w:tc>
        <w:tc>
          <w:tcPr>
            <w:tcW w:w="1812"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8</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12</w:t>
            </w:r>
          </w:p>
        </w:tc>
        <w:tc>
          <w:tcPr>
            <w:tcW w:w="1813" w:type="dxa"/>
          </w:tcPr>
          <w:p w:rsidR="00404CEA" w:rsidRDefault="005E4F1C" w:rsidP="005A5C09">
            <w:pPr>
              <w:jc w:val="center"/>
              <w:cnfStyle w:val="000000100000" w:firstRow="0" w:lastRow="0" w:firstColumn="0" w:lastColumn="0" w:oddVBand="0" w:evenVBand="0" w:oddHBand="1" w:evenHBand="0" w:firstRowFirstColumn="0" w:firstRowLastColumn="0" w:lastRowFirstColumn="0" w:lastRowLastColumn="0"/>
            </w:pPr>
            <w:r>
              <w:t>25</w:t>
            </w:r>
          </w:p>
        </w:tc>
      </w:tr>
      <w:tr w:rsidR="00404CEA" w:rsidTr="00404CEA">
        <w:tc>
          <w:tcPr>
            <w:cnfStyle w:val="001000000000" w:firstRow="0" w:lastRow="0" w:firstColumn="1" w:lastColumn="0" w:oddVBand="0" w:evenVBand="0" w:oddHBand="0" w:evenHBand="0" w:firstRowFirstColumn="0" w:firstRowLastColumn="0" w:lastRowFirstColumn="0" w:lastRowLastColumn="0"/>
            <w:tcW w:w="1812" w:type="dxa"/>
            <w:vMerge/>
          </w:tcPr>
          <w:p w:rsidR="00404CEA" w:rsidRDefault="00404CEA" w:rsidP="005E4F1C">
            <w:pPr>
              <w:jc w:val="center"/>
            </w:pP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20</w:t>
            </w:r>
            <w:r w:rsidR="005A5C09">
              <w:t>%</w:t>
            </w:r>
          </w:p>
        </w:tc>
        <w:tc>
          <w:tcPr>
            <w:tcW w:w="1812"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32</w:t>
            </w:r>
            <w:r w:rsidR="005A5C09">
              <w:t>%</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48</w:t>
            </w:r>
            <w:r w:rsidR="005A5C09">
              <w:t>%</w:t>
            </w:r>
          </w:p>
        </w:tc>
        <w:tc>
          <w:tcPr>
            <w:tcW w:w="1813" w:type="dxa"/>
          </w:tcPr>
          <w:p w:rsidR="00404CEA"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r w:rsidR="005A5C09">
              <w:t>%</w:t>
            </w:r>
          </w:p>
        </w:tc>
      </w:tr>
      <w:tr w:rsidR="005E4F1C"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5E4F1C" w:rsidRDefault="005E4F1C" w:rsidP="005E4F1C">
            <w:pPr>
              <w:jc w:val="center"/>
            </w:pPr>
            <w:r>
              <w:t>DIPEAR</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7</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15</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9</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31</w:t>
            </w:r>
          </w:p>
        </w:tc>
      </w:tr>
      <w:tr w:rsidR="005E4F1C" w:rsidTr="00404CEA">
        <w:tc>
          <w:tcPr>
            <w:cnfStyle w:val="001000000000" w:firstRow="0" w:lastRow="0" w:firstColumn="1" w:lastColumn="0" w:oddVBand="0" w:evenVBand="0" w:oddHBand="0" w:evenHBand="0" w:firstRowFirstColumn="0" w:firstRowLastColumn="0" w:lastRowFirstColumn="0" w:lastRowLastColumn="0"/>
            <w:tcW w:w="1812" w:type="dxa"/>
            <w:vMerge/>
          </w:tcPr>
          <w:p w:rsidR="005E4F1C" w:rsidRDefault="005E4F1C" w:rsidP="005E4F1C">
            <w:pPr>
              <w:jc w:val="center"/>
            </w:pP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22,58</w:t>
            </w:r>
            <w:r w:rsidR="005A5C09">
              <w:t>%</w:t>
            </w: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48,39</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29,03</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r w:rsidR="005A5C09">
              <w:t>%</w:t>
            </w:r>
          </w:p>
        </w:tc>
      </w:tr>
      <w:tr w:rsidR="005E4F1C"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5E4F1C" w:rsidRDefault="005E4F1C" w:rsidP="005E4F1C">
            <w:pPr>
              <w:jc w:val="center"/>
            </w:pPr>
            <w:r>
              <w:t>DOS</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6</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9</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3</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18</w:t>
            </w:r>
          </w:p>
        </w:tc>
      </w:tr>
      <w:tr w:rsidR="005E4F1C" w:rsidTr="00404CEA">
        <w:tc>
          <w:tcPr>
            <w:cnfStyle w:val="001000000000" w:firstRow="0" w:lastRow="0" w:firstColumn="1" w:lastColumn="0" w:oddVBand="0" w:evenVBand="0" w:oddHBand="0" w:evenHBand="0" w:firstRowFirstColumn="0" w:firstRowLastColumn="0" w:lastRowFirstColumn="0" w:lastRowLastColumn="0"/>
            <w:tcW w:w="1812" w:type="dxa"/>
            <w:vMerge/>
          </w:tcPr>
          <w:p w:rsidR="005E4F1C" w:rsidRDefault="005E4F1C" w:rsidP="005E4F1C">
            <w:pPr>
              <w:jc w:val="center"/>
            </w:pP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33,33</w:t>
            </w:r>
            <w:r w:rsidR="005A5C09">
              <w:t>%</w:t>
            </w: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50,00</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16,67</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r w:rsidR="005A5C09">
              <w:t>%</w:t>
            </w:r>
          </w:p>
        </w:tc>
      </w:tr>
      <w:tr w:rsidR="005E4F1C"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5E4F1C" w:rsidRDefault="005E4F1C" w:rsidP="005E4F1C">
            <w:pPr>
              <w:jc w:val="center"/>
            </w:pPr>
            <w:r>
              <w:t>DPE</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10</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17</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22</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49</w:t>
            </w:r>
          </w:p>
        </w:tc>
      </w:tr>
      <w:tr w:rsidR="005E4F1C" w:rsidTr="00404CEA">
        <w:tc>
          <w:tcPr>
            <w:cnfStyle w:val="001000000000" w:firstRow="0" w:lastRow="0" w:firstColumn="1" w:lastColumn="0" w:oddVBand="0" w:evenVBand="0" w:oddHBand="0" w:evenHBand="0" w:firstRowFirstColumn="0" w:firstRowLastColumn="0" w:lastRowFirstColumn="0" w:lastRowLastColumn="0"/>
            <w:tcW w:w="1812" w:type="dxa"/>
            <w:vMerge/>
          </w:tcPr>
          <w:p w:rsidR="005E4F1C" w:rsidRDefault="005E4F1C" w:rsidP="005E4F1C">
            <w:pPr>
              <w:jc w:val="center"/>
            </w:pP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20,41</w:t>
            </w:r>
            <w:r w:rsidR="005A5C09">
              <w:t>%</w:t>
            </w:r>
          </w:p>
        </w:tc>
        <w:tc>
          <w:tcPr>
            <w:tcW w:w="1812"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34,69</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44,90</w:t>
            </w:r>
            <w:r w:rsidR="005A5C09">
              <w:t>%</w:t>
            </w:r>
          </w:p>
        </w:tc>
        <w:tc>
          <w:tcPr>
            <w:tcW w:w="1813" w:type="dxa"/>
          </w:tcPr>
          <w:p w:rsidR="005E4F1C" w:rsidRDefault="005E4F1C" w:rsidP="005A5C09">
            <w:pPr>
              <w:jc w:val="center"/>
              <w:cnfStyle w:val="000000000000" w:firstRow="0" w:lastRow="0" w:firstColumn="0" w:lastColumn="0" w:oddVBand="0" w:evenVBand="0" w:oddHBand="0" w:evenHBand="0" w:firstRowFirstColumn="0" w:firstRowLastColumn="0" w:lastRowFirstColumn="0" w:lastRowLastColumn="0"/>
            </w:pPr>
            <w:r>
              <w:t>100</w:t>
            </w:r>
            <w:r w:rsidR="005A5C09">
              <w:t>%</w:t>
            </w:r>
          </w:p>
        </w:tc>
      </w:tr>
      <w:tr w:rsidR="005E4F1C" w:rsidTr="004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Pr>
          <w:p w:rsidR="005E4F1C" w:rsidRDefault="005E4F1C" w:rsidP="005E4F1C">
            <w:pPr>
              <w:jc w:val="center"/>
            </w:pPr>
            <w:r>
              <w:t>EAFC</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3</w:t>
            </w:r>
          </w:p>
        </w:tc>
        <w:tc>
          <w:tcPr>
            <w:tcW w:w="1812"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3</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11</w:t>
            </w:r>
          </w:p>
        </w:tc>
        <w:tc>
          <w:tcPr>
            <w:tcW w:w="1813" w:type="dxa"/>
          </w:tcPr>
          <w:p w:rsidR="005E4F1C" w:rsidRDefault="005E4F1C" w:rsidP="005A5C09">
            <w:pPr>
              <w:jc w:val="center"/>
              <w:cnfStyle w:val="000000100000" w:firstRow="0" w:lastRow="0" w:firstColumn="0" w:lastColumn="0" w:oddVBand="0" w:evenVBand="0" w:oddHBand="1" w:evenHBand="0" w:firstRowFirstColumn="0" w:firstRowLastColumn="0" w:lastRowFirstColumn="0" w:lastRowLastColumn="0"/>
            </w:pPr>
            <w:r>
              <w:t>17</w:t>
            </w:r>
          </w:p>
        </w:tc>
      </w:tr>
      <w:tr w:rsidR="005E4F1C" w:rsidTr="00404CEA">
        <w:tc>
          <w:tcPr>
            <w:cnfStyle w:val="001000000000" w:firstRow="0" w:lastRow="0" w:firstColumn="1" w:lastColumn="0" w:oddVBand="0" w:evenVBand="0" w:oddHBand="0" w:evenHBand="0" w:firstRowFirstColumn="0" w:firstRowLastColumn="0" w:lastRowFirstColumn="0" w:lastRowLastColumn="0"/>
            <w:tcW w:w="1812" w:type="dxa"/>
            <w:vMerge/>
          </w:tcPr>
          <w:p w:rsidR="005E4F1C" w:rsidRDefault="005E4F1C" w:rsidP="00915320">
            <w:pPr>
              <w:jc w:val="both"/>
            </w:pPr>
          </w:p>
        </w:tc>
        <w:tc>
          <w:tcPr>
            <w:tcW w:w="1812" w:type="dxa"/>
          </w:tcPr>
          <w:p w:rsidR="005E4F1C" w:rsidRDefault="005A5C09" w:rsidP="005A5C09">
            <w:pPr>
              <w:jc w:val="center"/>
              <w:cnfStyle w:val="000000000000" w:firstRow="0" w:lastRow="0" w:firstColumn="0" w:lastColumn="0" w:oddVBand="0" w:evenVBand="0" w:oddHBand="0" w:evenHBand="0" w:firstRowFirstColumn="0" w:firstRowLastColumn="0" w:lastRowFirstColumn="0" w:lastRowLastColumn="0"/>
            </w:pPr>
            <w:r>
              <w:t>17,65%</w:t>
            </w:r>
          </w:p>
        </w:tc>
        <w:tc>
          <w:tcPr>
            <w:tcW w:w="1812" w:type="dxa"/>
          </w:tcPr>
          <w:p w:rsidR="005E4F1C" w:rsidRDefault="005A5C09" w:rsidP="005A5C09">
            <w:pPr>
              <w:jc w:val="center"/>
              <w:cnfStyle w:val="000000000000" w:firstRow="0" w:lastRow="0" w:firstColumn="0" w:lastColumn="0" w:oddVBand="0" w:evenVBand="0" w:oddHBand="0" w:evenHBand="0" w:firstRowFirstColumn="0" w:firstRowLastColumn="0" w:lastRowFirstColumn="0" w:lastRowLastColumn="0"/>
            </w:pPr>
            <w:r>
              <w:t>17,65%</w:t>
            </w:r>
          </w:p>
        </w:tc>
        <w:tc>
          <w:tcPr>
            <w:tcW w:w="1813" w:type="dxa"/>
          </w:tcPr>
          <w:p w:rsidR="005E4F1C" w:rsidRDefault="005A5C09" w:rsidP="005A5C09">
            <w:pPr>
              <w:jc w:val="center"/>
              <w:cnfStyle w:val="000000000000" w:firstRow="0" w:lastRow="0" w:firstColumn="0" w:lastColumn="0" w:oddVBand="0" w:evenVBand="0" w:oddHBand="0" w:evenHBand="0" w:firstRowFirstColumn="0" w:firstRowLastColumn="0" w:lastRowFirstColumn="0" w:lastRowLastColumn="0"/>
            </w:pPr>
            <w:r>
              <w:t>64,71%</w:t>
            </w:r>
          </w:p>
        </w:tc>
        <w:tc>
          <w:tcPr>
            <w:tcW w:w="1813" w:type="dxa"/>
          </w:tcPr>
          <w:p w:rsidR="005E4F1C" w:rsidRDefault="005A5C09" w:rsidP="005A5C09">
            <w:pPr>
              <w:jc w:val="center"/>
              <w:cnfStyle w:val="000000000000" w:firstRow="0" w:lastRow="0" w:firstColumn="0" w:lastColumn="0" w:oddVBand="0" w:evenVBand="0" w:oddHBand="0" w:evenHBand="0" w:firstRowFirstColumn="0" w:firstRowLastColumn="0" w:lastRowFirstColumn="0" w:lastRowLastColumn="0"/>
            </w:pPr>
            <w:r>
              <w:t>100%</w:t>
            </w:r>
          </w:p>
        </w:tc>
      </w:tr>
    </w:tbl>
    <w:p w:rsidR="00335038" w:rsidRDefault="00335038" w:rsidP="00873404">
      <w:pPr>
        <w:jc w:val="both"/>
      </w:pPr>
    </w:p>
    <w:p w:rsidR="00BD3328" w:rsidRDefault="00611073" w:rsidP="00873404">
      <w:pPr>
        <w:jc w:val="both"/>
      </w:pPr>
      <w:r>
        <w:t xml:space="preserve">L’administration explique que les éléments de </w:t>
      </w:r>
      <w:r w:rsidR="00915320">
        <w:t>dotations</w:t>
      </w:r>
      <w:r>
        <w:t xml:space="preserve"> vont être </w:t>
      </w:r>
      <w:r w:rsidR="00190EC9">
        <w:t xml:space="preserve">prochainement </w:t>
      </w:r>
      <w:r>
        <w:t>envoyés aux chefs de division afin qu’ils entament un trava</w:t>
      </w:r>
      <w:r w:rsidR="00915320">
        <w:t xml:space="preserve">il de réflexion sur </w:t>
      </w:r>
      <w:r w:rsidR="00404CEA">
        <w:t>la déclinaison des emplois dans leurs divisions</w:t>
      </w:r>
      <w:r w:rsidR="00915320">
        <w:t>.</w:t>
      </w:r>
      <w:r w:rsidR="00404CEA">
        <w:t xml:space="preserve"> </w:t>
      </w:r>
      <w:r>
        <w:t>L’administration prévient les représentants du personnel qu’u</w:t>
      </w:r>
      <w:r w:rsidR="00BD3328">
        <w:t xml:space="preserve">n groupe de travail aura lieu courant mai </w:t>
      </w:r>
      <w:r>
        <w:t xml:space="preserve">pour échanger sur le fruit </w:t>
      </w:r>
      <w:r w:rsidR="00404CEA">
        <w:t>de ce travail</w:t>
      </w:r>
      <w:r>
        <w:t>.</w:t>
      </w:r>
    </w:p>
    <w:p w:rsidR="00EC18EF" w:rsidRDefault="00190EC9" w:rsidP="00EC18EF">
      <w:pPr>
        <w:jc w:val="both"/>
        <w:rPr>
          <w:b/>
        </w:rPr>
      </w:pPr>
      <w:r>
        <w:t xml:space="preserve">Le secrétaire général académique </w:t>
      </w:r>
      <w:r w:rsidR="00BD3328">
        <w:t>précise que l’intérêt de l’administration est de stabiliser les personnels dans les structure</w:t>
      </w:r>
      <w:r w:rsidR="00873404">
        <w:t>s</w:t>
      </w:r>
      <w:r w:rsidR="00BD3328">
        <w:t xml:space="preserve">. Vos </w:t>
      </w:r>
      <w:proofErr w:type="spellStart"/>
      <w:r w:rsidR="00BD3328">
        <w:t>représentant-es</w:t>
      </w:r>
      <w:proofErr w:type="spellEnd"/>
      <w:r w:rsidR="00BD3328">
        <w:t xml:space="preserve"> SNASUB-FSU font reformuler ses propos </w:t>
      </w:r>
      <w:r>
        <w:t>à monsieur VIAL</w:t>
      </w:r>
      <w:r w:rsidR="00BD3328">
        <w:t xml:space="preserve"> qui </w:t>
      </w:r>
      <w:r w:rsidR="00EB57E6">
        <w:t>précise</w:t>
      </w:r>
      <w:r w:rsidR="00BD3328">
        <w:t xml:space="preserve"> que les requalifications </w:t>
      </w:r>
      <w:r>
        <w:t xml:space="preserve">se feront de préférence sur place, c’est-à-dire dans les services mais non sur </w:t>
      </w:r>
      <w:r w:rsidR="00BD3328">
        <w:t xml:space="preserve">poste. </w:t>
      </w:r>
      <w:r w:rsidR="00EC18EF" w:rsidRPr="00EC18EF">
        <w:rPr>
          <w:b/>
        </w:rPr>
        <w:t>Rappelons que vos</w:t>
      </w:r>
      <w:r w:rsidR="00EC18EF">
        <w:rPr>
          <w:b/>
        </w:rPr>
        <w:t xml:space="preserve"> représentant.es</w:t>
      </w:r>
      <w:r w:rsidR="00EB57E6" w:rsidRPr="00EB57E6">
        <w:rPr>
          <w:b/>
        </w:rPr>
        <w:t xml:space="preserve"> SNASUB</w:t>
      </w:r>
      <w:r w:rsidR="00EC18EF">
        <w:rPr>
          <w:b/>
        </w:rPr>
        <w:t>-FSU</w:t>
      </w:r>
      <w:r w:rsidR="00EB57E6" w:rsidRPr="00EB57E6">
        <w:rPr>
          <w:b/>
        </w:rPr>
        <w:t xml:space="preserve"> revendique</w:t>
      </w:r>
      <w:r w:rsidR="00EC18EF">
        <w:rPr>
          <w:b/>
        </w:rPr>
        <w:t>nt</w:t>
      </w:r>
      <w:r w:rsidR="00EB57E6" w:rsidRPr="00EB57E6">
        <w:rPr>
          <w:b/>
        </w:rPr>
        <w:t xml:space="preserve"> une requalification massive sur poste.</w:t>
      </w:r>
      <w:r w:rsidR="00EC18EF">
        <w:rPr>
          <w:b/>
        </w:rPr>
        <w:t xml:space="preserve"> </w:t>
      </w:r>
      <w:r w:rsidR="00EC18EF" w:rsidRPr="00EC18EF">
        <w:rPr>
          <w:b/>
        </w:rPr>
        <w:t>Les personnels doivent, chaque fois qu’ils exercent des fonctions relevant de la catégorie supérieure, ce qui est le cas p</w:t>
      </w:r>
      <w:r w:rsidR="00EC18EF">
        <w:rPr>
          <w:b/>
        </w:rPr>
        <w:t xml:space="preserve">our la très grande majorité des ADJAENES </w:t>
      </w:r>
      <w:r w:rsidR="00EC18EF" w:rsidRPr="00EC18EF">
        <w:rPr>
          <w:b/>
        </w:rPr>
        <w:t>et beaucou</w:t>
      </w:r>
      <w:r w:rsidR="00EC18EF">
        <w:rPr>
          <w:b/>
        </w:rPr>
        <w:t>p de SAENES, pouvoir être promu.</w:t>
      </w:r>
      <w:r w:rsidR="00EC18EF" w:rsidRPr="00EC18EF">
        <w:rPr>
          <w:b/>
        </w:rPr>
        <w:t>es sur leur emploi requalifié, s’ils ou elles le souhaitent.</w:t>
      </w:r>
      <w:r w:rsidR="00EC18EF">
        <w:rPr>
          <w:b/>
        </w:rPr>
        <w:t xml:space="preserve"> L</w:t>
      </w:r>
      <w:r w:rsidR="00EC18EF" w:rsidRPr="00EC18EF">
        <w:rPr>
          <w:b/>
        </w:rPr>
        <w:t>’enjeu reste toujours de gagner, pour tous les personnels et au plus vite, une reconnaissance réelle de leur travail, de leurs métiers et missions et de leur investissement professionnel quotidien</w:t>
      </w:r>
      <w:r w:rsidR="00EC18EF">
        <w:rPr>
          <w:b/>
        </w:rPr>
        <w:t>.</w:t>
      </w:r>
    </w:p>
    <w:p w:rsidR="00E2221B" w:rsidRDefault="00E2221B" w:rsidP="00190EC9">
      <w:pPr>
        <w:jc w:val="both"/>
        <w:rPr>
          <w:color w:val="FF0000"/>
        </w:rPr>
      </w:pPr>
    </w:p>
    <w:p w:rsidR="00BF4D0B" w:rsidRDefault="00BF4D0B" w:rsidP="00873404">
      <w:pPr>
        <w:pStyle w:val="Paragraphedeliste"/>
        <w:numPr>
          <w:ilvl w:val="0"/>
          <w:numId w:val="3"/>
        </w:numPr>
        <w:ind w:left="284" w:hanging="284"/>
        <w:jc w:val="both"/>
        <w:rPr>
          <w:b/>
          <w:sz w:val="28"/>
        </w:rPr>
      </w:pPr>
      <w:r w:rsidRPr="00BD3328">
        <w:rPr>
          <w:b/>
          <w:sz w:val="28"/>
        </w:rPr>
        <w:t xml:space="preserve">Restauration au </w:t>
      </w:r>
      <w:r w:rsidR="006D6000">
        <w:rPr>
          <w:b/>
          <w:sz w:val="28"/>
        </w:rPr>
        <w:t>r</w:t>
      </w:r>
      <w:r w:rsidRPr="00BD3328">
        <w:rPr>
          <w:b/>
          <w:sz w:val="28"/>
        </w:rPr>
        <w:t>ectorat</w:t>
      </w:r>
    </w:p>
    <w:p w:rsidR="00BD3328" w:rsidRDefault="00720CE5" w:rsidP="00873404">
      <w:pPr>
        <w:jc w:val="both"/>
      </w:pPr>
      <w:r>
        <w:t xml:space="preserve">Il a ensuite été question </w:t>
      </w:r>
      <w:r w:rsidR="00190EC9">
        <w:t xml:space="preserve">de la qualité de la prestation du </w:t>
      </w:r>
      <w:r w:rsidR="00F3777F">
        <w:t>service de</w:t>
      </w:r>
      <w:r>
        <w:t xml:space="preserve"> restauration du rectorat, géré actuellement par le CROUS et jugé </w:t>
      </w:r>
      <w:r w:rsidR="001E7F3B">
        <w:t>insatisfaisant</w:t>
      </w:r>
      <w:r>
        <w:t xml:space="preserve"> </w:t>
      </w:r>
      <w:r w:rsidR="00F3777F">
        <w:t xml:space="preserve">par de nombreux </w:t>
      </w:r>
      <w:r w:rsidR="00873404">
        <w:t>usagers</w:t>
      </w:r>
      <w:r w:rsidR="00F3777F">
        <w:t xml:space="preserve"> </w:t>
      </w:r>
      <w:r>
        <w:t xml:space="preserve">depuis quelques </w:t>
      </w:r>
      <w:r w:rsidR="001E7F3B">
        <w:t>temps</w:t>
      </w:r>
      <w:r>
        <w:t>.</w:t>
      </w:r>
    </w:p>
    <w:p w:rsidR="00274A07" w:rsidRDefault="00720CE5" w:rsidP="00873404">
      <w:pPr>
        <w:jc w:val="both"/>
      </w:pPr>
      <w:r>
        <w:t>L’</w:t>
      </w:r>
      <w:r w:rsidR="00F3777F">
        <w:t xml:space="preserve">administration a récemment envoyé </w:t>
      </w:r>
      <w:r>
        <w:t xml:space="preserve">un questionnaire de </w:t>
      </w:r>
      <w:r w:rsidR="001E7F3B">
        <w:t>satisfaction à l’en</w:t>
      </w:r>
      <w:r w:rsidR="00873404">
        <w:t xml:space="preserve">semble du personnel </w:t>
      </w:r>
      <w:r w:rsidR="006153F8">
        <w:t>du rectorat et envisage de mettre en place un comité des usagers pour travailler sur le sujet</w:t>
      </w:r>
      <w:r w:rsidR="006D6000">
        <w:t>, en collaboration avec les services du CROUS</w:t>
      </w:r>
      <w:r w:rsidR="006153F8">
        <w:t xml:space="preserve">. </w:t>
      </w:r>
      <w:r w:rsidR="001E7F3B">
        <w:t>D’après les premiers retours</w:t>
      </w:r>
      <w:r w:rsidR="006D6000">
        <w:t xml:space="preserve"> des agents concernés</w:t>
      </w:r>
      <w:r w:rsidR="001E7F3B">
        <w:t>, le rapport qualité-prix est jugé</w:t>
      </w:r>
      <w:r w:rsidR="00F3777F">
        <w:t xml:space="preserve"> particulièrement</w:t>
      </w:r>
      <w:r w:rsidR="001E7F3B">
        <w:t xml:space="preserve"> insatisfaisant. L’administration regrette l’absence de diversité dans l</w:t>
      </w:r>
      <w:r w:rsidR="00274A07">
        <w:t>a gamme de service et l</w:t>
      </w:r>
      <w:r w:rsidR="001E7F3B">
        <w:t>’offre de prix</w:t>
      </w:r>
      <w:r w:rsidR="00873404">
        <w:t>. Elle</w:t>
      </w:r>
      <w:r w:rsidR="006D6000">
        <w:t xml:space="preserve"> explique ne pas vouloir pour autant, céder à une proposition de snacking. </w:t>
      </w:r>
      <w:r w:rsidR="00873404">
        <w:t>L’administration</w:t>
      </w:r>
      <w:r w:rsidR="006D6000">
        <w:t xml:space="preserve"> espère obtenir de nouvelles propositions de la part du CROUS pour </w:t>
      </w:r>
      <w:r w:rsidR="00274A07">
        <w:t>la rentrée 2024.</w:t>
      </w:r>
    </w:p>
    <w:p w:rsidR="00F3777F" w:rsidRDefault="00873404" w:rsidP="00873404">
      <w:pPr>
        <w:jc w:val="both"/>
      </w:pPr>
      <w:r>
        <w:t xml:space="preserve">Ce travail </w:t>
      </w:r>
      <w:r w:rsidR="00F3777F">
        <w:t>est également l’</w:t>
      </w:r>
      <w:r w:rsidR="008031A8">
        <w:t>occasion d’engager une réflexion sur de nouveaux</w:t>
      </w:r>
      <w:r w:rsidR="00F3777F">
        <w:t xml:space="preserve"> espaces de restauration puisque presque la moitié du personnel du rectorat se restaure dans un autre endroit que dans l’espace dédié. L’administration admet qu’il serait nécessaire de créer de nouveaux espaces mais que cela demande du temps et de l’argent.</w:t>
      </w:r>
      <w:r w:rsidR="006B2802">
        <w:t xml:space="preserve"> </w:t>
      </w:r>
    </w:p>
    <w:p w:rsidR="00E2221B" w:rsidRDefault="00E2221B" w:rsidP="00873404">
      <w:pPr>
        <w:jc w:val="both"/>
      </w:pPr>
    </w:p>
    <w:p w:rsidR="00BF4D0B" w:rsidRDefault="00BF4D0B" w:rsidP="00873404">
      <w:pPr>
        <w:pStyle w:val="Paragraphedeliste"/>
        <w:numPr>
          <w:ilvl w:val="0"/>
          <w:numId w:val="3"/>
        </w:numPr>
        <w:ind w:left="284" w:hanging="284"/>
        <w:jc w:val="both"/>
        <w:rPr>
          <w:b/>
          <w:sz w:val="28"/>
        </w:rPr>
      </w:pPr>
      <w:r w:rsidRPr="00F3777F">
        <w:rPr>
          <w:b/>
          <w:sz w:val="28"/>
        </w:rPr>
        <w:t>Accueil des stagiaires de seconde</w:t>
      </w:r>
    </w:p>
    <w:p w:rsidR="008031A8" w:rsidRDefault="00A07D8F" w:rsidP="00873404">
      <w:pPr>
        <w:jc w:val="both"/>
      </w:pPr>
      <w:r>
        <w:t>Suite</w:t>
      </w:r>
      <w:r w:rsidR="00F3777F">
        <w:t xml:space="preserve"> aux annonces ministérielles</w:t>
      </w:r>
      <w:r>
        <w:t xml:space="preserve"> au sujet</w:t>
      </w:r>
      <w:r w:rsidR="008031A8">
        <w:t xml:space="preserve"> des stages de seconde générale</w:t>
      </w:r>
      <w:r w:rsidR="00F3777F">
        <w:t>, les services académiques vont accue</w:t>
      </w:r>
      <w:r>
        <w:t xml:space="preserve">illir des </w:t>
      </w:r>
      <w:r w:rsidRPr="00190EC9">
        <w:t>stagiaires de seconde générale</w:t>
      </w:r>
      <w:r w:rsidRPr="00755EC5">
        <w:rPr>
          <w:b/>
        </w:rPr>
        <w:t xml:space="preserve"> du 17 au 28 juin 2024</w:t>
      </w:r>
      <w:r>
        <w:t xml:space="preserve">. Le rectorat </w:t>
      </w:r>
      <w:r w:rsidR="00190EC9">
        <w:t xml:space="preserve">accueillera 30 </w:t>
      </w:r>
      <w:proofErr w:type="gramStart"/>
      <w:r w:rsidR="00190EC9">
        <w:t>stagiaires</w:t>
      </w:r>
      <w:proofErr w:type="gramEnd"/>
      <w:r w:rsidR="00190EC9">
        <w:t xml:space="preserve"> et les DSDEN accueilleront 5 stagiaires </w:t>
      </w:r>
      <w:r>
        <w:t xml:space="preserve">chacune. </w:t>
      </w:r>
    </w:p>
    <w:p w:rsidR="00F3777F" w:rsidRDefault="00A07D8F" w:rsidP="00873404">
      <w:pPr>
        <w:jc w:val="both"/>
      </w:pPr>
      <w:r>
        <w:t>L’administration explique qu’une dizaine de parcours ont été réfléchis pour</w:t>
      </w:r>
      <w:r w:rsidR="00F36E35">
        <w:t xml:space="preserve"> permettre aux stagiaires de découvrir </w:t>
      </w:r>
      <w:proofErr w:type="gramStart"/>
      <w:r w:rsidR="00F36E35">
        <w:t>de A</w:t>
      </w:r>
      <w:proofErr w:type="gramEnd"/>
      <w:r w:rsidR="00F36E35">
        <w:t xml:space="preserve"> à Z des processus et tous les métiers qui y concourent.</w:t>
      </w:r>
    </w:p>
    <w:p w:rsidR="00D4091D" w:rsidRDefault="00D4091D" w:rsidP="00873404">
      <w:pPr>
        <w:jc w:val="both"/>
      </w:pPr>
      <w:r>
        <w:t xml:space="preserve">Les représentantes du SNASUB-FSU font préciser qu’une communication sera faite </w:t>
      </w:r>
      <w:r w:rsidR="00335038">
        <w:t xml:space="preserve">auprès des personnels </w:t>
      </w:r>
      <w:r>
        <w:t>par le SAII</w:t>
      </w:r>
      <w:r w:rsidR="00335038">
        <w:t>O</w:t>
      </w:r>
      <w:r>
        <w:t xml:space="preserve"> </w:t>
      </w:r>
      <w:r w:rsidR="00335038">
        <w:t>pour expliciter les attendus.</w:t>
      </w:r>
    </w:p>
    <w:p w:rsidR="00A07D8F" w:rsidRDefault="00A07D8F" w:rsidP="00873404">
      <w:pPr>
        <w:jc w:val="both"/>
      </w:pPr>
      <w:r>
        <w:t xml:space="preserve">L’administration </w:t>
      </w:r>
      <w:r w:rsidR="00F36E35">
        <w:t xml:space="preserve">précise qu’elle </w:t>
      </w:r>
      <w:r>
        <w:t xml:space="preserve">compte </w:t>
      </w:r>
      <w:r w:rsidR="00755EC5">
        <w:t xml:space="preserve">sur la collaboration </w:t>
      </w:r>
      <w:r w:rsidR="00F36E35">
        <w:t xml:space="preserve">de tous les agents </w:t>
      </w:r>
      <w:r w:rsidR="00755EC5">
        <w:t xml:space="preserve">pour participer </w:t>
      </w:r>
      <w:r w:rsidR="00F36E35">
        <w:t>à la bonne réussite des stages de chaque élève</w:t>
      </w:r>
      <w:r w:rsidR="00755EC5">
        <w:t xml:space="preserve">. Le tutorat des stagiaires se fera sur </w:t>
      </w:r>
      <w:r w:rsidR="008031A8">
        <w:t>la base du</w:t>
      </w:r>
      <w:r w:rsidR="00755EC5">
        <w:t xml:space="preserve"> volontariat.</w:t>
      </w:r>
      <w:r w:rsidR="008031A8">
        <w:t xml:space="preserve"> </w:t>
      </w:r>
      <w:r>
        <w:t xml:space="preserve">L’administration </w:t>
      </w:r>
      <w:r w:rsidR="008031A8">
        <w:t>explique voir</w:t>
      </w:r>
      <w:r>
        <w:t xml:space="preserve"> ces stages comme une r</w:t>
      </w:r>
      <w:r w:rsidR="0071469F">
        <w:t xml:space="preserve">éelle opportunité de faire découvrir </w:t>
      </w:r>
      <w:r w:rsidR="00F36E35">
        <w:t xml:space="preserve">et </w:t>
      </w:r>
      <w:r w:rsidR="00381A92">
        <w:t>d</w:t>
      </w:r>
      <w:r w:rsidR="00F36E35">
        <w:t xml:space="preserve">e valoriser </w:t>
      </w:r>
      <w:r w:rsidR="0071469F">
        <w:t>les métiers de l’</w:t>
      </w:r>
      <w:r w:rsidR="0071469F">
        <w:rPr>
          <w:rFonts w:cstheme="minorHAnsi"/>
        </w:rPr>
        <w:t>É</w:t>
      </w:r>
      <w:r w:rsidR="0071469F">
        <w:t xml:space="preserve">ducation Nationale. </w:t>
      </w:r>
    </w:p>
    <w:p w:rsidR="00CE5372" w:rsidRDefault="00CE5372" w:rsidP="00873404">
      <w:pPr>
        <w:jc w:val="both"/>
      </w:pPr>
    </w:p>
    <w:p w:rsidR="00BF4D0B" w:rsidRDefault="00BF4D0B" w:rsidP="00873404">
      <w:pPr>
        <w:pStyle w:val="Paragraphedeliste"/>
        <w:numPr>
          <w:ilvl w:val="0"/>
          <w:numId w:val="3"/>
        </w:numPr>
        <w:ind w:left="284" w:hanging="284"/>
        <w:jc w:val="both"/>
        <w:rPr>
          <w:b/>
          <w:sz w:val="28"/>
        </w:rPr>
      </w:pPr>
      <w:r w:rsidRPr="00755EC5">
        <w:rPr>
          <w:b/>
          <w:sz w:val="28"/>
        </w:rPr>
        <w:lastRenderedPageBreak/>
        <w:t xml:space="preserve">Continuité des services pendant les Jeux Olympiques et </w:t>
      </w:r>
      <w:r w:rsidR="001E7F3B" w:rsidRPr="00755EC5">
        <w:rPr>
          <w:b/>
          <w:sz w:val="28"/>
        </w:rPr>
        <w:t>paralympiques</w:t>
      </w:r>
    </w:p>
    <w:p w:rsidR="00755EC5" w:rsidRDefault="0037043B" w:rsidP="00873404">
      <w:pPr>
        <w:jc w:val="both"/>
      </w:pPr>
      <w:r>
        <w:t>La tenue des jeux olympiques et paralympiques impose un cadre particulier pendant la période</w:t>
      </w:r>
      <w:r w:rsidR="00F36E35">
        <w:t xml:space="preserve"> du 24 mai au 8 septembre</w:t>
      </w:r>
      <w:r>
        <w:t>.</w:t>
      </w:r>
      <w:r w:rsidR="000F1F2C">
        <w:t xml:space="preserve"> L’administration explique que par mesure de continuité de s</w:t>
      </w:r>
      <w:r w:rsidR="00F36E35">
        <w:t>ervice, 50% des équipes SDJES (personnel</w:t>
      </w:r>
      <w:r w:rsidR="006936DF">
        <w:t>s</w:t>
      </w:r>
      <w:r w:rsidR="00F36E35">
        <w:t xml:space="preserve"> technique, pédagogique et administratif)</w:t>
      </w:r>
      <w:r w:rsidR="000F1F2C">
        <w:t xml:space="preserve"> </w:t>
      </w:r>
      <w:r w:rsidR="006936DF">
        <w:t>seront d’astreinte</w:t>
      </w:r>
      <w:bookmarkStart w:id="0" w:name="_GoBack"/>
      <w:bookmarkEnd w:id="0"/>
      <w:r w:rsidR="00F36E35">
        <w:t xml:space="preserve"> pour assurer la continuité des services </w:t>
      </w:r>
      <w:r w:rsidR="000F1F2C">
        <w:t xml:space="preserve">supports (informatique et logistique). </w:t>
      </w:r>
      <w:r w:rsidR="00F36E35">
        <w:t>L’administration explique aussi la mobilisation de l’encadrement départemental et académique (cadres de la SDJES, cabinet de la Rectrice, les DASEN, et les secrétaires généraux).</w:t>
      </w:r>
    </w:p>
    <w:p w:rsidR="00335038" w:rsidRDefault="00335038" w:rsidP="00873404">
      <w:pPr>
        <w:jc w:val="both"/>
      </w:pPr>
    </w:p>
    <w:p w:rsidR="00BF4D0B" w:rsidRDefault="00755EC5" w:rsidP="00873404">
      <w:pPr>
        <w:pStyle w:val="Paragraphedeliste"/>
        <w:numPr>
          <w:ilvl w:val="0"/>
          <w:numId w:val="3"/>
        </w:numPr>
        <w:ind w:left="284" w:hanging="284"/>
        <w:jc w:val="both"/>
        <w:rPr>
          <w:b/>
          <w:sz w:val="28"/>
        </w:rPr>
      </w:pPr>
      <w:r>
        <w:rPr>
          <w:b/>
          <w:sz w:val="28"/>
        </w:rPr>
        <w:t>Questions diverses</w:t>
      </w:r>
    </w:p>
    <w:p w:rsidR="00755EC5" w:rsidRDefault="00755EC5" w:rsidP="00873404">
      <w:pPr>
        <w:jc w:val="both"/>
      </w:pPr>
      <w:r>
        <w:t xml:space="preserve">Les représentants du personnel demandent à l’administration </w:t>
      </w:r>
      <w:r w:rsidR="000F1F2C">
        <w:t xml:space="preserve">si une date a été fixée pour le </w:t>
      </w:r>
      <w:r w:rsidR="003F0777">
        <w:t>groupe de travail pour préparer la visite du SAGE1D. L’administration doit revenir très prochainement vers eux.</w:t>
      </w:r>
    </w:p>
    <w:p w:rsidR="00755EC5" w:rsidRPr="00755EC5" w:rsidRDefault="00755EC5" w:rsidP="00873404">
      <w:pPr>
        <w:jc w:val="both"/>
        <w:rPr>
          <w:b/>
          <w:sz w:val="28"/>
        </w:rPr>
      </w:pPr>
    </w:p>
    <w:sectPr w:rsidR="00755EC5" w:rsidRPr="00755EC5" w:rsidSect="00335038">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E53"/>
    <w:multiLevelType w:val="multilevel"/>
    <w:tmpl w:val="9F0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06171"/>
    <w:multiLevelType w:val="hybridMultilevel"/>
    <w:tmpl w:val="45F65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1405AB"/>
    <w:multiLevelType w:val="multilevel"/>
    <w:tmpl w:val="55D8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C1998"/>
    <w:multiLevelType w:val="hybridMultilevel"/>
    <w:tmpl w:val="290AF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4A6A1D"/>
    <w:multiLevelType w:val="hybridMultilevel"/>
    <w:tmpl w:val="1A208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29"/>
    <w:rsid w:val="00053BAF"/>
    <w:rsid w:val="000F1F2C"/>
    <w:rsid w:val="00190EC9"/>
    <w:rsid w:val="001E7F3B"/>
    <w:rsid w:val="00256868"/>
    <w:rsid w:val="00274A07"/>
    <w:rsid w:val="00335038"/>
    <w:rsid w:val="0037043B"/>
    <w:rsid w:val="00381A92"/>
    <w:rsid w:val="003F0777"/>
    <w:rsid w:val="00404CEA"/>
    <w:rsid w:val="005A5C09"/>
    <w:rsid w:val="005E4F1C"/>
    <w:rsid w:val="00611073"/>
    <w:rsid w:val="006153F8"/>
    <w:rsid w:val="006936DF"/>
    <w:rsid w:val="006B2802"/>
    <w:rsid w:val="006D6000"/>
    <w:rsid w:val="0071469F"/>
    <w:rsid w:val="00720CE5"/>
    <w:rsid w:val="00755EC5"/>
    <w:rsid w:val="008031A8"/>
    <w:rsid w:val="00873404"/>
    <w:rsid w:val="00915320"/>
    <w:rsid w:val="00920F70"/>
    <w:rsid w:val="0096414B"/>
    <w:rsid w:val="00A07D8F"/>
    <w:rsid w:val="00BD3328"/>
    <w:rsid w:val="00BD7E29"/>
    <w:rsid w:val="00BF4D0B"/>
    <w:rsid w:val="00CE5372"/>
    <w:rsid w:val="00D06670"/>
    <w:rsid w:val="00D4091D"/>
    <w:rsid w:val="00E2221B"/>
    <w:rsid w:val="00EB57E6"/>
    <w:rsid w:val="00EC18EF"/>
    <w:rsid w:val="00F36E35"/>
    <w:rsid w:val="00F37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1290"/>
  <w15:chartTrackingRefBased/>
  <w15:docId w15:val="{F39F309A-EFCA-4499-A780-1FC49BEA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C18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C18E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D0B"/>
    <w:pPr>
      <w:ind w:left="720"/>
      <w:contextualSpacing/>
    </w:pPr>
  </w:style>
  <w:style w:type="table" w:styleId="Grilledutableau">
    <w:name w:val="Table Grid"/>
    <w:basedOn w:val="TableauNormal"/>
    <w:uiPriority w:val="39"/>
    <w:rsid w:val="000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053B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EC18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C18E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C18E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C18EF"/>
    <w:rPr>
      <w:color w:val="0000FF"/>
      <w:u w:val="single"/>
    </w:rPr>
  </w:style>
  <w:style w:type="character" w:customStyle="1" w:styleId="screen-reader-text">
    <w:name w:val="screen-reader-text"/>
    <w:basedOn w:val="Policepardfaut"/>
    <w:rsid w:val="00EC18EF"/>
  </w:style>
  <w:style w:type="character" w:customStyle="1" w:styleId="fusion-date">
    <w:name w:val="fusion-date"/>
    <w:basedOn w:val="Policepardfaut"/>
    <w:rsid w:val="00EC18EF"/>
  </w:style>
  <w:style w:type="paragraph" w:styleId="z-Hautduformulaire">
    <w:name w:val="HTML Top of Form"/>
    <w:basedOn w:val="Normal"/>
    <w:next w:val="Normal"/>
    <w:link w:val="z-HautduformulaireCar"/>
    <w:hidden/>
    <w:uiPriority w:val="99"/>
    <w:semiHidden/>
    <w:unhideWhenUsed/>
    <w:rsid w:val="00EC18E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C18E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C18E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C18EF"/>
    <w:rPr>
      <w:rFonts w:ascii="Arial" w:eastAsia="Times New Roman" w:hAnsi="Arial" w:cs="Arial"/>
      <w:vanish/>
      <w:sz w:val="16"/>
      <w:szCs w:val="16"/>
      <w:lang w:eastAsia="fr-FR"/>
    </w:rPr>
  </w:style>
  <w:style w:type="character" w:styleId="lev">
    <w:name w:val="Strong"/>
    <w:basedOn w:val="Policepardfaut"/>
    <w:uiPriority w:val="22"/>
    <w:qFormat/>
    <w:rsid w:val="00EC1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7456">
      <w:bodyDiv w:val="1"/>
      <w:marLeft w:val="0"/>
      <w:marRight w:val="0"/>
      <w:marTop w:val="0"/>
      <w:marBottom w:val="0"/>
      <w:divBdr>
        <w:top w:val="none" w:sz="0" w:space="0" w:color="auto"/>
        <w:left w:val="none" w:sz="0" w:space="0" w:color="auto"/>
        <w:bottom w:val="none" w:sz="0" w:space="0" w:color="auto"/>
        <w:right w:val="none" w:sz="0" w:space="0" w:color="auto"/>
      </w:divBdr>
      <w:divsChild>
        <w:div w:id="1199007230">
          <w:marLeft w:val="0"/>
          <w:marRight w:val="0"/>
          <w:marTop w:val="0"/>
          <w:marBottom w:val="0"/>
          <w:divBdr>
            <w:top w:val="none" w:sz="0" w:space="0" w:color="auto"/>
            <w:left w:val="none" w:sz="0" w:space="0" w:color="auto"/>
            <w:bottom w:val="none" w:sz="0" w:space="0" w:color="auto"/>
            <w:right w:val="none" w:sz="0" w:space="0" w:color="auto"/>
          </w:divBdr>
        </w:div>
        <w:div w:id="1520243890">
          <w:marLeft w:val="0"/>
          <w:marRight w:val="0"/>
          <w:marTop w:val="0"/>
          <w:marBottom w:val="0"/>
          <w:divBdr>
            <w:top w:val="none" w:sz="0" w:space="0" w:color="auto"/>
            <w:left w:val="none" w:sz="0" w:space="0" w:color="auto"/>
            <w:bottom w:val="none" w:sz="0" w:space="0" w:color="auto"/>
            <w:right w:val="none" w:sz="0" w:space="0" w:color="auto"/>
          </w:divBdr>
          <w:divsChild>
            <w:div w:id="1241452871">
              <w:marLeft w:val="0"/>
              <w:marRight w:val="0"/>
              <w:marTop w:val="0"/>
              <w:marBottom w:val="0"/>
              <w:divBdr>
                <w:top w:val="none" w:sz="0" w:space="0" w:color="auto"/>
                <w:left w:val="none" w:sz="0" w:space="0" w:color="auto"/>
                <w:bottom w:val="none" w:sz="0" w:space="0" w:color="auto"/>
                <w:right w:val="none" w:sz="0" w:space="0" w:color="auto"/>
              </w:divBdr>
              <w:divsChild>
                <w:div w:id="17234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9301">
          <w:marLeft w:val="0"/>
          <w:marRight w:val="0"/>
          <w:marTop w:val="0"/>
          <w:marBottom w:val="450"/>
          <w:divBdr>
            <w:top w:val="none" w:sz="0" w:space="0" w:color="auto"/>
            <w:left w:val="none" w:sz="0" w:space="0" w:color="auto"/>
            <w:bottom w:val="none" w:sz="0" w:space="0" w:color="auto"/>
            <w:right w:val="none" w:sz="0" w:space="0" w:color="auto"/>
          </w:divBdr>
        </w:div>
        <w:div w:id="1926566898">
          <w:marLeft w:val="0"/>
          <w:marRight w:val="0"/>
          <w:marTop w:val="0"/>
          <w:marBottom w:val="0"/>
          <w:divBdr>
            <w:top w:val="none" w:sz="0" w:space="0" w:color="auto"/>
            <w:left w:val="none" w:sz="0" w:space="0" w:color="auto"/>
            <w:bottom w:val="none" w:sz="0" w:space="0" w:color="auto"/>
            <w:right w:val="none" w:sz="0" w:space="0" w:color="auto"/>
          </w:divBdr>
          <w:divsChild>
            <w:div w:id="681589553">
              <w:marLeft w:val="0"/>
              <w:marRight w:val="0"/>
              <w:marTop w:val="0"/>
              <w:marBottom w:val="0"/>
              <w:divBdr>
                <w:top w:val="none" w:sz="0" w:space="0" w:color="auto"/>
                <w:left w:val="none" w:sz="0" w:space="0" w:color="auto"/>
                <w:bottom w:val="none" w:sz="0" w:space="0" w:color="auto"/>
                <w:right w:val="none" w:sz="0" w:space="0" w:color="auto"/>
              </w:divBdr>
              <w:divsChild>
                <w:div w:id="1795564774">
                  <w:marLeft w:val="0"/>
                  <w:marRight w:val="300"/>
                  <w:marTop w:val="0"/>
                  <w:marBottom w:val="0"/>
                  <w:divBdr>
                    <w:top w:val="none" w:sz="0" w:space="0" w:color="auto"/>
                    <w:left w:val="none" w:sz="0" w:space="0" w:color="auto"/>
                    <w:bottom w:val="none" w:sz="0" w:space="0" w:color="auto"/>
                    <w:right w:val="none" w:sz="0" w:space="0" w:color="auto"/>
                  </w:divBdr>
                  <w:divsChild>
                    <w:div w:id="383870352">
                      <w:marLeft w:val="0"/>
                      <w:marRight w:val="0"/>
                      <w:marTop w:val="0"/>
                      <w:marBottom w:val="0"/>
                      <w:divBdr>
                        <w:top w:val="none" w:sz="0" w:space="0" w:color="auto"/>
                        <w:left w:val="none" w:sz="0" w:space="0" w:color="auto"/>
                        <w:bottom w:val="none" w:sz="0" w:space="0" w:color="auto"/>
                        <w:right w:val="none" w:sz="0" w:space="0" w:color="auto"/>
                      </w:divBdr>
                      <w:divsChild>
                        <w:div w:id="50429479">
                          <w:marLeft w:val="0"/>
                          <w:marRight w:val="0"/>
                          <w:marTop w:val="0"/>
                          <w:marBottom w:val="0"/>
                          <w:divBdr>
                            <w:top w:val="none" w:sz="0" w:space="0" w:color="auto"/>
                            <w:left w:val="none" w:sz="0" w:space="0" w:color="auto"/>
                            <w:bottom w:val="none" w:sz="0" w:space="0" w:color="auto"/>
                            <w:right w:val="none" w:sz="0" w:space="0" w:color="auto"/>
                          </w:divBdr>
                          <w:divsChild>
                            <w:div w:id="4943740">
                              <w:marLeft w:val="0"/>
                              <w:marRight w:val="0"/>
                              <w:marTop w:val="0"/>
                              <w:marBottom w:val="0"/>
                              <w:divBdr>
                                <w:top w:val="none" w:sz="0" w:space="0" w:color="auto"/>
                                <w:left w:val="none" w:sz="0" w:space="0" w:color="auto"/>
                                <w:bottom w:val="none" w:sz="0" w:space="0" w:color="auto"/>
                                <w:right w:val="none" w:sz="0" w:space="0" w:color="auto"/>
                              </w:divBdr>
                              <w:divsChild>
                                <w:div w:id="1097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9250">
                  <w:marLeft w:val="0"/>
                  <w:marRight w:val="300"/>
                  <w:marTop w:val="0"/>
                  <w:marBottom w:val="0"/>
                  <w:divBdr>
                    <w:top w:val="none" w:sz="0" w:space="0" w:color="auto"/>
                    <w:left w:val="none" w:sz="0" w:space="0" w:color="auto"/>
                    <w:bottom w:val="none" w:sz="0" w:space="0" w:color="auto"/>
                    <w:right w:val="none" w:sz="0" w:space="0" w:color="auto"/>
                  </w:divBdr>
                  <w:divsChild>
                    <w:div w:id="461850515">
                      <w:marLeft w:val="0"/>
                      <w:marRight w:val="0"/>
                      <w:marTop w:val="0"/>
                      <w:marBottom w:val="0"/>
                      <w:divBdr>
                        <w:top w:val="none" w:sz="0" w:space="0" w:color="auto"/>
                        <w:left w:val="none" w:sz="0" w:space="0" w:color="auto"/>
                        <w:bottom w:val="none" w:sz="0" w:space="0" w:color="auto"/>
                        <w:right w:val="none" w:sz="0" w:space="0" w:color="auto"/>
                      </w:divBdr>
                      <w:divsChild>
                        <w:div w:id="52896447">
                          <w:marLeft w:val="0"/>
                          <w:marRight w:val="0"/>
                          <w:marTop w:val="0"/>
                          <w:marBottom w:val="0"/>
                          <w:divBdr>
                            <w:top w:val="none" w:sz="0" w:space="0" w:color="auto"/>
                            <w:left w:val="none" w:sz="0" w:space="0" w:color="auto"/>
                            <w:bottom w:val="none" w:sz="0" w:space="0" w:color="auto"/>
                            <w:right w:val="none" w:sz="0" w:space="0" w:color="auto"/>
                          </w:divBdr>
                          <w:divsChild>
                            <w:div w:id="7297847">
                              <w:marLeft w:val="0"/>
                              <w:marRight w:val="0"/>
                              <w:marTop w:val="0"/>
                              <w:marBottom w:val="0"/>
                              <w:divBdr>
                                <w:top w:val="none" w:sz="0" w:space="0" w:color="auto"/>
                                <w:left w:val="none" w:sz="0" w:space="0" w:color="auto"/>
                                <w:bottom w:val="none" w:sz="0" w:space="0" w:color="auto"/>
                                <w:right w:val="none" w:sz="0" w:space="0" w:color="auto"/>
                              </w:divBdr>
                              <w:divsChild>
                                <w:div w:id="2662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7095">
                  <w:marLeft w:val="0"/>
                  <w:marRight w:val="300"/>
                  <w:marTop w:val="0"/>
                  <w:marBottom w:val="0"/>
                  <w:divBdr>
                    <w:top w:val="none" w:sz="0" w:space="0" w:color="auto"/>
                    <w:left w:val="none" w:sz="0" w:space="0" w:color="auto"/>
                    <w:bottom w:val="none" w:sz="0" w:space="0" w:color="auto"/>
                    <w:right w:val="none" w:sz="0" w:space="0" w:color="auto"/>
                  </w:divBdr>
                  <w:divsChild>
                    <w:div w:id="964383856">
                      <w:marLeft w:val="0"/>
                      <w:marRight w:val="0"/>
                      <w:marTop w:val="0"/>
                      <w:marBottom w:val="0"/>
                      <w:divBdr>
                        <w:top w:val="none" w:sz="0" w:space="0" w:color="auto"/>
                        <w:left w:val="none" w:sz="0" w:space="0" w:color="auto"/>
                        <w:bottom w:val="none" w:sz="0" w:space="0" w:color="auto"/>
                        <w:right w:val="none" w:sz="0" w:space="0" w:color="auto"/>
                      </w:divBdr>
                      <w:divsChild>
                        <w:div w:id="1265575260">
                          <w:marLeft w:val="0"/>
                          <w:marRight w:val="0"/>
                          <w:marTop w:val="0"/>
                          <w:marBottom w:val="0"/>
                          <w:divBdr>
                            <w:top w:val="none" w:sz="0" w:space="0" w:color="auto"/>
                            <w:left w:val="none" w:sz="0" w:space="0" w:color="auto"/>
                            <w:bottom w:val="none" w:sz="0" w:space="0" w:color="auto"/>
                            <w:right w:val="none" w:sz="0" w:space="0" w:color="auto"/>
                          </w:divBdr>
                          <w:divsChild>
                            <w:div w:id="750660816">
                              <w:marLeft w:val="0"/>
                              <w:marRight w:val="0"/>
                              <w:marTop w:val="0"/>
                              <w:marBottom w:val="0"/>
                              <w:divBdr>
                                <w:top w:val="none" w:sz="0" w:space="0" w:color="auto"/>
                                <w:left w:val="none" w:sz="0" w:space="0" w:color="auto"/>
                                <w:bottom w:val="none" w:sz="0" w:space="0" w:color="auto"/>
                                <w:right w:val="none" w:sz="0" w:space="0" w:color="auto"/>
                              </w:divBdr>
                              <w:divsChild>
                                <w:div w:id="5278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262">
                  <w:marLeft w:val="0"/>
                  <w:marRight w:val="300"/>
                  <w:marTop w:val="0"/>
                  <w:marBottom w:val="0"/>
                  <w:divBdr>
                    <w:top w:val="none" w:sz="0" w:space="0" w:color="auto"/>
                    <w:left w:val="none" w:sz="0" w:space="0" w:color="auto"/>
                    <w:bottom w:val="none" w:sz="0" w:space="0" w:color="auto"/>
                    <w:right w:val="none" w:sz="0" w:space="0" w:color="auto"/>
                  </w:divBdr>
                  <w:divsChild>
                    <w:div w:id="1072192766">
                      <w:marLeft w:val="0"/>
                      <w:marRight w:val="0"/>
                      <w:marTop w:val="0"/>
                      <w:marBottom w:val="0"/>
                      <w:divBdr>
                        <w:top w:val="none" w:sz="0" w:space="0" w:color="auto"/>
                        <w:left w:val="none" w:sz="0" w:space="0" w:color="auto"/>
                        <w:bottom w:val="none" w:sz="0" w:space="0" w:color="auto"/>
                        <w:right w:val="none" w:sz="0" w:space="0" w:color="auto"/>
                      </w:divBdr>
                      <w:divsChild>
                        <w:div w:id="192808366">
                          <w:marLeft w:val="0"/>
                          <w:marRight w:val="0"/>
                          <w:marTop w:val="0"/>
                          <w:marBottom w:val="0"/>
                          <w:divBdr>
                            <w:top w:val="none" w:sz="0" w:space="0" w:color="auto"/>
                            <w:left w:val="none" w:sz="0" w:space="0" w:color="auto"/>
                            <w:bottom w:val="none" w:sz="0" w:space="0" w:color="auto"/>
                            <w:right w:val="none" w:sz="0" w:space="0" w:color="auto"/>
                          </w:divBdr>
                          <w:divsChild>
                            <w:div w:id="1125586802">
                              <w:marLeft w:val="0"/>
                              <w:marRight w:val="0"/>
                              <w:marTop w:val="0"/>
                              <w:marBottom w:val="0"/>
                              <w:divBdr>
                                <w:top w:val="none" w:sz="0" w:space="0" w:color="auto"/>
                                <w:left w:val="none" w:sz="0" w:space="0" w:color="auto"/>
                                <w:bottom w:val="none" w:sz="0" w:space="0" w:color="auto"/>
                                <w:right w:val="none" w:sz="0" w:space="0" w:color="auto"/>
                              </w:divBdr>
                              <w:divsChild>
                                <w:div w:id="2014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2204">
                  <w:marLeft w:val="0"/>
                  <w:marRight w:val="300"/>
                  <w:marTop w:val="0"/>
                  <w:marBottom w:val="0"/>
                  <w:divBdr>
                    <w:top w:val="none" w:sz="0" w:space="0" w:color="auto"/>
                    <w:left w:val="none" w:sz="0" w:space="0" w:color="auto"/>
                    <w:bottom w:val="none" w:sz="0" w:space="0" w:color="auto"/>
                    <w:right w:val="none" w:sz="0" w:space="0" w:color="auto"/>
                  </w:divBdr>
                  <w:divsChild>
                    <w:div w:id="1961644780">
                      <w:marLeft w:val="0"/>
                      <w:marRight w:val="0"/>
                      <w:marTop w:val="0"/>
                      <w:marBottom w:val="0"/>
                      <w:divBdr>
                        <w:top w:val="none" w:sz="0" w:space="0" w:color="auto"/>
                        <w:left w:val="none" w:sz="0" w:space="0" w:color="auto"/>
                        <w:bottom w:val="none" w:sz="0" w:space="0" w:color="auto"/>
                        <w:right w:val="none" w:sz="0" w:space="0" w:color="auto"/>
                      </w:divBdr>
                      <w:divsChild>
                        <w:div w:id="1698651095">
                          <w:marLeft w:val="0"/>
                          <w:marRight w:val="0"/>
                          <w:marTop w:val="0"/>
                          <w:marBottom w:val="0"/>
                          <w:divBdr>
                            <w:top w:val="none" w:sz="0" w:space="0" w:color="auto"/>
                            <w:left w:val="none" w:sz="0" w:space="0" w:color="auto"/>
                            <w:bottom w:val="none" w:sz="0" w:space="0" w:color="auto"/>
                            <w:right w:val="none" w:sz="0" w:space="0" w:color="auto"/>
                          </w:divBdr>
                          <w:divsChild>
                            <w:div w:id="2114157929">
                              <w:marLeft w:val="0"/>
                              <w:marRight w:val="0"/>
                              <w:marTop w:val="0"/>
                              <w:marBottom w:val="0"/>
                              <w:divBdr>
                                <w:top w:val="none" w:sz="0" w:space="0" w:color="auto"/>
                                <w:left w:val="none" w:sz="0" w:space="0" w:color="auto"/>
                                <w:bottom w:val="none" w:sz="0" w:space="0" w:color="auto"/>
                                <w:right w:val="none" w:sz="0" w:space="0" w:color="auto"/>
                              </w:divBdr>
                              <w:divsChild>
                                <w:div w:id="9113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904">
                  <w:marLeft w:val="0"/>
                  <w:marRight w:val="300"/>
                  <w:marTop w:val="0"/>
                  <w:marBottom w:val="0"/>
                  <w:divBdr>
                    <w:top w:val="none" w:sz="0" w:space="0" w:color="auto"/>
                    <w:left w:val="none" w:sz="0" w:space="0" w:color="auto"/>
                    <w:bottom w:val="none" w:sz="0" w:space="0" w:color="auto"/>
                    <w:right w:val="none" w:sz="0" w:space="0" w:color="auto"/>
                  </w:divBdr>
                  <w:divsChild>
                    <w:div w:id="1546453903">
                      <w:marLeft w:val="0"/>
                      <w:marRight w:val="0"/>
                      <w:marTop w:val="0"/>
                      <w:marBottom w:val="0"/>
                      <w:divBdr>
                        <w:top w:val="none" w:sz="0" w:space="0" w:color="auto"/>
                        <w:left w:val="none" w:sz="0" w:space="0" w:color="auto"/>
                        <w:bottom w:val="none" w:sz="0" w:space="0" w:color="auto"/>
                        <w:right w:val="none" w:sz="0" w:space="0" w:color="auto"/>
                      </w:divBdr>
                      <w:divsChild>
                        <w:div w:id="1947233330">
                          <w:marLeft w:val="0"/>
                          <w:marRight w:val="0"/>
                          <w:marTop w:val="0"/>
                          <w:marBottom w:val="0"/>
                          <w:divBdr>
                            <w:top w:val="none" w:sz="0" w:space="0" w:color="auto"/>
                            <w:left w:val="none" w:sz="0" w:space="0" w:color="auto"/>
                            <w:bottom w:val="none" w:sz="0" w:space="0" w:color="auto"/>
                            <w:right w:val="none" w:sz="0" w:space="0" w:color="auto"/>
                          </w:divBdr>
                          <w:divsChild>
                            <w:div w:id="1980376146">
                              <w:marLeft w:val="0"/>
                              <w:marRight w:val="0"/>
                              <w:marTop w:val="0"/>
                              <w:marBottom w:val="0"/>
                              <w:divBdr>
                                <w:top w:val="none" w:sz="0" w:space="0" w:color="auto"/>
                                <w:left w:val="none" w:sz="0" w:space="0" w:color="auto"/>
                                <w:bottom w:val="none" w:sz="0" w:space="0" w:color="auto"/>
                                <w:right w:val="none" w:sz="0" w:space="0" w:color="auto"/>
                              </w:divBdr>
                              <w:divsChild>
                                <w:div w:id="1206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858">
                  <w:marLeft w:val="0"/>
                  <w:marRight w:val="300"/>
                  <w:marTop w:val="0"/>
                  <w:marBottom w:val="0"/>
                  <w:divBdr>
                    <w:top w:val="none" w:sz="0" w:space="0" w:color="auto"/>
                    <w:left w:val="none" w:sz="0" w:space="0" w:color="auto"/>
                    <w:bottom w:val="none" w:sz="0" w:space="0" w:color="auto"/>
                    <w:right w:val="none" w:sz="0" w:space="0" w:color="auto"/>
                  </w:divBdr>
                  <w:divsChild>
                    <w:div w:id="1488202878">
                      <w:marLeft w:val="0"/>
                      <w:marRight w:val="0"/>
                      <w:marTop w:val="0"/>
                      <w:marBottom w:val="0"/>
                      <w:divBdr>
                        <w:top w:val="none" w:sz="0" w:space="0" w:color="auto"/>
                        <w:left w:val="none" w:sz="0" w:space="0" w:color="auto"/>
                        <w:bottom w:val="none" w:sz="0" w:space="0" w:color="auto"/>
                        <w:right w:val="none" w:sz="0" w:space="0" w:color="auto"/>
                      </w:divBdr>
                      <w:divsChild>
                        <w:div w:id="576940625">
                          <w:marLeft w:val="0"/>
                          <w:marRight w:val="0"/>
                          <w:marTop w:val="0"/>
                          <w:marBottom w:val="0"/>
                          <w:divBdr>
                            <w:top w:val="none" w:sz="0" w:space="0" w:color="auto"/>
                            <w:left w:val="none" w:sz="0" w:space="0" w:color="auto"/>
                            <w:bottom w:val="none" w:sz="0" w:space="0" w:color="auto"/>
                            <w:right w:val="none" w:sz="0" w:space="0" w:color="auto"/>
                          </w:divBdr>
                          <w:divsChild>
                            <w:div w:id="460728324">
                              <w:marLeft w:val="0"/>
                              <w:marRight w:val="0"/>
                              <w:marTop w:val="0"/>
                              <w:marBottom w:val="0"/>
                              <w:divBdr>
                                <w:top w:val="none" w:sz="0" w:space="0" w:color="auto"/>
                                <w:left w:val="none" w:sz="0" w:space="0" w:color="auto"/>
                                <w:bottom w:val="none" w:sz="0" w:space="0" w:color="auto"/>
                                <w:right w:val="none" w:sz="0" w:space="0" w:color="auto"/>
                              </w:divBdr>
                              <w:divsChild>
                                <w:div w:id="630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536">
                  <w:marLeft w:val="0"/>
                  <w:marRight w:val="300"/>
                  <w:marTop w:val="0"/>
                  <w:marBottom w:val="0"/>
                  <w:divBdr>
                    <w:top w:val="none" w:sz="0" w:space="0" w:color="auto"/>
                    <w:left w:val="none" w:sz="0" w:space="0" w:color="auto"/>
                    <w:bottom w:val="none" w:sz="0" w:space="0" w:color="auto"/>
                    <w:right w:val="none" w:sz="0" w:space="0" w:color="auto"/>
                  </w:divBdr>
                  <w:divsChild>
                    <w:div w:id="1723286770">
                      <w:marLeft w:val="0"/>
                      <w:marRight w:val="0"/>
                      <w:marTop w:val="0"/>
                      <w:marBottom w:val="0"/>
                      <w:divBdr>
                        <w:top w:val="none" w:sz="0" w:space="0" w:color="auto"/>
                        <w:left w:val="none" w:sz="0" w:space="0" w:color="auto"/>
                        <w:bottom w:val="none" w:sz="0" w:space="0" w:color="auto"/>
                        <w:right w:val="none" w:sz="0" w:space="0" w:color="auto"/>
                      </w:divBdr>
                      <w:divsChild>
                        <w:div w:id="1149203486">
                          <w:marLeft w:val="0"/>
                          <w:marRight w:val="0"/>
                          <w:marTop w:val="0"/>
                          <w:marBottom w:val="0"/>
                          <w:divBdr>
                            <w:top w:val="none" w:sz="0" w:space="0" w:color="auto"/>
                            <w:left w:val="none" w:sz="0" w:space="0" w:color="auto"/>
                            <w:bottom w:val="none" w:sz="0" w:space="0" w:color="auto"/>
                            <w:right w:val="none" w:sz="0" w:space="0" w:color="auto"/>
                          </w:divBdr>
                          <w:divsChild>
                            <w:div w:id="1361205596">
                              <w:marLeft w:val="0"/>
                              <w:marRight w:val="0"/>
                              <w:marTop w:val="0"/>
                              <w:marBottom w:val="0"/>
                              <w:divBdr>
                                <w:top w:val="none" w:sz="0" w:space="0" w:color="auto"/>
                                <w:left w:val="none" w:sz="0" w:space="0" w:color="auto"/>
                                <w:bottom w:val="none" w:sz="0" w:space="0" w:color="auto"/>
                                <w:right w:val="none" w:sz="0" w:space="0" w:color="auto"/>
                              </w:divBdr>
                              <w:divsChild>
                                <w:div w:id="12392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6870">
                  <w:marLeft w:val="0"/>
                  <w:marRight w:val="300"/>
                  <w:marTop w:val="0"/>
                  <w:marBottom w:val="0"/>
                  <w:divBdr>
                    <w:top w:val="none" w:sz="0" w:space="0" w:color="auto"/>
                    <w:left w:val="none" w:sz="0" w:space="0" w:color="auto"/>
                    <w:bottom w:val="none" w:sz="0" w:space="0" w:color="auto"/>
                    <w:right w:val="none" w:sz="0" w:space="0" w:color="auto"/>
                  </w:divBdr>
                  <w:divsChild>
                    <w:div w:id="562757733">
                      <w:marLeft w:val="0"/>
                      <w:marRight w:val="0"/>
                      <w:marTop w:val="0"/>
                      <w:marBottom w:val="0"/>
                      <w:divBdr>
                        <w:top w:val="none" w:sz="0" w:space="0" w:color="auto"/>
                        <w:left w:val="none" w:sz="0" w:space="0" w:color="auto"/>
                        <w:bottom w:val="none" w:sz="0" w:space="0" w:color="auto"/>
                        <w:right w:val="none" w:sz="0" w:space="0" w:color="auto"/>
                      </w:divBdr>
                      <w:divsChild>
                        <w:div w:id="1310207750">
                          <w:marLeft w:val="0"/>
                          <w:marRight w:val="0"/>
                          <w:marTop w:val="0"/>
                          <w:marBottom w:val="0"/>
                          <w:divBdr>
                            <w:top w:val="none" w:sz="0" w:space="0" w:color="auto"/>
                            <w:left w:val="none" w:sz="0" w:space="0" w:color="auto"/>
                            <w:bottom w:val="none" w:sz="0" w:space="0" w:color="auto"/>
                            <w:right w:val="none" w:sz="0" w:space="0" w:color="auto"/>
                          </w:divBdr>
                          <w:divsChild>
                            <w:div w:id="1273589900">
                              <w:marLeft w:val="0"/>
                              <w:marRight w:val="0"/>
                              <w:marTop w:val="0"/>
                              <w:marBottom w:val="0"/>
                              <w:divBdr>
                                <w:top w:val="none" w:sz="0" w:space="0" w:color="auto"/>
                                <w:left w:val="none" w:sz="0" w:space="0" w:color="auto"/>
                                <w:bottom w:val="none" w:sz="0" w:space="0" w:color="auto"/>
                                <w:right w:val="none" w:sz="0" w:space="0" w:color="auto"/>
                              </w:divBdr>
                              <w:divsChild>
                                <w:div w:id="775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4439">
                  <w:marLeft w:val="0"/>
                  <w:marRight w:val="300"/>
                  <w:marTop w:val="0"/>
                  <w:marBottom w:val="0"/>
                  <w:divBdr>
                    <w:top w:val="none" w:sz="0" w:space="0" w:color="auto"/>
                    <w:left w:val="none" w:sz="0" w:space="0" w:color="auto"/>
                    <w:bottom w:val="none" w:sz="0" w:space="0" w:color="auto"/>
                    <w:right w:val="none" w:sz="0" w:space="0" w:color="auto"/>
                  </w:divBdr>
                  <w:divsChild>
                    <w:div w:id="1660577829">
                      <w:marLeft w:val="0"/>
                      <w:marRight w:val="0"/>
                      <w:marTop w:val="0"/>
                      <w:marBottom w:val="0"/>
                      <w:divBdr>
                        <w:top w:val="none" w:sz="0" w:space="0" w:color="auto"/>
                        <w:left w:val="none" w:sz="0" w:space="0" w:color="auto"/>
                        <w:bottom w:val="none" w:sz="0" w:space="0" w:color="auto"/>
                        <w:right w:val="none" w:sz="0" w:space="0" w:color="auto"/>
                      </w:divBdr>
                      <w:divsChild>
                        <w:div w:id="782262613">
                          <w:marLeft w:val="0"/>
                          <w:marRight w:val="0"/>
                          <w:marTop w:val="0"/>
                          <w:marBottom w:val="0"/>
                          <w:divBdr>
                            <w:top w:val="none" w:sz="0" w:space="0" w:color="auto"/>
                            <w:left w:val="none" w:sz="0" w:space="0" w:color="auto"/>
                            <w:bottom w:val="none" w:sz="0" w:space="0" w:color="auto"/>
                            <w:right w:val="none" w:sz="0" w:space="0" w:color="auto"/>
                          </w:divBdr>
                          <w:divsChild>
                            <w:div w:id="884871841">
                              <w:marLeft w:val="0"/>
                              <w:marRight w:val="0"/>
                              <w:marTop w:val="0"/>
                              <w:marBottom w:val="0"/>
                              <w:divBdr>
                                <w:top w:val="none" w:sz="0" w:space="0" w:color="auto"/>
                                <w:left w:val="none" w:sz="0" w:space="0" w:color="auto"/>
                                <w:bottom w:val="none" w:sz="0" w:space="0" w:color="auto"/>
                                <w:right w:val="none" w:sz="0" w:space="0" w:color="auto"/>
                              </w:divBdr>
                              <w:divsChild>
                                <w:div w:id="9318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7087">
                  <w:marLeft w:val="0"/>
                  <w:marRight w:val="300"/>
                  <w:marTop w:val="0"/>
                  <w:marBottom w:val="0"/>
                  <w:divBdr>
                    <w:top w:val="none" w:sz="0" w:space="0" w:color="auto"/>
                    <w:left w:val="none" w:sz="0" w:space="0" w:color="auto"/>
                    <w:bottom w:val="none" w:sz="0" w:space="0" w:color="auto"/>
                    <w:right w:val="none" w:sz="0" w:space="0" w:color="auto"/>
                  </w:divBdr>
                  <w:divsChild>
                    <w:div w:id="83235324">
                      <w:marLeft w:val="0"/>
                      <w:marRight w:val="0"/>
                      <w:marTop w:val="0"/>
                      <w:marBottom w:val="0"/>
                      <w:divBdr>
                        <w:top w:val="none" w:sz="0" w:space="0" w:color="auto"/>
                        <w:left w:val="none" w:sz="0" w:space="0" w:color="auto"/>
                        <w:bottom w:val="none" w:sz="0" w:space="0" w:color="auto"/>
                        <w:right w:val="none" w:sz="0" w:space="0" w:color="auto"/>
                      </w:divBdr>
                      <w:divsChild>
                        <w:div w:id="67847420">
                          <w:marLeft w:val="0"/>
                          <w:marRight w:val="0"/>
                          <w:marTop w:val="0"/>
                          <w:marBottom w:val="0"/>
                          <w:divBdr>
                            <w:top w:val="none" w:sz="0" w:space="0" w:color="auto"/>
                            <w:left w:val="none" w:sz="0" w:space="0" w:color="auto"/>
                            <w:bottom w:val="none" w:sz="0" w:space="0" w:color="auto"/>
                            <w:right w:val="none" w:sz="0" w:space="0" w:color="auto"/>
                          </w:divBdr>
                          <w:divsChild>
                            <w:div w:id="2125610155">
                              <w:marLeft w:val="0"/>
                              <w:marRight w:val="0"/>
                              <w:marTop w:val="0"/>
                              <w:marBottom w:val="0"/>
                              <w:divBdr>
                                <w:top w:val="none" w:sz="0" w:space="0" w:color="auto"/>
                                <w:left w:val="none" w:sz="0" w:space="0" w:color="auto"/>
                                <w:bottom w:val="none" w:sz="0" w:space="0" w:color="auto"/>
                                <w:right w:val="none" w:sz="0" w:space="0" w:color="auto"/>
                              </w:divBdr>
                              <w:divsChild>
                                <w:div w:id="102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6475">
          <w:marLeft w:val="0"/>
          <w:marRight w:val="0"/>
          <w:marTop w:val="0"/>
          <w:marBottom w:val="0"/>
          <w:divBdr>
            <w:top w:val="none" w:sz="0" w:space="0" w:color="auto"/>
            <w:left w:val="none" w:sz="0" w:space="0" w:color="auto"/>
            <w:bottom w:val="none" w:sz="0" w:space="0" w:color="auto"/>
            <w:right w:val="none" w:sz="0" w:space="0" w:color="auto"/>
          </w:divBdr>
          <w:divsChild>
            <w:div w:id="1085810292">
              <w:marLeft w:val="0"/>
              <w:marRight w:val="0"/>
              <w:marTop w:val="0"/>
              <w:marBottom w:val="0"/>
              <w:divBdr>
                <w:top w:val="none" w:sz="0" w:space="0" w:color="auto"/>
                <w:left w:val="none" w:sz="0" w:space="0" w:color="auto"/>
                <w:bottom w:val="none" w:sz="0" w:space="0" w:color="auto"/>
                <w:right w:val="none" w:sz="0" w:space="0" w:color="auto"/>
              </w:divBdr>
            </w:div>
          </w:divsChild>
        </w:div>
        <w:div w:id="1536313567">
          <w:marLeft w:val="0"/>
          <w:marRight w:val="0"/>
          <w:marTop w:val="0"/>
          <w:marBottom w:val="0"/>
          <w:divBdr>
            <w:top w:val="none" w:sz="0" w:space="0" w:color="auto"/>
            <w:left w:val="none" w:sz="0" w:space="0" w:color="auto"/>
            <w:bottom w:val="none" w:sz="0" w:space="0" w:color="auto"/>
            <w:right w:val="none" w:sz="0" w:space="0" w:color="auto"/>
          </w:divBdr>
        </w:div>
        <w:div w:id="778527295">
          <w:marLeft w:val="0"/>
          <w:marRight w:val="0"/>
          <w:marTop w:val="0"/>
          <w:marBottom w:val="0"/>
          <w:divBdr>
            <w:top w:val="none" w:sz="0" w:space="0" w:color="auto"/>
            <w:left w:val="none" w:sz="0" w:space="0" w:color="auto"/>
            <w:bottom w:val="none" w:sz="0" w:space="0" w:color="auto"/>
            <w:right w:val="none" w:sz="0" w:space="0" w:color="auto"/>
          </w:divBdr>
        </w:div>
        <w:div w:id="549806034">
          <w:marLeft w:val="0"/>
          <w:marRight w:val="0"/>
          <w:marTop w:val="0"/>
          <w:marBottom w:val="0"/>
          <w:divBdr>
            <w:top w:val="none" w:sz="0" w:space="0" w:color="auto"/>
            <w:left w:val="none" w:sz="0" w:space="0" w:color="auto"/>
            <w:bottom w:val="none" w:sz="0" w:space="0" w:color="auto"/>
            <w:right w:val="none" w:sz="0" w:space="0" w:color="auto"/>
          </w:divBdr>
          <w:divsChild>
            <w:div w:id="572082716">
              <w:marLeft w:val="0"/>
              <w:marRight w:val="0"/>
              <w:marTop w:val="0"/>
              <w:marBottom w:val="0"/>
              <w:divBdr>
                <w:top w:val="none" w:sz="0" w:space="0" w:color="auto"/>
                <w:left w:val="none" w:sz="0" w:space="0" w:color="auto"/>
                <w:bottom w:val="none" w:sz="0" w:space="0" w:color="auto"/>
                <w:right w:val="none" w:sz="0" w:space="0" w:color="auto"/>
              </w:divBdr>
              <w:divsChild>
                <w:div w:id="1137143867">
                  <w:marLeft w:val="0"/>
                  <w:marRight w:val="0"/>
                  <w:marTop w:val="0"/>
                  <w:marBottom w:val="0"/>
                  <w:divBdr>
                    <w:top w:val="none" w:sz="0" w:space="0" w:color="auto"/>
                    <w:left w:val="none" w:sz="0" w:space="0" w:color="auto"/>
                    <w:bottom w:val="none" w:sz="0" w:space="0" w:color="auto"/>
                    <w:right w:val="none" w:sz="0" w:space="0" w:color="auto"/>
                  </w:divBdr>
                  <w:divsChild>
                    <w:div w:id="1090393765">
                      <w:marLeft w:val="0"/>
                      <w:marRight w:val="0"/>
                      <w:marTop w:val="0"/>
                      <w:marBottom w:val="0"/>
                      <w:divBdr>
                        <w:top w:val="none" w:sz="0" w:space="0" w:color="auto"/>
                        <w:left w:val="none" w:sz="0" w:space="0" w:color="auto"/>
                        <w:bottom w:val="none" w:sz="0" w:space="0" w:color="auto"/>
                        <w:right w:val="none" w:sz="0" w:space="0" w:color="auto"/>
                      </w:divBdr>
                      <w:divsChild>
                        <w:div w:id="885337226">
                          <w:marLeft w:val="0"/>
                          <w:marRight w:val="0"/>
                          <w:marTop w:val="0"/>
                          <w:marBottom w:val="0"/>
                          <w:divBdr>
                            <w:top w:val="none" w:sz="0" w:space="0" w:color="auto"/>
                            <w:left w:val="none" w:sz="0" w:space="0" w:color="auto"/>
                            <w:bottom w:val="none" w:sz="0" w:space="0" w:color="auto"/>
                            <w:right w:val="none" w:sz="0" w:space="0" w:color="auto"/>
                          </w:divBdr>
                        </w:div>
                      </w:divsChild>
                    </w:div>
                    <w:div w:id="1683045875">
                      <w:marLeft w:val="0"/>
                      <w:marRight w:val="0"/>
                      <w:marTop w:val="0"/>
                      <w:marBottom w:val="0"/>
                      <w:divBdr>
                        <w:top w:val="none" w:sz="0" w:space="0" w:color="auto"/>
                        <w:left w:val="none" w:sz="0" w:space="0" w:color="auto"/>
                        <w:bottom w:val="none" w:sz="0" w:space="0" w:color="auto"/>
                        <w:right w:val="none" w:sz="0" w:space="0" w:color="auto"/>
                      </w:divBdr>
                      <w:divsChild>
                        <w:div w:id="930166660">
                          <w:marLeft w:val="0"/>
                          <w:marRight w:val="0"/>
                          <w:marTop w:val="0"/>
                          <w:marBottom w:val="0"/>
                          <w:divBdr>
                            <w:top w:val="none" w:sz="0" w:space="0" w:color="auto"/>
                            <w:left w:val="none" w:sz="0" w:space="0" w:color="auto"/>
                            <w:bottom w:val="none" w:sz="0" w:space="0" w:color="auto"/>
                            <w:right w:val="none" w:sz="0" w:space="0" w:color="auto"/>
                          </w:divBdr>
                        </w:div>
                      </w:divsChild>
                    </w:div>
                    <w:div w:id="504247667">
                      <w:marLeft w:val="0"/>
                      <w:marRight w:val="0"/>
                      <w:marTop w:val="0"/>
                      <w:marBottom w:val="0"/>
                      <w:divBdr>
                        <w:top w:val="none" w:sz="0" w:space="0" w:color="auto"/>
                        <w:left w:val="none" w:sz="0" w:space="0" w:color="auto"/>
                        <w:bottom w:val="none" w:sz="0" w:space="0" w:color="auto"/>
                        <w:right w:val="none" w:sz="0" w:space="0" w:color="auto"/>
                      </w:divBdr>
                      <w:divsChild>
                        <w:div w:id="502821987">
                          <w:marLeft w:val="0"/>
                          <w:marRight w:val="0"/>
                          <w:marTop w:val="0"/>
                          <w:marBottom w:val="0"/>
                          <w:divBdr>
                            <w:top w:val="none" w:sz="0" w:space="0" w:color="auto"/>
                            <w:left w:val="none" w:sz="0" w:space="0" w:color="auto"/>
                            <w:bottom w:val="none" w:sz="0" w:space="0" w:color="auto"/>
                            <w:right w:val="none" w:sz="0" w:space="0" w:color="auto"/>
                          </w:divBdr>
                        </w:div>
                      </w:divsChild>
                    </w:div>
                    <w:div w:id="1273787619">
                      <w:marLeft w:val="0"/>
                      <w:marRight w:val="0"/>
                      <w:marTop w:val="0"/>
                      <w:marBottom w:val="0"/>
                      <w:divBdr>
                        <w:top w:val="none" w:sz="0" w:space="0" w:color="auto"/>
                        <w:left w:val="none" w:sz="0" w:space="0" w:color="auto"/>
                        <w:bottom w:val="none" w:sz="0" w:space="0" w:color="auto"/>
                        <w:right w:val="none" w:sz="0" w:space="0" w:color="auto"/>
                      </w:divBdr>
                      <w:divsChild>
                        <w:div w:id="436101419">
                          <w:marLeft w:val="0"/>
                          <w:marRight w:val="0"/>
                          <w:marTop w:val="0"/>
                          <w:marBottom w:val="0"/>
                          <w:divBdr>
                            <w:top w:val="none" w:sz="0" w:space="0" w:color="auto"/>
                            <w:left w:val="none" w:sz="0" w:space="0" w:color="auto"/>
                            <w:bottom w:val="none" w:sz="0" w:space="0" w:color="auto"/>
                            <w:right w:val="none" w:sz="0" w:space="0" w:color="auto"/>
                          </w:divBdr>
                        </w:div>
                      </w:divsChild>
                    </w:div>
                    <w:div w:id="1159422276">
                      <w:marLeft w:val="0"/>
                      <w:marRight w:val="0"/>
                      <w:marTop w:val="0"/>
                      <w:marBottom w:val="0"/>
                      <w:divBdr>
                        <w:top w:val="none" w:sz="0" w:space="0" w:color="auto"/>
                        <w:left w:val="none" w:sz="0" w:space="0" w:color="auto"/>
                        <w:bottom w:val="none" w:sz="0" w:space="0" w:color="auto"/>
                        <w:right w:val="none" w:sz="0" w:space="0" w:color="auto"/>
                      </w:divBdr>
                      <w:divsChild>
                        <w:div w:id="1496611076">
                          <w:marLeft w:val="0"/>
                          <w:marRight w:val="0"/>
                          <w:marTop w:val="0"/>
                          <w:marBottom w:val="0"/>
                          <w:divBdr>
                            <w:top w:val="none" w:sz="0" w:space="0" w:color="auto"/>
                            <w:left w:val="none" w:sz="0" w:space="0" w:color="auto"/>
                            <w:bottom w:val="none" w:sz="0" w:space="0" w:color="auto"/>
                            <w:right w:val="none" w:sz="0" w:space="0" w:color="auto"/>
                          </w:divBdr>
                        </w:div>
                      </w:divsChild>
                    </w:div>
                    <w:div w:id="2138142430">
                      <w:marLeft w:val="0"/>
                      <w:marRight w:val="0"/>
                      <w:marTop w:val="0"/>
                      <w:marBottom w:val="0"/>
                      <w:divBdr>
                        <w:top w:val="none" w:sz="0" w:space="0" w:color="auto"/>
                        <w:left w:val="none" w:sz="0" w:space="0" w:color="auto"/>
                        <w:bottom w:val="none" w:sz="0" w:space="0" w:color="auto"/>
                        <w:right w:val="none" w:sz="0" w:space="0" w:color="auto"/>
                      </w:divBdr>
                      <w:divsChild>
                        <w:div w:id="1421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57234">
      <w:bodyDiv w:val="1"/>
      <w:marLeft w:val="0"/>
      <w:marRight w:val="0"/>
      <w:marTop w:val="0"/>
      <w:marBottom w:val="0"/>
      <w:divBdr>
        <w:top w:val="none" w:sz="0" w:space="0" w:color="auto"/>
        <w:left w:val="none" w:sz="0" w:space="0" w:color="auto"/>
        <w:bottom w:val="none" w:sz="0" w:space="0" w:color="auto"/>
        <w:right w:val="none" w:sz="0" w:space="0" w:color="auto"/>
      </w:divBdr>
    </w:div>
    <w:div w:id="12604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7FF5-6079-4F9D-975C-092D0764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971</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aduval3</dc:creator>
  <cp:keywords/>
  <dc:description/>
  <cp:lastModifiedBy>jcarpentier</cp:lastModifiedBy>
  <cp:revision>4</cp:revision>
  <dcterms:created xsi:type="dcterms:W3CDTF">2024-04-05T08:10:00Z</dcterms:created>
  <dcterms:modified xsi:type="dcterms:W3CDTF">2024-04-05T08:19:00Z</dcterms:modified>
</cp:coreProperties>
</file>