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457" w:rsidRPr="003E2427" w:rsidRDefault="00FF0457" w:rsidP="00FF0457">
      <w:pPr>
        <w:rPr>
          <w:rFonts w:ascii="Arial" w:hAnsi="Arial" w:cs="Arial"/>
          <w:sz w:val="24"/>
          <w:szCs w:val="24"/>
        </w:rPr>
      </w:pPr>
      <w:r>
        <w:rPr>
          <w:rFonts w:ascii="Arial" w:hAnsi="Arial" w:cs="Arial"/>
          <w:sz w:val="24"/>
          <w:szCs w:val="24"/>
        </w:rPr>
        <w:t xml:space="preserve">ALP. Réseau REP + Oyonnax. J 1. </w:t>
      </w:r>
      <w:r w:rsidRPr="003E2427">
        <w:rPr>
          <w:rFonts w:ascii="Arial" w:hAnsi="Arial" w:cs="Arial"/>
          <w:i/>
          <w:sz w:val="24"/>
          <w:szCs w:val="24"/>
        </w:rPr>
        <w:t>Engager les élèves dans les apprentissages….</w:t>
      </w:r>
    </w:p>
    <w:p w:rsidR="00FF0457" w:rsidRDefault="00FF0457" w:rsidP="00515595">
      <w:pPr>
        <w:jc w:val="center"/>
        <w:rPr>
          <w:sz w:val="28"/>
        </w:rPr>
      </w:pPr>
      <w:r w:rsidRPr="000D09E5">
        <w:rPr>
          <w:rFonts w:ascii="Arial" w:hAnsi="Arial" w:cs="Arial"/>
          <w:b/>
          <w:sz w:val="24"/>
          <w:szCs w:val="24"/>
        </w:rPr>
        <w:t xml:space="preserve">FICHE OUTIL : </w:t>
      </w:r>
      <w:r w:rsidRPr="00FF0457">
        <w:rPr>
          <w:b/>
          <w:sz w:val="28"/>
        </w:rPr>
        <w:t>Engager en surprenant : quelques stratégies ou ruses pour mobiliser les élèves</w:t>
      </w:r>
      <w:r>
        <w:rPr>
          <w:sz w:val="28"/>
        </w:rPr>
        <w:t xml:space="preserve"> …</w:t>
      </w:r>
    </w:p>
    <w:p w:rsidR="0098786B" w:rsidRDefault="00FF0457" w:rsidP="0098786B">
      <w:pPr>
        <w:pStyle w:val="Paragraphedeliste"/>
        <w:numPr>
          <w:ilvl w:val="0"/>
          <w:numId w:val="1"/>
        </w:numPr>
        <w:jc w:val="both"/>
        <w:rPr>
          <w:rFonts w:ascii="Arial" w:hAnsi="Arial" w:cs="Arial"/>
          <w:b/>
          <w:sz w:val="24"/>
          <w:szCs w:val="24"/>
        </w:rPr>
      </w:pPr>
      <w:r>
        <w:rPr>
          <w:rFonts w:ascii="Arial" w:hAnsi="Arial" w:cs="Arial"/>
          <w:b/>
          <w:sz w:val="24"/>
          <w:szCs w:val="24"/>
        </w:rPr>
        <w:t>Varier les rythmes</w:t>
      </w:r>
      <w:r w:rsidR="0098786B">
        <w:rPr>
          <w:rFonts w:ascii="Arial" w:hAnsi="Arial" w:cs="Arial"/>
          <w:b/>
          <w:sz w:val="24"/>
          <w:szCs w:val="24"/>
        </w:rPr>
        <w:t> :</w:t>
      </w:r>
    </w:p>
    <w:p w:rsidR="00FF0457" w:rsidRDefault="002F014B" w:rsidP="00C87D41">
      <w:pPr>
        <w:ind w:left="360" w:firstLine="348"/>
        <w:jc w:val="both"/>
        <w:rPr>
          <w:rFonts w:ascii="Arial" w:hAnsi="Arial" w:cs="Arial"/>
          <w:sz w:val="24"/>
          <w:szCs w:val="24"/>
        </w:rPr>
      </w:pPr>
      <w:r>
        <w:rPr>
          <w:rFonts w:ascii="Arial" w:hAnsi="Arial" w:cs="Arial"/>
          <w:sz w:val="24"/>
          <w:szCs w:val="24"/>
        </w:rPr>
        <w:t xml:space="preserve">Pour susciter et garder l’attention des élèves, la journée ou l’heure de classe doit être rythmée. Il s’agit </w:t>
      </w:r>
      <w:r w:rsidRPr="003A4946">
        <w:rPr>
          <w:rFonts w:ascii="Arial" w:hAnsi="Arial" w:cs="Arial"/>
          <w:sz w:val="24"/>
          <w:szCs w:val="24"/>
          <w:u w:val="single"/>
        </w:rPr>
        <w:t>d’alterner le mode magistral ou le mode dialogué interactif</w:t>
      </w:r>
      <w:r>
        <w:rPr>
          <w:rFonts w:ascii="Arial" w:hAnsi="Arial" w:cs="Arial"/>
          <w:sz w:val="24"/>
          <w:szCs w:val="24"/>
        </w:rPr>
        <w:t xml:space="preserve">, ainsi que de prévoir </w:t>
      </w:r>
      <w:r w:rsidR="00FF0457" w:rsidRPr="003A4946">
        <w:rPr>
          <w:rFonts w:ascii="Arial" w:hAnsi="Arial" w:cs="Arial"/>
          <w:sz w:val="24"/>
          <w:szCs w:val="24"/>
          <w:u w:val="single"/>
        </w:rPr>
        <w:t>des temps d’écrit intermédiaire</w:t>
      </w:r>
      <w:r w:rsidR="00C87D41" w:rsidRPr="003A4946">
        <w:rPr>
          <w:rFonts w:ascii="Arial" w:hAnsi="Arial" w:cs="Arial"/>
          <w:sz w:val="24"/>
          <w:szCs w:val="24"/>
          <w:u w:val="single"/>
        </w:rPr>
        <w:t>/ réflexif</w:t>
      </w:r>
      <w:r w:rsidR="00C87D41">
        <w:rPr>
          <w:rFonts w:ascii="Arial" w:hAnsi="Arial" w:cs="Arial"/>
          <w:sz w:val="24"/>
          <w:szCs w:val="24"/>
        </w:rPr>
        <w:t xml:space="preserve"> au milieu ou en fin de séance pour remobiliser ce qui vient d’être fait ou dit. </w:t>
      </w:r>
    </w:p>
    <w:p w:rsidR="00441764" w:rsidRDefault="00FF0457" w:rsidP="00441764">
      <w:pPr>
        <w:pStyle w:val="Paragraphedeliste"/>
        <w:numPr>
          <w:ilvl w:val="0"/>
          <w:numId w:val="1"/>
        </w:numPr>
        <w:jc w:val="both"/>
        <w:rPr>
          <w:rFonts w:ascii="Arial" w:hAnsi="Arial" w:cs="Arial"/>
          <w:b/>
          <w:sz w:val="24"/>
          <w:szCs w:val="24"/>
        </w:rPr>
      </w:pPr>
      <w:r w:rsidRPr="00FF0457">
        <w:rPr>
          <w:rFonts w:ascii="Arial" w:hAnsi="Arial" w:cs="Arial"/>
          <w:b/>
          <w:sz w:val="24"/>
          <w:szCs w:val="24"/>
        </w:rPr>
        <w:t>Octroyer des jokers</w:t>
      </w:r>
      <w:r w:rsidR="00C87D41">
        <w:rPr>
          <w:rFonts w:ascii="Arial" w:hAnsi="Arial" w:cs="Arial"/>
          <w:b/>
          <w:sz w:val="24"/>
          <w:szCs w:val="24"/>
        </w:rPr>
        <w:t> :</w:t>
      </w:r>
    </w:p>
    <w:p w:rsidR="00515595" w:rsidRDefault="00C87D41" w:rsidP="00515595">
      <w:pPr>
        <w:ind w:left="360" w:firstLine="348"/>
        <w:jc w:val="both"/>
        <w:rPr>
          <w:rFonts w:ascii="Arial" w:hAnsi="Arial" w:cs="Arial"/>
          <w:sz w:val="24"/>
          <w:szCs w:val="24"/>
        </w:rPr>
      </w:pPr>
      <w:r>
        <w:rPr>
          <w:rFonts w:ascii="Arial" w:hAnsi="Arial" w:cs="Arial"/>
          <w:sz w:val="24"/>
          <w:szCs w:val="24"/>
        </w:rPr>
        <w:t xml:space="preserve">Si un élève travaille de façon </w:t>
      </w:r>
      <w:r w:rsidRPr="00154011">
        <w:rPr>
          <w:rFonts w:ascii="Arial" w:hAnsi="Arial" w:cs="Arial"/>
          <w:sz w:val="24"/>
          <w:szCs w:val="24"/>
        </w:rPr>
        <w:t>très positive</w:t>
      </w:r>
      <w:r w:rsidR="00BD49EC">
        <w:rPr>
          <w:rFonts w:ascii="Arial" w:hAnsi="Arial" w:cs="Arial"/>
          <w:sz w:val="24"/>
          <w:szCs w:val="24"/>
        </w:rPr>
        <w:t xml:space="preserve"> </w:t>
      </w:r>
      <w:r w:rsidR="00154011">
        <w:rPr>
          <w:rFonts w:ascii="Arial" w:hAnsi="Arial" w:cs="Arial"/>
          <w:sz w:val="24"/>
          <w:szCs w:val="24"/>
        </w:rPr>
        <w:t xml:space="preserve">(beaucoup d’investissement, des progrès </w:t>
      </w:r>
      <w:proofErr w:type="gramStart"/>
      <w:r w:rsidR="00154011">
        <w:rPr>
          <w:rFonts w:ascii="Arial" w:hAnsi="Arial" w:cs="Arial"/>
          <w:sz w:val="24"/>
          <w:szCs w:val="24"/>
        </w:rPr>
        <w:t>remarqués….</w:t>
      </w:r>
      <w:proofErr w:type="gramEnd"/>
      <w:r w:rsidR="00154011">
        <w:rPr>
          <w:rFonts w:ascii="Arial" w:hAnsi="Arial" w:cs="Arial"/>
          <w:sz w:val="24"/>
          <w:szCs w:val="24"/>
        </w:rPr>
        <w:t>)</w:t>
      </w:r>
      <w:r w:rsidR="00515595">
        <w:rPr>
          <w:rFonts w:ascii="Arial" w:hAnsi="Arial" w:cs="Arial"/>
          <w:sz w:val="24"/>
          <w:szCs w:val="24"/>
        </w:rPr>
        <w:t xml:space="preserve">, </w:t>
      </w:r>
      <w:r w:rsidRPr="003A4946">
        <w:rPr>
          <w:rFonts w:ascii="Arial" w:hAnsi="Arial" w:cs="Arial"/>
          <w:sz w:val="24"/>
          <w:szCs w:val="24"/>
          <w:u w:val="single"/>
        </w:rPr>
        <w:t xml:space="preserve">il peut bénéficier d’un joker </w:t>
      </w:r>
      <w:r w:rsidRPr="00154011">
        <w:rPr>
          <w:rFonts w:ascii="Arial" w:hAnsi="Arial" w:cs="Arial"/>
          <w:sz w:val="24"/>
          <w:szCs w:val="24"/>
          <w:u w:val="single"/>
        </w:rPr>
        <w:t xml:space="preserve">(droit de </w:t>
      </w:r>
      <w:r w:rsidR="00154011" w:rsidRPr="00154011">
        <w:rPr>
          <w:rFonts w:ascii="Arial" w:hAnsi="Arial" w:cs="Arial"/>
          <w:sz w:val="24"/>
          <w:szCs w:val="24"/>
          <w:u w:val="single"/>
        </w:rPr>
        <w:t>choisir une tâche, droit de refaire une évaluation ratée…</w:t>
      </w:r>
      <w:r w:rsidR="00154011">
        <w:rPr>
          <w:rFonts w:ascii="Arial" w:hAnsi="Arial" w:cs="Arial"/>
          <w:sz w:val="24"/>
          <w:szCs w:val="24"/>
          <w:u w:val="single"/>
        </w:rPr>
        <w:t>).</w:t>
      </w:r>
      <w:r w:rsidR="00154011" w:rsidRPr="00154011">
        <w:rPr>
          <w:rFonts w:ascii="Arial" w:hAnsi="Arial" w:cs="Arial"/>
          <w:sz w:val="24"/>
          <w:szCs w:val="24"/>
        </w:rPr>
        <w:t xml:space="preserve"> </w:t>
      </w:r>
      <w:r w:rsidR="00515595">
        <w:rPr>
          <w:rFonts w:ascii="Arial" w:hAnsi="Arial" w:cs="Arial"/>
          <w:sz w:val="24"/>
          <w:szCs w:val="24"/>
        </w:rPr>
        <w:t>Il s’agit toutefois de faire attention à ne pas distribuer les jokers toujours aux mêmes.</w:t>
      </w:r>
    </w:p>
    <w:p w:rsidR="00FF0457" w:rsidRDefault="00FF0457" w:rsidP="00515595">
      <w:pPr>
        <w:pStyle w:val="Paragraphedeliste"/>
        <w:numPr>
          <w:ilvl w:val="0"/>
          <w:numId w:val="1"/>
        </w:numPr>
        <w:jc w:val="both"/>
        <w:rPr>
          <w:rFonts w:ascii="Arial" w:hAnsi="Arial" w:cs="Arial"/>
          <w:b/>
          <w:sz w:val="24"/>
          <w:szCs w:val="24"/>
        </w:rPr>
      </w:pPr>
      <w:r w:rsidRPr="00515595">
        <w:rPr>
          <w:rFonts w:ascii="Arial" w:hAnsi="Arial" w:cs="Arial"/>
          <w:b/>
          <w:sz w:val="24"/>
          <w:szCs w:val="24"/>
        </w:rPr>
        <w:t>Jouer le maître ignorant :</w:t>
      </w:r>
    </w:p>
    <w:p w:rsidR="00515595" w:rsidRPr="00515595" w:rsidRDefault="00515595" w:rsidP="00515595">
      <w:pPr>
        <w:pStyle w:val="Paragraphedeliste"/>
        <w:jc w:val="both"/>
        <w:rPr>
          <w:rFonts w:ascii="Arial" w:hAnsi="Arial" w:cs="Arial"/>
          <w:b/>
          <w:sz w:val="24"/>
          <w:szCs w:val="24"/>
        </w:rPr>
      </w:pPr>
    </w:p>
    <w:p w:rsidR="00FF0457" w:rsidRDefault="00FF0457" w:rsidP="005C4FEC">
      <w:pPr>
        <w:pStyle w:val="Paragraphedeliste"/>
        <w:ind w:left="284" w:firstLine="424"/>
        <w:jc w:val="both"/>
        <w:rPr>
          <w:rFonts w:ascii="Arial" w:hAnsi="Arial" w:cs="Arial"/>
          <w:sz w:val="24"/>
          <w:szCs w:val="24"/>
        </w:rPr>
      </w:pPr>
      <w:r w:rsidRPr="00FF0457">
        <w:rPr>
          <w:rFonts w:ascii="Arial" w:hAnsi="Arial" w:cs="Arial"/>
          <w:sz w:val="24"/>
          <w:szCs w:val="24"/>
        </w:rPr>
        <w:t>Témoignage </w:t>
      </w:r>
      <w:r w:rsidR="00E66A56">
        <w:rPr>
          <w:rFonts w:ascii="Arial" w:hAnsi="Arial" w:cs="Arial"/>
          <w:sz w:val="24"/>
          <w:szCs w:val="24"/>
        </w:rPr>
        <w:t>d’un enseignant d’anglais en CFA</w:t>
      </w:r>
      <w:r w:rsidR="00FC64E1">
        <w:rPr>
          <w:rStyle w:val="Appelnotedebasdep"/>
          <w:rFonts w:ascii="Arial" w:hAnsi="Arial" w:cs="Arial"/>
          <w:sz w:val="24"/>
          <w:szCs w:val="24"/>
        </w:rPr>
        <w:footnoteReference w:id="1"/>
      </w:r>
      <w:r w:rsidR="00515595">
        <w:rPr>
          <w:rFonts w:ascii="Arial" w:hAnsi="Arial" w:cs="Arial"/>
          <w:sz w:val="24"/>
          <w:szCs w:val="24"/>
        </w:rPr>
        <w:t xml:space="preserve"> </w:t>
      </w:r>
      <w:r w:rsidRPr="00FF0457">
        <w:rPr>
          <w:rFonts w:ascii="Arial" w:hAnsi="Arial" w:cs="Arial"/>
          <w:sz w:val="24"/>
          <w:szCs w:val="24"/>
        </w:rPr>
        <w:t xml:space="preserve">: </w:t>
      </w:r>
      <w:r w:rsidR="00515595">
        <w:rPr>
          <w:rFonts w:ascii="Arial" w:hAnsi="Arial" w:cs="Arial"/>
          <w:sz w:val="24"/>
          <w:szCs w:val="24"/>
        </w:rPr>
        <w:t>« </w:t>
      </w:r>
      <w:r w:rsidRPr="00FF0457">
        <w:rPr>
          <w:rFonts w:ascii="Arial" w:hAnsi="Arial" w:cs="Arial"/>
          <w:sz w:val="24"/>
          <w:szCs w:val="24"/>
        </w:rPr>
        <w:t xml:space="preserve">Avec une classe d’apprentis mécaniciens totalement hermétiques à l’étude des langues, j’ai eu l’idée en début d’année de dire que j’aimerais bien comprendre le fonctionnement du moteur à explosion et ils se sont pris au jeu pour réparer une ignorance aussi lamentable de ma part. Ils ont préparé une séquence sur ce sujet, en anglais bien sûr, en se répartissant le travail de recherche de vocabulaire sur les différents aspects techniques à aborder. Pendant la séquence, j’ai posé plusieurs questions (toujours en anglais), et alors que d’habitude, mes questions les fatiguent, ils ont été, ce jour-là, particulièrement actifs pour me montrer leur expertise. Mon effarante incompétence et la naïveté de mes questions étaient pour </w:t>
      </w:r>
      <w:r w:rsidR="00515595">
        <w:rPr>
          <w:rFonts w:ascii="Arial" w:hAnsi="Arial" w:cs="Arial"/>
          <w:sz w:val="24"/>
          <w:szCs w:val="24"/>
        </w:rPr>
        <w:t>eux terriblement réjouissantes. »</w:t>
      </w:r>
    </w:p>
    <w:p w:rsidR="00FF0457" w:rsidRPr="00FF0457" w:rsidRDefault="00FF0457" w:rsidP="00FF0457">
      <w:pPr>
        <w:pStyle w:val="Paragraphedeliste"/>
        <w:jc w:val="both"/>
        <w:rPr>
          <w:rFonts w:ascii="Arial" w:hAnsi="Arial" w:cs="Arial"/>
          <w:sz w:val="24"/>
          <w:szCs w:val="24"/>
        </w:rPr>
      </w:pPr>
    </w:p>
    <w:p w:rsidR="006C65D3" w:rsidRDefault="00491534" w:rsidP="00491534">
      <w:pPr>
        <w:pStyle w:val="Paragraphedeliste"/>
        <w:numPr>
          <w:ilvl w:val="0"/>
          <w:numId w:val="1"/>
        </w:numPr>
        <w:jc w:val="both"/>
        <w:rPr>
          <w:rFonts w:ascii="Arial" w:hAnsi="Arial" w:cs="Arial"/>
          <w:b/>
          <w:sz w:val="24"/>
          <w:szCs w:val="24"/>
        </w:rPr>
      </w:pPr>
      <w:r>
        <w:rPr>
          <w:rFonts w:ascii="Arial" w:hAnsi="Arial" w:cs="Arial"/>
          <w:b/>
          <w:sz w:val="24"/>
          <w:szCs w:val="24"/>
        </w:rPr>
        <w:t>Ecouter l</w:t>
      </w:r>
      <w:r w:rsidRPr="00491534">
        <w:rPr>
          <w:rFonts w:ascii="Arial" w:hAnsi="Arial" w:cs="Arial"/>
          <w:b/>
          <w:sz w:val="24"/>
          <w:szCs w:val="24"/>
        </w:rPr>
        <w:t>es récriminations</w:t>
      </w:r>
      <w:r>
        <w:rPr>
          <w:rFonts w:ascii="Arial" w:hAnsi="Arial" w:cs="Arial"/>
          <w:b/>
          <w:sz w:val="24"/>
          <w:szCs w:val="24"/>
        </w:rPr>
        <w:t>/ faire avec pour aller contre</w:t>
      </w:r>
      <w:bookmarkStart w:id="0" w:name="_GoBack"/>
      <w:bookmarkEnd w:id="0"/>
      <w:r>
        <w:rPr>
          <w:rFonts w:ascii="Arial" w:hAnsi="Arial" w:cs="Arial"/>
          <w:b/>
          <w:sz w:val="24"/>
          <w:szCs w:val="24"/>
        </w:rPr>
        <w:t>:</w:t>
      </w:r>
    </w:p>
    <w:p w:rsidR="00491534" w:rsidRPr="00491534" w:rsidRDefault="00491534" w:rsidP="00491534">
      <w:pPr>
        <w:pStyle w:val="Paragraphedeliste"/>
        <w:jc w:val="both"/>
        <w:rPr>
          <w:rFonts w:ascii="Arial" w:hAnsi="Arial" w:cs="Arial"/>
          <w:b/>
          <w:sz w:val="24"/>
          <w:szCs w:val="24"/>
        </w:rPr>
      </w:pPr>
    </w:p>
    <w:p w:rsidR="00FF0457" w:rsidRPr="00FF0457" w:rsidRDefault="00515595" w:rsidP="005C4FEC">
      <w:pPr>
        <w:pStyle w:val="Paragraphedeliste"/>
        <w:ind w:left="284" w:firstLine="424"/>
        <w:jc w:val="both"/>
        <w:rPr>
          <w:rFonts w:ascii="Arial" w:hAnsi="Arial" w:cs="Arial"/>
          <w:sz w:val="24"/>
          <w:szCs w:val="24"/>
        </w:rPr>
      </w:pPr>
      <w:r>
        <w:rPr>
          <w:rFonts w:ascii="Arial" w:hAnsi="Arial" w:cs="Arial"/>
          <w:sz w:val="24"/>
          <w:szCs w:val="24"/>
        </w:rPr>
        <w:t>Autre t</w:t>
      </w:r>
      <w:r w:rsidR="00FF0457">
        <w:rPr>
          <w:rFonts w:ascii="Arial" w:hAnsi="Arial" w:cs="Arial"/>
          <w:sz w:val="24"/>
          <w:szCs w:val="24"/>
        </w:rPr>
        <w:t>émoignage</w:t>
      </w:r>
      <w:r w:rsidR="00FC64E1">
        <w:rPr>
          <w:rStyle w:val="Appelnotedebasdep"/>
          <w:rFonts w:ascii="Arial" w:hAnsi="Arial" w:cs="Arial"/>
          <w:sz w:val="24"/>
          <w:szCs w:val="24"/>
        </w:rPr>
        <w:footnoteReference w:id="2"/>
      </w:r>
      <w:r w:rsidR="00FF0457">
        <w:rPr>
          <w:rFonts w:ascii="Arial" w:hAnsi="Arial" w:cs="Arial"/>
          <w:sz w:val="24"/>
          <w:szCs w:val="24"/>
        </w:rPr>
        <w:t xml:space="preserve"> : </w:t>
      </w:r>
      <w:r w:rsidR="00C87D41">
        <w:rPr>
          <w:rFonts w:ascii="Arial" w:hAnsi="Arial" w:cs="Arial"/>
          <w:sz w:val="24"/>
          <w:szCs w:val="24"/>
        </w:rPr>
        <w:t>« </w:t>
      </w:r>
      <w:r w:rsidR="00FF0457" w:rsidRPr="00FF0457">
        <w:rPr>
          <w:rFonts w:ascii="Arial" w:hAnsi="Arial" w:cs="Arial"/>
          <w:sz w:val="24"/>
          <w:szCs w:val="24"/>
        </w:rPr>
        <w:t xml:space="preserve">Donner des cours de psychosociologie dans une école d’ingénieurs ne déclenche pas un enthousiasme débordant. Affalés sur leurs chaises avec à la main un stylo qui tourne comme un hélicoptère, les élèves rechignent à se laisser persuader par les mérites des « sciences molles ». Pour désamorcer l’apathie, il est judicieux de démarrer la première séance en les invitant à </w:t>
      </w:r>
      <w:r w:rsidR="00FF0457" w:rsidRPr="003A4946">
        <w:rPr>
          <w:rFonts w:ascii="Arial" w:hAnsi="Arial" w:cs="Arial"/>
          <w:sz w:val="24"/>
          <w:szCs w:val="24"/>
          <w:u w:val="single"/>
        </w:rPr>
        <w:t>exprimer leurs représentations négatives</w:t>
      </w:r>
      <w:r w:rsidR="00FF0457" w:rsidRPr="00FF0457">
        <w:rPr>
          <w:rFonts w:ascii="Arial" w:hAnsi="Arial" w:cs="Arial"/>
          <w:sz w:val="24"/>
          <w:szCs w:val="24"/>
        </w:rPr>
        <w:t xml:space="preserve"> de la psychosociologie. On remplit alors tout un tableau avec leurs remarques : « ça ne sert à rien » ; « c’est de la manipulation » ; « on va couper les cheveux en quatre pour pas grand-chose » ; « c’est </w:t>
      </w:r>
      <w:r w:rsidR="003A4946">
        <w:rPr>
          <w:rFonts w:ascii="Arial" w:hAnsi="Arial" w:cs="Arial"/>
          <w:sz w:val="24"/>
          <w:szCs w:val="24"/>
        </w:rPr>
        <w:t>pipo » ; « c</w:t>
      </w:r>
      <w:r w:rsidR="005C4FEC">
        <w:rPr>
          <w:rFonts w:ascii="Arial" w:hAnsi="Arial" w:cs="Arial"/>
          <w:sz w:val="24"/>
          <w:szCs w:val="24"/>
        </w:rPr>
        <w:t>’est pas prouvé ».</w:t>
      </w:r>
    </w:p>
    <w:p w:rsidR="00920AD7" w:rsidRDefault="00FF0457" w:rsidP="00515595">
      <w:pPr>
        <w:pStyle w:val="Paragraphedeliste"/>
        <w:ind w:left="284"/>
        <w:jc w:val="both"/>
        <w:rPr>
          <w:rFonts w:ascii="Arial" w:hAnsi="Arial" w:cs="Arial"/>
          <w:sz w:val="24"/>
          <w:szCs w:val="24"/>
        </w:rPr>
      </w:pPr>
      <w:r w:rsidRPr="003A4946">
        <w:rPr>
          <w:rFonts w:ascii="Arial" w:hAnsi="Arial" w:cs="Arial"/>
          <w:sz w:val="24"/>
          <w:szCs w:val="24"/>
          <w:u w:val="single"/>
        </w:rPr>
        <w:t>Le tableau joue le rôle du miroir</w:t>
      </w:r>
      <w:r w:rsidRPr="00FF0457">
        <w:rPr>
          <w:rFonts w:ascii="Arial" w:hAnsi="Arial" w:cs="Arial"/>
          <w:sz w:val="24"/>
          <w:szCs w:val="24"/>
        </w:rPr>
        <w:t>. Face à l’excès du négatif, certains finissent par manifester leur désaccord, dire que la psychologie, c’est quand même intéressant, qu’un ingénieur est aussi un cadre qui doit t</w:t>
      </w:r>
      <w:r w:rsidR="005C4FEC">
        <w:rPr>
          <w:rFonts w:ascii="Arial" w:hAnsi="Arial" w:cs="Arial"/>
          <w:sz w:val="24"/>
          <w:szCs w:val="24"/>
        </w:rPr>
        <w:t>ravailler avec les autres, etc. »</w:t>
      </w:r>
    </w:p>
    <w:p w:rsidR="003A4946" w:rsidRDefault="003A4946" w:rsidP="00515595">
      <w:pPr>
        <w:pStyle w:val="Paragraphedeliste"/>
        <w:ind w:left="284"/>
        <w:jc w:val="both"/>
        <w:rPr>
          <w:rFonts w:ascii="Arial" w:hAnsi="Arial" w:cs="Arial"/>
          <w:sz w:val="24"/>
          <w:szCs w:val="24"/>
        </w:rPr>
      </w:pPr>
    </w:p>
    <w:p w:rsidR="003A4946" w:rsidRPr="003A4946" w:rsidRDefault="003A4946" w:rsidP="003A4946">
      <w:pPr>
        <w:spacing w:before="150" w:after="75" w:line="240" w:lineRule="auto"/>
        <w:jc w:val="both"/>
        <w:outlineLvl w:val="1"/>
        <w:rPr>
          <w:rFonts w:ascii="Arial" w:eastAsia="Times New Roman" w:hAnsi="Arial" w:cs="Arial"/>
          <w:b/>
          <w:bCs/>
          <w:sz w:val="24"/>
          <w:szCs w:val="24"/>
          <w:lang w:eastAsia="fr-FR"/>
        </w:rPr>
      </w:pPr>
    </w:p>
    <w:sectPr w:rsidR="003A4946" w:rsidRPr="003A4946" w:rsidSect="00FF045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4CD" w:rsidRDefault="009854CD" w:rsidP="00FC64E1">
      <w:pPr>
        <w:spacing w:after="0" w:line="240" w:lineRule="auto"/>
      </w:pPr>
      <w:r>
        <w:separator/>
      </w:r>
    </w:p>
  </w:endnote>
  <w:endnote w:type="continuationSeparator" w:id="0">
    <w:p w:rsidR="009854CD" w:rsidRDefault="009854CD" w:rsidP="00FC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4CD" w:rsidRDefault="009854CD" w:rsidP="00FC64E1">
      <w:pPr>
        <w:spacing w:after="0" w:line="240" w:lineRule="auto"/>
      </w:pPr>
      <w:r>
        <w:separator/>
      </w:r>
    </w:p>
  </w:footnote>
  <w:footnote w:type="continuationSeparator" w:id="0">
    <w:p w:rsidR="009854CD" w:rsidRDefault="009854CD" w:rsidP="00FC64E1">
      <w:pPr>
        <w:spacing w:after="0" w:line="240" w:lineRule="auto"/>
      </w:pPr>
      <w:r>
        <w:continuationSeparator/>
      </w:r>
    </w:p>
  </w:footnote>
  <w:footnote w:id="1">
    <w:p w:rsidR="00FC64E1" w:rsidRPr="003A4946" w:rsidRDefault="00FC64E1" w:rsidP="00FC64E1">
      <w:pPr>
        <w:spacing w:before="150" w:after="75" w:line="240" w:lineRule="auto"/>
        <w:jc w:val="both"/>
        <w:outlineLvl w:val="1"/>
        <w:rPr>
          <w:rFonts w:ascii="Arial" w:eastAsia="Times New Roman" w:hAnsi="Arial" w:cs="Arial"/>
          <w:b/>
          <w:bCs/>
          <w:sz w:val="24"/>
          <w:szCs w:val="24"/>
          <w:lang w:eastAsia="fr-FR"/>
        </w:rPr>
      </w:pPr>
      <w:r>
        <w:rPr>
          <w:rStyle w:val="Appelnotedebasdep"/>
        </w:rPr>
        <w:footnoteRef/>
      </w:r>
      <w:r>
        <w:t xml:space="preserve"> In </w:t>
      </w:r>
      <w:r w:rsidRPr="003A4946">
        <w:rPr>
          <w:rFonts w:ascii="Arial" w:eastAsia="Times New Roman" w:hAnsi="Arial" w:cs="Arial"/>
          <w:bCs/>
          <w:sz w:val="24"/>
          <w:szCs w:val="24"/>
          <w:lang w:eastAsia="fr-FR"/>
        </w:rPr>
        <w:t>Yves Guégan,</w:t>
      </w:r>
      <w:r w:rsidRPr="003A4946">
        <w:rPr>
          <w:rFonts w:ascii="Arial" w:eastAsia="Times New Roman" w:hAnsi="Arial" w:cs="Arial"/>
          <w:b/>
          <w:bCs/>
          <w:sz w:val="24"/>
          <w:szCs w:val="24"/>
          <w:lang w:eastAsia="fr-FR"/>
        </w:rPr>
        <w:t xml:space="preserve"> </w:t>
      </w:r>
      <w:r w:rsidRPr="003A4946">
        <w:rPr>
          <w:rFonts w:ascii="Arial" w:eastAsia="Times New Roman" w:hAnsi="Arial" w:cs="Arial"/>
          <w:i/>
          <w:iCs/>
          <w:sz w:val="24"/>
          <w:szCs w:val="24"/>
          <w:bdr w:val="none" w:sz="0" w:space="0" w:color="auto" w:frame="1"/>
          <w:lang w:eastAsia="fr-FR"/>
        </w:rPr>
        <w:t>Les Ruses éducatives. 100 stratégies pour mobiliser les élèves</w:t>
      </w:r>
      <w:r w:rsidRPr="003A4946">
        <w:rPr>
          <w:rFonts w:ascii="Arial" w:eastAsia="Times New Roman" w:hAnsi="Arial" w:cs="Arial"/>
          <w:sz w:val="24"/>
          <w:szCs w:val="24"/>
          <w:shd w:val="clear" w:color="auto" w:fill="F9F9F9"/>
          <w:lang w:eastAsia="fr-FR"/>
        </w:rPr>
        <w:t>, ESF, 2008, et </w:t>
      </w:r>
      <w:r w:rsidRPr="003A4946">
        <w:rPr>
          <w:rFonts w:ascii="Arial" w:eastAsia="Times New Roman" w:hAnsi="Arial" w:cs="Arial"/>
          <w:i/>
          <w:iCs/>
          <w:sz w:val="24"/>
          <w:szCs w:val="24"/>
          <w:bdr w:val="none" w:sz="0" w:space="0" w:color="auto" w:frame="1"/>
          <w:lang w:eastAsia="fr-FR"/>
        </w:rPr>
        <w:t>L’Usage légitime du pouvoir dans la classe</w:t>
      </w:r>
      <w:r w:rsidRPr="003A4946">
        <w:rPr>
          <w:rFonts w:ascii="Arial" w:eastAsia="Times New Roman" w:hAnsi="Arial" w:cs="Arial"/>
          <w:sz w:val="24"/>
          <w:szCs w:val="24"/>
          <w:shd w:val="clear" w:color="auto" w:fill="F9F9F9"/>
          <w:lang w:eastAsia="fr-FR"/>
        </w:rPr>
        <w:t>, Hachette, 2004.</w:t>
      </w:r>
    </w:p>
    <w:p w:rsidR="00FC64E1" w:rsidRDefault="00FC64E1">
      <w:pPr>
        <w:pStyle w:val="Notedebasdepage"/>
      </w:pPr>
    </w:p>
  </w:footnote>
  <w:footnote w:id="2">
    <w:p w:rsidR="00FC64E1" w:rsidRDefault="00FC64E1">
      <w:pPr>
        <w:pStyle w:val="Notedebasdepage"/>
      </w:pPr>
      <w:r>
        <w:rPr>
          <w:rStyle w:val="Appelnotedebasdep"/>
        </w:rPr>
        <w:footnoteRef/>
      </w:r>
      <w:r>
        <w:t xml:space="preserve"> Ibid.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702FA"/>
    <w:multiLevelType w:val="hybridMultilevel"/>
    <w:tmpl w:val="65EED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57"/>
    <w:rsid w:val="00037B59"/>
    <w:rsid w:val="00154011"/>
    <w:rsid w:val="002F014B"/>
    <w:rsid w:val="003A4946"/>
    <w:rsid w:val="00441764"/>
    <w:rsid w:val="00491534"/>
    <w:rsid w:val="00515595"/>
    <w:rsid w:val="005C4FEC"/>
    <w:rsid w:val="006C65D3"/>
    <w:rsid w:val="00920AD7"/>
    <w:rsid w:val="009631BB"/>
    <w:rsid w:val="009854CD"/>
    <w:rsid w:val="0098786B"/>
    <w:rsid w:val="009D18CD"/>
    <w:rsid w:val="009E2167"/>
    <w:rsid w:val="00A860E1"/>
    <w:rsid w:val="00BD49EC"/>
    <w:rsid w:val="00C87D41"/>
    <w:rsid w:val="00E66A56"/>
    <w:rsid w:val="00F13489"/>
    <w:rsid w:val="00FC64E1"/>
    <w:rsid w:val="00FF04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DD0E"/>
  <w15:docId w15:val="{0F6102A4-22F0-4239-B95D-FE3AC258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457"/>
  </w:style>
  <w:style w:type="paragraph" w:styleId="Titre2">
    <w:name w:val="heading 2"/>
    <w:basedOn w:val="Normal"/>
    <w:link w:val="Titre2Car"/>
    <w:uiPriority w:val="9"/>
    <w:qFormat/>
    <w:rsid w:val="003A494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0457"/>
    <w:pPr>
      <w:ind w:left="720"/>
      <w:contextualSpacing/>
    </w:pPr>
  </w:style>
  <w:style w:type="character" w:customStyle="1" w:styleId="Titre2Car">
    <w:name w:val="Titre 2 Car"/>
    <w:basedOn w:val="Policepardfaut"/>
    <w:link w:val="Titre2"/>
    <w:uiPriority w:val="9"/>
    <w:rsid w:val="003A4946"/>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3A4946"/>
    <w:rPr>
      <w:i/>
      <w:iCs/>
    </w:rPr>
  </w:style>
  <w:style w:type="paragraph" w:styleId="Notedebasdepage">
    <w:name w:val="footnote text"/>
    <w:basedOn w:val="Normal"/>
    <w:link w:val="NotedebasdepageCar"/>
    <w:uiPriority w:val="99"/>
    <w:semiHidden/>
    <w:unhideWhenUsed/>
    <w:rsid w:val="00FC64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64E1"/>
    <w:rPr>
      <w:sz w:val="20"/>
      <w:szCs w:val="20"/>
    </w:rPr>
  </w:style>
  <w:style w:type="character" w:styleId="Appelnotedebasdep">
    <w:name w:val="footnote reference"/>
    <w:basedOn w:val="Policepardfaut"/>
    <w:uiPriority w:val="99"/>
    <w:semiHidden/>
    <w:unhideWhenUsed/>
    <w:rsid w:val="00FC6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15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6F518-1B0D-470C-B7B3-877AD34B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2233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Petreaux</dc:creator>
  <cp:keywords/>
  <dc:description/>
  <cp:lastModifiedBy>Nicolas Petreaux</cp:lastModifiedBy>
  <cp:revision>2</cp:revision>
  <dcterms:created xsi:type="dcterms:W3CDTF">2017-11-19T19:17:00Z</dcterms:created>
  <dcterms:modified xsi:type="dcterms:W3CDTF">2017-11-19T19:17:00Z</dcterms:modified>
</cp:coreProperties>
</file>