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BA" w:rsidRPr="00760CCB" w:rsidRDefault="00C2170E" w:rsidP="008117BA">
      <w:pPr>
        <w:spacing w:before="120" w:after="120" w:line="24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Amendement à la délibération DFA</w:t>
      </w:r>
      <w:r w:rsidR="00760CCB" w:rsidRPr="00760CCB">
        <w:rPr>
          <w:b/>
          <w:bCs/>
          <w:sz w:val="24"/>
          <w:szCs w:val="24"/>
        </w:rPr>
        <w:t xml:space="preserve"> 76</w:t>
      </w:r>
      <w:r w:rsidR="008117BA" w:rsidRPr="00760CCB">
        <w:rPr>
          <w:b/>
          <w:bCs/>
          <w:sz w:val="24"/>
          <w:szCs w:val="24"/>
        </w:rPr>
        <w:br/>
      </w:r>
      <w:r w:rsidR="008117BA" w:rsidRPr="00760CCB">
        <w:rPr>
          <w:bCs/>
          <w:sz w:val="24"/>
          <w:szCs w:val="24"/>
        </w:rPr>
        <w:t>Projet de budget primitif emplois pour 2021</w:t>
      </w:r>
    </w:p>
    <w:p w:rsidR="008117BA" w:rsidRPr="00760CCB" w:rsidRDefault="008117BA" w:rsidP="008117BA">
      <w:pPr>
        <w:spacing w:before="120" w:after="120" w:line="240" w:lineRule="auto"/>
        <w:jc w:val="center"/>
        <w:rPr>
          <w:b/>
          <w:sz w:val="24"/>
          <w:szCs w:val="24"/>
        </w:rPr>
      </w:pPr>
      <w:r w:rsidRPr="00760CCB">
        <w:rPr>
          <w:b/>
          <w:bCs/>
          <w:sz w:val="24"/>
          <w:szCs w:val="24"/>
        </w:rPr>
        <w:t>Relatif aux emplois d’</w:t>
      </w:r>
      <w:proofErr w:type="spellStart"/>
      <w:r w:rsidRPr="00760CCB">
        <w:rPr>
          <w:b/>
          <w:bCs/>
          <w:sz w:val="24"/>
          <w:szCs w:val="24"/>
        </w:rPr>
        <w:t>agent</w:t>
      </w:r>
      <w:r w:rsidRPr="00760CCB">
        <w:rPr>
          <w:rFonts w:cs="Calibri"/>
          <w:b/>
          <w:bCs/>
          <w:sz w:val="24"/>
          <w:szCs w:val="24"/>
        </w:rPr>
        <w:t>·</w:t>
      </w:r>
      <w:r w:rsidRPr="00760CCB">
        <w:rPr>
          <w:b/>
          <w:bCs/>
          <w:sz w:val="24"/>
          <w:szCs w:val="24"/>
        </w:rPr>
        <w:t>e</w:t>
      </w:r>
      <w:r w:rsidRPr="00760CCB">
        <w:rPr>
          <w:rFonts w:cs="Calibri"/>
          <w:b/>
          <w:bCs/>
          <w:sz w:val="24"/>
          <w:szCs w:val="24"/>
        </w:rPr>
        <w:t>·</w:t>
      </w:r>
      <w:r w:rsidRPr="00760CCB">
        <w:rPr>
          <w:b/>
          <w:bCs/>
          <w:sz w:val="24"/>
          <w:szCs w:val="24"/>
        </w:rPr>
        <w:t>s</w:t>
      </w:r>
      <w:proofErr w:type="spellEnd"/>
      <w:r w:rsidRPr="00760CCB">
        <w:rPr>
          <w:b/>
          <w:bCs/>
          <w:sz w:val="24"/>
          <w:szCs w:val="24"/>
        </w:rPr>
        <w:t xml:space="preserve"> techniques de la petite enfance (ATEP)</w:t>
      </w:r>
    </w:p>
    <w:p w:rsidR="008117BA" w:rsidRPr="00760CCB" w:rsidRDefault="008117BA" w:rsidP="008117BA">
      <w:pPr>
        <w:spacing w:before="120" w:after="0" w:line="240" w:lineRule="auto"/>
        <w:jc w:val="center"/>
        <w:rPr>
          <w:b/>
          <w:sz w:val="24"/>
          <w:szCs w:val="24"/>
        </w:rPr>
      </w:pPr>
      <w:r w:rsidRPr="00760CCB">
        <w:rPr>
          <w:b/>
          <w:bCs/>
          <w:sz w:val="24"/>
          <w:szCs w:val="24"/>
        </w:rPr>
        <w:t xml:space="preserve">Déposé par Nicolas Bonnet </w:t>
      </w:r>
      <w:proofErr w:type="spellStart"/>
      <w:r w:rsidRPr="00760CCB">
        <w:rPr>
          <w:b/>
          <w:bCs/>
          <w:sz w:val="24"/>
          <w:szCs w:val="24"/>
        </w:rPr>
        <w:t>Oulaldj</w:t>
      </w:r>
      <w:proofErr w:type="spellEnd"/>
      <w:r w:rsidRPr="00760CCB">
        <w:rPr>
          <w:b/>
          <w:bCs/>
          <w:sz w:val="24"/>
          <w:szCs w:val="24"/>
        </w:rPr>
        <w:t xml:space="preserve">, Jean-Noël Aqua, et les </w:t>
      </w:r>
      <w:proofErr w:type="spellStart"/>
      <w:r w:rsidRPr="00760CCB">
        <w:rPr>
          <w:b/>
          <w:bCs/>
          <w:sz w:val="24"/>
          <w:szCs w:val="24"/>
        </w:rPr>
        <w:t>élu·e·s</w:t>
      </w:r>
      <w:proofErr w:type="spellEnd"/>
      <w:r w:rsidRPr="00760CCB">
        <w:rPr>
          <w:b/>
          <w:bCs/>
          <w:sz w:val="24"/>
          <w:szCs w:val="24"/>
        </w:rPr>
        <w:t xml:space="preserve"> du Groupe communiste et Citoyen</w:t>
      </w:r>
    </w:p>
    <w:p w:rsidR="008117BA" w:rsidRPr="00760CCB" w:rsidRDefault="008117BA" w:rsidP="008117BA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8117BA" w:rsidRPr="00760CCB" w:rsidRDefault="008117BA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Considérant que le travail des ATEP est indispensable au bon fonctionnement</w:t>
      </w:r>
      <w:r w:rsidR="00760CCB" w:rsidRPr="00760CCB">
        <w:rPr>
          <w:sz w:val="24"/>
          <w:szCs w:val="24"/>
        </w:rPr>
        <w:t xml:space="preserve"> des établissements d’accueil des</w:t>
      </w:r>
      <w:r w:rsidRPr="00760CCB">
        <w:rPr>
          <w:sz w:val="24"/>
          <w:szCs w:val="24"/>
        </w:rPr>
        <w:t xml:space="preserve"> jeune</w:t>
      </w:r>
      <w:r w:rsidR="00760CCB" w:rsidRPr="00760CCB">
        <w:rPr>
          <w:sz w:val="24"/>
          <w:szCs w:val="24"/>
        </w:rPr>
        <w:t>s</w:t>
      </w:r>
      <w:r w:rsidRPr="00760CCB">
        <w:rPr>
          <w:sz w:val="24"/>
          <w:szCs w:val="24"/>
        </w:rPr>
        <w:t xml:space="preserve"> enfant</w:t>
      </w:r>
      <w:r w:rsidR="00760CCB" w:rsidRPr="00760CCB">
        <w:rPr>
          <w:sz w:val="24"/>
          <w:szCs w:val="24"/>
        </w:rPr>
        <w:t>s</w:t>
      </w:r>
      <w:r w:rsidRPr="00760CCB">
        <w:rPr>
          <w:sz w:val="24"/>
          <w:szCs w:val="24"/>
        </w:rPr>
        <w:t xml:space="preserve">, et à l’accueil de </w:t>
      </w:r>
      <w:proofErr w:type="spellStart"/>
      <w:r w:rsidRPr="00760CCB">
        <w:rPr>
          <w:sz w:val="24"/>
          <w:szCs w:val="24"/>
        </w:rPr>
        <w:t>tou.te.s</w:t>
      </w:r>
      <w:proofErr w:type="spellEnd"/>
      <w:r w:rsidRPr="00760CCB">
        <w:rPr>
          <w:sz w:val="24"/>
          <w:szCs w:val="24"/>
        </w:rPr>
        <w:t xml:space="preserve"> les enfants dans le service public ;</w:t>
      </w:r>
    </w:p>
    <w:p w:rsidR="008117BA" w:rsidRPr="00760CCB" w:rsidRDefault="008117BA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Considérant que ces agent·e·</w:t>
      </w:r>
      <w:proofErr w:type="spellStart"/>
      <w:r w:rsidRPr="00760CCB">
        <w:rPr>
          <w:sz w:val="24"/>
          <w:szCs w:val="24"/>
        </w:rPr>
        <w:t>s exercent</w:t>
      </w:r>
      <w:proofErr w:type="spellEnd"/>
      <w:r w:rsidRPr="00760CCB">
        <w:rPr>
          <w:sz w:val="24"/>
          <w:szCs w:val="24"/>
        </w:rPr>
        <w:t xml:space="preserve"> des</w:t>
      </w:r>
      <w:r w:rsidR="000B330B" w:rsidRPr="00760CCB">
        <w:rPr>
          <w:sz w:val="24"/>
          <w:szCs w:val="24"/>
        </w:rPr>
        <w:t xml:space="preserve"> activités </w:t>
      </w:r>
      <w:r w:rsidR="00760CCB" w:rsidRPr="00760CCB">
        <w:rPr>
          <w:sz w:val="24"/>
          <w:szCs w:val="24"/>
        </w:rPr>
        <w:t xml:space="preserve">indispensables </w:t>
      </w:r>
      <w:r w:rsidR="000B330B" w:rsidRPr="00760CCB">
        <w:rPr>
          <w:sz w:val="24"/>
          <w:szCs w:val="24"/>
        </w:rPr>
        <w:t xml:space="preserve">telles que les fonctions de cuisine, d’entretien et de lingerie ; </w:t>
      </w:r>
    </w:p>
    <w:p w:rsidR="000B330B" w:rsidRPr="00760CCB" w:rsidRDefault="000B330B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Considérant que de nombr</w:t>
      </w:r>
      <w:r w:rsidR="00760CCB" w:rsidRPr="00760CCB">
        <w:rPr>
          <w:sz w:val="24"/>
          <w:szCs w:val="24"/>
        </w:rPr>
        <w:t>eux établissements font face à des</w:t>
      </w:r>
      <w:r w:rsidRPr="00760CCB">
        <w:rPr>
          <w:sz w:val="24"/>
          <w:szCs w:val="24"/>
        </w:rPr>
        <w:t xml:space="preserve"> absences non remplacées d’</w:t>
      </w:r>
      <w:proofErr w:type="spellStart"/>
      <w:r w:rsidRPr="00760CCB">
        <w:rPr>
          <w:sz w:val="24"/>
          <w:szCs w:val="24"/>
        </w:rPr>
        <w:t>un·e</w:t>
      </w:r>
      <w:proofErr w:type="spellEnd"/>
      <w:r w:rsidRPr="00760CCB">
        <w:rPr>
          <w:sz w:val="24"/>
          <w:szCs w:val="24"/>
        </w:rPr>
        <w:t xml:space="preserve"> ou </w:t>
      </w:r>
      <w:r w:rsidR="00760CCB" w:rsidRPr="00760CCB">
        <w:rPr>
          <w:sz w:val="24"/>
          <w:szCs w:val="24"/>
        </w:rPr>
        <w:t xml:space="preserve">parfois </w:t>
      </w:r>
      <w:r w:rsidRPr="00760CCB">
        <w:rPr>
          <w:sz w:val="24"/>
          <w:szCs w:val="24"/>
        </w:rPr>
        <w:t>plusieurs ATEP ;</w:t>
      </w:r>
    </w:p>
    <w:p w:rsidR="008117BA" w:rsidRPr="00760CCB" w:rsidRDefault="000B330B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 xml:space="preserve">Considérant que ce manque de personnel </w:t>
      </w:r>
      <w:r w:rsidR="00760CCB" w:rsidRPr="00760CCB">
        <w:rPr>
          <w:sz w:val="24"/>
          <w:szCs w:val="24"/>
        </w:rPr>
        <w:t xml:space="preserve">provoque l’augmentation de la </w:t>
      </w:r>
      <w:r w:rsidRPr="00760CCB">
        <w:rPr>
          <w:sz w:val="24"/>
          <w:szCs w:val="24"/>
        </w:rPr>
        <w:t>charge de travail</w:t>
      </w:r>
      <w:r w:rsidR="00D158DE" w:rsidRPr="00760CCB">
        <w:rPr>
          <w:sz w:val="24"/>
          <w:szCs w:val="24"/>
        </w:rPr>
        <w:t xml:space="preserve"> des auxiliaires et aide auxiliaires de puériculture, </w:t>
      </w:r>
      <w:r w:rsidR="00760CCB" w:rsidRPr="00760CCB">
        <w:rPr>
          <w:sz w:val="24"/>
          <w:szCs w:val="24"/>
        </w:rPr>
        <w:t xml:space="preserve">parfois sur des fonctions qui ne sont pas celles de ces </w:t>
      </w:r>
      <w:proofErr w:type="spellStart"/>
      <w:r w:rsidR="00760CCB" w:rsidRPr="00760CCB">
        <w:rPr>
          <w:sz w:val="24"/>
          <w:szCs w:val="24"/>
        </w:rPr>
        <w:t>agent·e·s</w:t>
      </w:r>
      <w:proofErr w:type="spellEnd"/>
      <w:r w:rsidR="00760CCB" w:rsidRPr="00760CCB">
        <w:rPr>
          <w:sz w:val="24"/>
          <w:szCs w:val="24"/>
        </w:rPr>
        <w:t> ;</w:t>
      </w:r>
    </w:p>
    <w:p w:rsidR="008117BA" w:rsidRPr="00760CCB" w:rsidRDefault="008117BA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</w:t>
      </w:r>
      <w:r w:rsidR="00D158DE" w:rsidRPr="00760CCB">
        <w:rPr>
          <w:sz w:val="24"/>
          <w:szCs w:val="24"/>
        </w:rPr>
        <w:t>t que le non remplacement des ATEP</w:t>
      </w:r>
      <w:r w:rsidRPr="00760CCB">
        <w:rPr>
          <w:sz w:val="24"/>
          <w:szCs w:val="24"/>
        </w:rPr>
        <w:t>, quel que soit leur motif d’absence (arrêt maladie, accident de travail, formation</w:t>
      </w:r>
      <w:r w:rsidR="00760CCB" w:rsidRPr="00760CCB">
        <w:rPr>
          <w:sz w:val="24"/>
          <w:szCs w:val="24"/>
        </w:rPr>
        <w:t xml:space="preserve">), </w:t>
      </w:r>
      <w:r w:rsidR="00D158DE" w:rsidRPr="00760CCB">
        <w:rPr>
          <w:sz w:val="24"/>
          <w:szCs w:val="24"/>
        </w:rPr>
        <w:t xml:space="preserve">un impact néfaste </w:t>
      </w:r>
      <w:r w:rsidRPr="00760CCB">
        <w:rPr>
          <w:sz w:val="24"/>
          <w:szCs w:val="24"/>
        </w:rPr>
        <w:t xml:space="preserve">sur la qualité du service public d’éducation dans les </w:t>
      </w:r>
      <w:r w:rsidR="00D158DE" w:rsidRPr="00760CCB">
        <w:rPr>
          <w:sz w:val="24"/>
          <w:szCs w:val="24"/>
        </w:rPr>
        <w:t>établissements d’accueil du jeune enfant</w:t>
      </w:r>
      <w:r w:rsidRPr="00760CCB">
        <w:rPr>
          <w:sz w:val="24"/>
          <w:szCs w:val="24"/>
        </w:rPr>
        <w:t xml:space="preserve"> ;</w:t>
      </w:r>
    </w:p>
    <w:p w:rsidR="008117BA" w:rsidRPr="00760CCB" w:rsidRDefault="008117BA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 xml:space="preserve">Considérant que ces problèmes déjà présents en temps normal ont été amplifiés par la crise </w:t>
      </w:r>
      <w:r w:rsidR="00760CCB" w:rsidRPr="00760CCB">
        <w:rPr>
          <w:sz w:val="24"/>
          <w:szCs w:val="24"/>
        </w:rPr>
        <w:t>de la</w:t>
      </w:r>
      <w:r w:rsidRPr="00760CCB">
        <w:rPr>
          <w:sz w:val="24"/>
          <w:szCs w:val="24"/>
        </w:rPr>
        <w:t xml:space="preserve"> </w:t>
      </w:r>
      <w:proofErr w:type="spellStart"/>
      <w:r w:rsidRPr="00760CCB">
        <w:rPr>
          <w:sz w:val="24"/>
          <w:szCs w:val="24"/>
        </w:rPr>
        <w:t>Covid</w:t>
      </w:r>
      <w:proofErr w:type="spellEnd"/>
      <w:r w:rsidRPr="00760CCB">
        <w:rPr>
          <w:sz w:val="24"/>
          <w:szCs w:val="24"/>
        </w:rPr>
        <w:t xml:space="preserve"> 19</w:t>
      </w:r>
      <w:r w:rsidR="00150094" w:rsidRPr="00760CCB">
        <w:rPr>
          <w:sz w:val="24"/>
          <w:szCs w:val="24"/>
        </w:rPr>
        <w:t>, notamment en raison</w:t>
      </w:r>
      <w:r w:rsidR="00D158DE" w:rsidRPr="00760CCB">
        <w:rPr>
          <w:sz w:val="24"/>
          <w:szCs w:val="24"/>
        </w:rPr>
        <w:t xml:space="preserve"> de la charge de travail supplémentaire induite p</w:t>
      </w:r>
      <w:r w:rsidR="00150094" w:rsidRPr="00760CCB">
        <w:rPr>
          <w:sz w:val="24"/>
          <w:szCs w:val="24"/>
        </w:rPr>
        <w:t xml:space="preserve">ar les protocoles </w:t>
      </w:r>
      <w:r w:rsidR="00760CCB" w:rsidRPr="00760CCB">
        <w:rPr>
          <w:sz w:val="24"/>
          <w:szCs w:val="24"/>
        </w:rPr>
        <w:t xml:space="preserve">sanitaire et les absences pour </w:t>
      </w:r>
      <w:r w:rsidR="00D158DE" w:rsidRPr="00760CCB">
        <w:rPr>
          <w:sz w:val="24"/>
          <w:szCs w:val="24"/>
        </w:rPr>
        <w:t xml:space="preserve">raisons médicales ; </w:t>
      </w:r>
    </w:p>
    <w:p w:rsidR="00D158DE" w:rsidRPr="00760CCB" w:rsidRDefault="00D158DE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 xml:space="preserve">Considérant que des recrutements ont été effectués dans les écoles pour assumer la charge de travail supplémentaire induite par les protocoles sanitaires, mais que </w:t>
      </w:r>
      <w:r w:rsidR="00760CCB" w:rsidRPr="00760CCB">
        <w:rPr>
          <w:sz w:val="24"/>
          <w:szCs w:val="24"/>
        </w:rPr>
        <w:t>de tels recrutements n’ont</w:t>
      </w:r>
      <w:r w:rsidRPr="00760CCB">
        <w:rPr>
          <w:sz w:val="24"/>
          <w:szCs w:val="24"/>
        </w:rPr>
        <w:t xml:space="preserve"> pas eu lieu dans les crèches ; </w:t>
      </w:r>
    </w:p>
    <w:p w:rsidR="008117BA" w:rsidRPr="00760CCB" w:rsidRDefault="008117BA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Considérant qu’au regard de ces éléments, il est nécessaire de renforcer la b</w:t>
      </w:r>
      <w:r w:rsidR="00D158DE" w:rsidRPr="00760CCB">
        <w:rPr>
          <w:sz w:val="24"/>
          <w:szCs w:val="24"/>
        </w:rPr>
        <w:t xml:space="preserve">rigade de remplacement des ATEP </w:t>
      </w:r>
      <w:r w:rsidRPr="00760CCB">
        <w:rPr>
          <w:sz w:val="24"/>
          <w:szCs w:val="24"/>
        </w:rPr>
        <w:t xml:space="preserve">pour couvrir les besoins ouverts par les absences de ces </w:t>
      </w:r>
      <w:proofErr w:type="spellStart"/>
      <w:r w:rsidRPr="00760CCB">
        <w:rPr>
          <w:sz w:val="24"/>
          <w:szCs w:val="24"/>
        </w:rPr>
        <w:t>agent·e·s</w:t>
      </w:r>
      <w:proofErr w:type="spellEnd"/>
      <w:r w:rsidRPr="00760CCB">
        <w:rPr>
          <w:sz w:val="24"/>
          <w:szCs w:val="24"/>
        </w:rPr>
        <w:t xml:space="preserve"> ;</w:t>
      </w:r>
    </w:p>
    <w:p w:rsidR="00C70AC9" w:rsidRPr="00760CCB" w:rsidRDefault="00C70AC9" w:rsidP="008117BA">
      <w:pPr>
        <w:spacing w:before="120" w:after="120" w:line="240" w:lineRule="auto"/>
        <w:jc w:val="both"/>
        <w:rPr>
          <w:sz w:val="24"/>
          <w:szCs w:val="24"/>
        </w:rPr>
      </w:pPr>
      <w:r w:rsidRPr="00760CCB">
        <w:rPr>
          <w:sz w:val="24"/>
          <w:szCs w:val="24"/>
        </w:rPr>
        <w:t>Considérant que la délibération DASCO 45 adoptée en Conseil de Paris des 17 et 18 novembre a porté le montant du forfait communal des écoles parisiennes élémentaires sous contrat d’association de 827,34 euros à 954 euros par élève et par an</w:t>
      </w:r>
      <w:r w:rsidR="00760CCB" w:rsidRPr="00760CCB">
        <w:rPr>
          <w:sz w:val="24"/>
          <w:szCs w:val="24"/>
        </w:rPr>
        <w:t>, faisant perdre à la Ville près de 3 500 000 euros par an</w:t>
      </w:r>
      <w:r w:rsidRPr="00760CCB">
        <w:rPr>
          <w:sz w:val="24"/>
          <w:szCs w:val="24"/>
        </w:rPr>
        <w:t xml:space="preserve"> ; </w:t>
      </w:r>
    </w:p>
    <w:p w:rsidR="00C70AC9" w:rsidRPr="00760CCB" w:rsidRDefault="00C70AC9" w:rsidP="008117BA">
      <w:pPr>
        <w:spacing w:before="120" w:after="120" w:line="240" w:lineRule="auto"/>
        <w:jc w:val="both"/>
        <w:rPr>
          <w:sz w:val="24"/>
          <w:szCs w:val="24"/>
        </w:rPr>
      </w:pPr>
    </w:p>
    <w:p w:rsidR="008117BA" w:rsidRPr="00760CCB" w:rsidRDefault="008117BA" w:rsidP="008117BA">
      <w:pPr>
        <w:spacing w:before="120" w:after="120" w:line="240" w:lineRule="auto"/>
        <w:jc w:val="both"/>
        <w:rPr>
          <w:b/>
          <w:sz w:val="24"/>
          <w:szCs w:val="24"/>
        </w:rPr>
      </w:pPr>
      <w:r w:rsidRPr="00760CCB">
        <w:rPr>
          <w:b/>
          <w:sz w:val="24"/>
          <w:szCs w:val="24"/>
        </w:rPr>
        <w:t xml:space="preserve">Sur proposition de Nicolas Bonnet </w:t>
      </w:r>
      <w:proofErr w:type="spellStart"/>
      <w:r w:rsidRPr="00760CCB">
        <w:rPr>
          <w:b/>
          <w:sz w:val="24"/>
          <w:szCs w:val="24"/>
        </w:rPr>
        <w:t>Oulaldj</w:t>
      </w:r>
      <w:proofErr w:type="spellEnd"/>
      <w:r w:rsidRPr="00760CCB">
        <w:rPr>
          <w:b/>
          <w:sz w:val="24"/>
          <w:szCs w:val="24"/>
        </w:rPr>
        <w:t>, Jean-Noël Aqua, et des élus du groupe Communiste et C</w:t>
      </w:r>
      <w:r w:rsidR="00C2170E">
        <w:rPr>
          <w:b/>
          <w:sz w:val="24"/>
          <w:szCs w:val="24"/>
        </w:rPr>
        <w:t>itoyen, la délibération DFA</w:t>
      </w:r>
      <w:bookmarkStart w:id="0" w:name="_GoBack"/>
      <w:bookmarkEnd w:id="0"/>
      <w:r w:rsidR="00760CCB" w:rsidRPr="00760CCB">
        <w:rPr>
          <w:b/>
          <w:sz w:val="24"/>
          <w:szCs w:val="24"/>
        </w:rPr>
        <w:t xml:space="preserve"> 76</w:t>
      </w:r>
      <w:r w:rsidRPr="00760CCB">
        <w:rPr>
          <w:b/>
          <w:sz w:val="24"/>
          <w:szCs w:val="24"/>
        </w:rPr>
        <w:t xml:space="preserve"> est amendée comme suit :</w:t>
      </w:r>
    </w:p>
    <w:p w:rsidR="008117BA" w:rsidRPr="00760CCB" w:rsidRDefault="008117BA" w:rsidP="008117BA">
      <w:pPr>
        <w:spacing w:after="0" w:line="240" w:lineRule="auto"/>
        <w:jc w:val="both"/>
        <w:rPr>
          <w:b/>
          <w:sz w:val="24"/>
          <w:szCs w:val="24"/>
        </w:rPr>
      </w:pPr>
      <w:r w:rsidRPr="00760CCB">
        <w:rPr>
          <w:b/>
          <w:sz w:val="24"/>
          <w:szCs w:val="24"/>
        </w:rPr>
        <w:t>- 15 postes d’</w:t>
      </w:r>
      <w:proofErr w:type="spellStart"/>
      <w:r w:rsidRPr="00760CCB">
        <w:rPr>
          <w:b/>
          <w:sz w:val="24"/>
          <w:szCs w:val="24"/>
        </w:rPr>
        <w:t>agent·e·s</w:t>
      </w:r>
      <w:proofErr w:type="spellEnd"/>
      <w:r w:rsidRPr="00760CCB">
        <w:rPr>
          <w:b/>
          <w:sz w:val="24"/>
          <w:szCs w:val="24"/>
        </w:rPr>
        <w:t xml:space="preserve"> techniques de la petite enfance (ATEP) sont ajoutés, notamment pour renforcer les brigades de remplacement. </w:t>
      </w:r>
    </w:p>
    <w:p w:rsidR="008117BA" w:rsidRPr="00760CCB" w:rsidRDefault="008117BA" w:rsidP="008117BA">
      <w:pPr>
        <w:spacing w:after="0" w:line="240" w:lineRule="auto"/>
        <w:jc w:val="both"/>
        <w:rPr>
          <w:b/>
          <w:sz w:val="24"/>
          <w:szCs w:val="24"/>
        </w:rPr>
      </w:pPr>
    </w:p>
    <w:p w:rsidR="008117BA" w:rsidRPr="00760CCB" w:rsidRDefault="008117BA" w:rsidP="008117BA">
      <w:pPr>
        <w:spacing w:after="0" w:line="240" w:lineRule="auto"/>
        <w:jc w:val="center"/>
        <w:rPr>
          <w:b/>
          <w:i/>
          <w:sz w:val="24"/>
          <w:szCs w:val="24"/>
        </w:rPr>
      </w:pPr>
      <w:r w:rsidRPr="00760CCB">
        <w:rPr>
          <w:b/>
          <w:i/>
          <w:sz w:val="24"/>
          <w:szCs w:val="24"/>
        </w:rPr>
        <w:lastRenderedPageBreak/>
        <w:t>La dépense correspondante sera gagée sur la diminution du forfait communal accordé aux écoles élémentaires sous contrat d’association.</w:t>
      </w:r>
    </w:p>
    <w:p w:rsidR="008117BA" w:rsidRPr="00760CCB" w:rsidRDefault="008117BA" w:rsidP="008117BA">
      <w:pPr>
        <w:rPr>
          <w:sz w:val="24"/>
          <w:szCs w:val="24"/>
        </w:rPr>
      </w:pPr>
    </w:p>
    <w:p w:rsidR="0029492F" w:rsidRDefault="0029492F"/>
    <w:sectPr w:rsidR="00294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9D" w:rsidRDefault="00DC129D" w:rsidP="00760CCB">
      <w:pPr>
        <w:spacing w:after="0" w:line="240" w:lineRule="auto"/>
      </w:pPr>
      <w:r>
        <w:separator/>
      </w:r>
    </w:p>
  </w:endnote>
  <w:endnote w:type="continuationSeparator" w:id="0">
    <w:p w:rsidR="00DC129D" w:rsidRDefault="00DC129D" w:rsidP="007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9D" w:rsidRDefault="00DC129D" w:rsidP="00760CCB">
      <w:pPr>
        <w:spacing w:after="0" w:line="240" w:lineRule="auto"/>
      </w:pPr>
      <w:r>
        <w:separator/>
      </w:r>
    </w:p>
  </w:footnote>
  <w:footnote w:type="continuationSeparator" w:id="0">
    <w:p w:rsidR="00DC129D" w:rsidRDefault="00DC129D" w:rsidP="0076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CB" w:rsidRPr="00760CCB" w:rsidRDefault="00760CCB" w:rsidP="00760CC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</w:rPr>
    </w:pPr>
    <w:r w:rsidRPr="00760CCB">
      <w:rPr>
        <w:rFonts w:asciiTheme="minorHAnsi" w:eastAsiaTheme="minorHAnsi" w:hAnsiTheme="minorHAnsi" w:cstheme="minorBidi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3166B16" wp14:editId="0E16D9D3">
          <wp:simplePos x="0" y="0"/>
          <wp:positionH relativeFrom="column">
            <wp:posOffset>-103505</wp:posOffset>
          </wp:positionH>
          <wp:positionV relativeFrom="page">
            <wp:posOffset>449580</wp:posOffset>
          </wp:positionV>
          <wp:extent cx="895985" cy="845820"/>
          <wp:effectExtent l="0" t="0" r="0" b="0"/>
          <wp:wrapTight wrapText="bothSides">
            <wp:wrapPolygon edited="0">
              <wp:start x="0" y="0"/>
              <wp:lineTo x="0" y="20919"/>
              <wp:lineTo x="21125" y="20919"/>
              <wp:lineTo x="211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CCB">
      <w:rPr>
        <w:rFonts w:asciiTheme="minorHAnsi" w:eastAsiaTheme="minorHAnsi" w:hAnsiTheme="minorHAnsi" w:cstheme="minorBidi"/>
        <w:sz w:val="20"/>
      </w:rPr>
      <w:t xml:space="preserve">                          </w:t>
    </w:r>
  </w:p>
  <w:p w:rsidR="00760CCB" w:rsidRPr="00760CCB" w:rsidRDefault="00760CCB" w:rsidP="00760CC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</w:rPr>
    </w:pPr>
    <w:r w:rsidRPr="00760CCB">
      <w:rPr>
        <w:rFonts w:asciiTheme="minorHAnsi" w:eastAsiaTheme="minorHAnsi" w:hAnsiTheme="minorHAnsi" w:cstheme="minorBidi"/>
        <w:sz w:val="20"/>
      </w:rPr>
      <w:t xml:space="preserve">                         </w:t>
    </w:r>
  </w:p>
  <w:p w:rsidR="00760CCB" w:rsidRPr="00760CCB" w:rsidRDefault="00760CCB" w:rsidP="00760CC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</w:rPr>
    </w:pPr>
  </w:p>
  <w:p w:rsidR="00760CCB" w:rsidRPr="00760CCB" w:rsidRDefault="00760CCB" w:rsidP="00760CC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color w:val="7F7F7F" w:themeColor="text1" w:themeTint="80"/>
      </w:rPr>
    </w:pPr>
    <w:r w:rsidRPr="00760CCB">
      <w:rPr>
        <w:rFonts w:asciiTheme="minorHAnsi" w:eastAsiaTheme="minorHAnsi" w:hAnsiTheme="minorHAnsi" w:cstheme="minorBidi"/>
        <w:sz w:val="20"/>
      </w:rPr>
      <w:t xml:space="preserve">                           </w:t>
    </w:r>
    <w:r w:rsidRPr="00760CCB">
      <w:rPr>
        <w:rFonts w:asciiTheme="minorHAnsi" w:eastAsiaTheme="minorHAnsi" w:hAnsiTheme="minorHAnsi" w:cstheme="minorBidi"/>
        <w:color w:val="7F7F7F" w:themeColor="text1" w:themeTint="80"/>
      </w:rPr>
      <w:t>Groupe Communiste</w:t>
    </w:r>
    <w:r>
      <w:rPr>
        <w:rFonts w:asciiTheme="minorHAnsi" w:eastAsiaTheme="minorHAnsi" w:hAnsiTheme="minorHAnsi" w:cstheme="minorBidi"/>
        <w:color w:val="7F7F7F" w:themeColor="text1" w:themeTint="80"/>
      </w:rPr>
      <w:t xml:space="preserve"> et Citoyen</w:t>
    </w:r>
  </w:p>
  <w:p w:rsidR="00760CCB" w:rsidRPr="00760CCB" w:rsidRDefault="00760CCB" w:rsidP="00760CC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color w:val="7F7F7F" w:themeColor="text1" w:themeTint="80"/>
        <w:sz w:val="20"/>
      </w:rPr>
    </w:pPr>
    <w:r w:rsidRPr="00760CCB">
      <w:rPr>
        <w:rFonts w:asciiTheme="minorHAnsi" w:eastAsiaTheme="minorHAnsi" w:hAnsiTheme="minorHAnsi" w:cstheme="minorBidi"/>
        <w:color w:val="7F7F7F" w:themeColor="text1" w:themeTint="80"/>
        <w:sz w:val="20"/>
      </w:rPr>
      <w:t xml:space="preserve">                           Conseil de Paris </w:t>
    </w:r>
    <w:r>
      <w:rPr>
        <w:rFonts w:asciiTheme="minorHAnsi" w:eastAsiaTheme="minorHAnsi" w:hAnsiTheme="minorHAnsi" w:cstheme="minorBidi"/>
        <w:color w:val="7F7F7F" w:themeColor="text1" w:themeTint="80"/>
        <w:sz w:val="20"/>
      </w:rPr>
      <w:t>des 15, 16, et 17 décembre 2020</w:t>
    </w:r>
  </w:p>
  <w:p w:rsidR="00760CCB" w:rsidRDefault="00760C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A"/>
    <w:rsid w:val="000B330B"/>
    <w:rsid w:val="00150094"/>
    <w:rsid w:val="0029492F"/>
    <w:rsid w:val="00760CCB"/>
    <w:rsid w:val="008117BA"/>
    <w:rsid w:val="00C2170E"/>
    <w:rsid w:val="00C426F9"/>
    <w:rsid w:val="00C70AC9"/>
    <w:rsid w:val="00D158DE"/>
    <w:rsid w:val="00D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CC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CC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Bachatène, Lise</dc:creator>
  <cp:lastModifiedBy>Bachatène, Lise</cp:lastModifiedBy>
  <cp:revision>3</cp:revision>
  <dcterms:created xsi:type="dcterms:W3CDTF">2020-12-07T11:15:00Z</dcterms:created>
  <dcterms:modified xsi:type="dcterms:W3CDTF">2020-12-07T11:27:00Z</dcterms:modified>
</cp:coreProperties>
</file>