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64" w:rsidRDefault="00B46664" w:rsidP="00B46664">
      <w:pPr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B46664" w:rsidTr="00B4666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46664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46664">
                    <w:tc>
                      <w:tcPr>
                        <w:tcW w:w="0" w:type="auto"/>
                        <w:vAlign w:val="center"/>
                        <w:hideMark/>
                      </w:tcPr>
                      <w:p w:rsidR="00B46664" w:rsidRDefault="00B46664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B46664" w:rsidRDefault="00B466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46664" w:rsidRDefault="00B46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664" w:rsidTr="00B4666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4666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"/>
                    <w:gridCol w:w="8850"/>
                    <w:gridCol w:w="450"/>
                  </w:tblGrid>
                  <w:tr w:rsidR="00B46664" w:rsidTr="00D92F2F">
                    <w:tc>
                      <w:tcPr>
                        <w:tcW w:w="450" w:type="dxa"/>
                        <w:vAlign w:val="center"/>
                        <w:hideMark/>
                      </w:tcPr>
                      <w:p w:rsidR="00B46664" w:rsidRDefault="00B4666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B46664" w:rsidRDefault="00B4666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:rsidR="00B46664" w:rsidRDefault="00B4666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B46664" w:rsidRDefault="00B466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46664" w:rsidRDefault="00B46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6664" w:rsidRDefault="00B46664" w:rsidP="00B46664">
      <w:pPr>
        <w:rPr>
          <w:rFonts w:eastAsia="Times New Roman"/>
          <w:vanish/>
        </w:rPr>
      </w:pPr>
    </w:p>
    <w:p w:rsidR="00B46664" w:rsidRDefault="00B46664" w:rsidP="00B46664">
      <w:pPr>
        <w:rPr>
          <w:rFonts w:eastAsia="Times New Roman"/>
          <w:vanish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B46664" w:rsidTr="00B46664">
        <w:trPr>
          <w:jc w:val="center"/>
          <w:hidden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46664">
              <w:trPr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46664">
                    <w:trPr>
                      <w:trHeight w:val="75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6664" w:rsidRDefault="00B4666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B46664" w:rsidRDefault="00B466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46664" w:rsidRDefault="00B46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664" w:rsidTr="00B4666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4666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46664">
                    <w:tc>
                      <w:tcPr>
                        <w:tcW w:w="0" w:type="auto"/>
                        <w:vAlign w:val="center"/>
                        <w:hideMark/>
                      </w:tcPr>
                      <w:p w:rsidR="00B46664" w:rsidRDefault="00B4666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B46664" w:rsidRDefault="00B466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46664" w:rsidRDefault="00B46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6664" w:rsidRDefault="00B46664" w:rsidP="00B46664">
      <w:pPr>
        <w:rPr>
          <w:rFonts w:eastAsia="Times New Roman"/>
          <w:vanish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B46664" w:rsidTr="00B46664">
        <w:trPr>
          <w:jc w:val="center"/>
          <w:hidden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46664">
              <w:trPr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46664">
                    <w:trPr>
                      <w:trHeight w:val="75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6664" w:rsidRDefault="00B4666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B46664" w:rsidRDefault="00B466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46664" w:rsidRDefault="00B46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0EF9" w:rsidRDefault="00D92F2F" w:rsidP="006E687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77D6">
        <w:rPr>
          <w:rFonts w:ascii="Times New Roman" w:hAnsi="Times New Roman" w:cs="Times New Roman"/>
          <w:b/>
          <w:bCs/>
          <w:sz w:val="36"/>
          <w:szCs w:val="36"/>
        </w:rPr>
        <w:t>PREAVIS DE GREVE</w:t>
      </w:r>
      <w:r w:rsidR="006E687C" w:rsidRPr="00C377D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E6848">
        <w:rPr>
          <w:rFonts w:ascii="Times New Roman" w:hAnsi="Times New Roman" w:cs="Times New Roman"/>
          <w:b/>
          <w:bCs/>
          <w:sz w:val="36"/>
          <w:szCs w:val="36"/>
        </w:rPr>
        <w:t xml:space="preserve">RECONDUCTIBLE </w:t>
      </w:r>
      <w:r w:rsidR="006E687C" w:rsidRPr="00C377D6">
        <w:rPr>
          <w:rFonts w:ascii="Times New Roman" w:hAnsi="Times New Roman" w:cs="Times New Roman"/>
          <w:b/>
          <w:bCs/>
          <w:sz w:val="36"/>
          <w:szCs w:val="36"/>
        </w:rPr>
        <w:t>DES</w:t>
      </w:r>
      <w:r w:rsidRPr="00C377D6">
        <w:rPr>
          <w:rFonts w:ascii="Times New Roman" w:hAnsi="Times New Roman" w:cs="Times New Roman"/>
          <w:b/>
          <w:bCs/>
          <w:sz w:val="36"/>
          <w:szCs w:val="36"/>
        </w:rPr>
        <w:t xml:space="preserve"> PISCINES DE GPSEA</w:t>
      </w:r>
      <w:r w:rsidR="006E687C" w:rsidRPr="00C377D6">
        <w:rPr>
          <w:rFonts w:ascii="Times New Roman" w:hAnsi="Times New Roman" w:cs="Times New Roman"/>
          <w:b/>
          <w:bCs/>
          <w:sz w:val="36"/>
          <w:szCs w:val="36"/>
        </w:rPr>
        <w:t xml:space="preserve"> LE DIMANCHE 2 FEVRIER 2020 </w:t>
      </w:r>
    </w:p>
    <w:p w:rsidR="008E6848" w:rsidRPr="008E6848" w:rsidRDefault="008E6848" w:rsidP="006E687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92F2F" w:rsidRPr="008E6848" w:rsidRDefault="00D92F2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92F2F" w:rsidRDefault="00D92F2F" w:rsidP="003D77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87C">
        <w:rPr>
          <w:rFonts w:ascii="Times New Roman" w:hAnsi="Times New Roman" w:cs="Times New Roman"/>
          <w:b/>
          <w:bCs/>
          <w:sz w:val="24"/>
          <w:szCs w:val="24"/>
        </w:rPr>
        <w:t xml:space="preserve">Les agents des piscines nous ont sollicité sur </w:t>
      </w:r>
      <w:r w:rsidR="003D77EE" w:rsidRPr="006E687C">
        <w:rPr>
          <w:rFonts w:ascii="Times New Roman" w:hAnsi="Times New Roman" w:cs="Times New Roman"/>
          <w:b/>
          <w:bCs/>
          <w:sz w:val="24"/>
          <w:szCs w:val="24"/>
        </w:rPr>
        <w:t>leurs conditions</w:t>
      </w:r>
      <w:r w:rsidRPr="006E687C">
        <w:rPr>
          <w:rFonts w:ascii="Times New Roman" w:hAnsi="Times New Roman" w:cs="Times New Roman"/>
          <w:b/>
          <w:bCs/>
          <w:sz w:val="24"/>
          <w:szCs w:val="24"/>
        </w:rPr>
        <w:t xml:space="preserve"> de travail depuis </w:t>
      </w:r>
      <w:r w:rsidR="00E20A55" w:rsidRPr="006E687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E6848">
        <w:rPr>
          <w:rFonts w:ascii="Times New Roman" w:hAnsi="Times New Roman" w:cs="Times New Roman"/>
          <w:b/>
          <w:bCs/>
          <w:sz w:val="24"/>
          <w:szCs w:val="24"/>
        </w:rPr>
        <w:t xml:space="preserve">eur </w:t>
      </w:r>
      <w:r w:rsidR="00E20A55" w:rsidRPr="006E687C">
        <w:rPr>
          <w:rFonts w:ascii="Times New Roman" w:hAnsi="Times New Roman" w:cs="Times New Roman"/>
          <w:b/>
          <w:bCs/>
          <w:sz w:val="24"/>
          <w:szCs w:val="24"/>
        </w:rPr>
        <w:t>intégration au sein de GPSEA.</w:t>
      </w:r>
    </w:p>
    <w:p w:rsidR="006E687C" w:rsidRDefault="006E687C" w:rsidP="003D77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87C" w:rsidRDefault="003D77EE" w:rsidP="003D77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E687C">
        <w:rPr>
          <w:rFonts w:ascii="Times New Roman" w:hAnsi="Times New Roman" w:cs="Times New Roman"/>
          <w:b/>
          <w:bCs/>
          <w:sz w:val="24"/>
          <w:szCs w:val="24"/>
        </w:rPr>
        <w:t xml:space="preserve">lusieurs entretiens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ont eu lieu </w:t>
      </w:r>
      <w:r w:rsidR="006E687C">
        <w:rPr>
          <w:rFonts w:ascii="Times New Roman" w:hAnsi="Times New Roman" w:cs="Times New Roman"/>
          <w:b/>
          <w:bCs/>
          <w:sz w:val="24"/>
          <w:szCs w:val="24"/>
        </w:rPr>
        <w:t>avec l</w:t>
      </w:r>
      <w:r w:rsidR="00C377D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E687C">
        <w:rPr>
          <w:rFonts w:ascii="Times New Roman" w:hAnsi="Times New Roman" w:cs="Times New Roman"/>
          <w:b/>
          <w:bCs/>
          <w:sz w:val="24"/>
          <w:szCs w:val="24"/>
        </w:rPr>
        <w:t xml:space="preserve"> Direc</w:t>
      </w:r>
      <w:r w:rsidR="00C377D6">
        <w:rPr>
          <w:rFonts w:ascii="Times New Roman" w:hAnsi="Times New Roman" w:cs="Times New Roman"/>
          <w:b/>
          <w:bCs/>
          <w:sz w:val="24"/>
          <w:szCs w:val="24"/>
        </w:rPr>
        <w:t>teur Général des Services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37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 dernier en date s’étant tenu le</w:t>
      </w:r>
      <w:r w:rsidR="006E687C">
        <w:rPr>
          <w:rFonts w:ascii="Times New Roman" w:hAnsi="Times New Roman" w:cs="Times New Roman"/>
          <w:b/>
          <w:bCs/>
          <w:sz w:val="24"/>
          <w:szCs w:val="24"/>
        </w:rPr>
        <w:t xml:space="preserve"> mercredi 29 janvier 2020.</w:t>
      </w:r>
    </w:p>
    <w:p w:rsidR="006E687C" w:rsidRPr="008E6848" w:rsidRDefault="006E687C" w:rsidP="003D77E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E687C" w:rsidRDefault="006E687C" w:rsidP="003D77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en </w:t>
      </w:r>
      <w:r w:rsidR="003D77EE">
        <w:rPr>
          <w:rFonts w:ascii="Times New Roman" w:hAnsi="Times New Roman" w:cs="Times New Roman"/>
          <w:b/>
          <w:bCs/>
          <w:sz w:val="24"/>
          <w:szCs w:val="24"/>
        </w:rPr>
        <w:t>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ressorti que </w:t>
      </w:r>
      <w:r w:rsidR="00C377D6">
        <w:rPr>
          <w:rFonts w:ascii="Times New Roman" w:hAnsi="Times New Roman" w:cs="Times New Roman"/>
          <w:b/>
          <w:bCs/>
          <w:sz w:val="24"/>
          <w:szCs w:val="24"/>
        </w:rPr>
        <w:t>le Directeur Général des Services</w:t>
      </w:r>
      <w:r w:rsidR="003D77EE">
        <w:rPr>
          <w:rFonts w:ascii="Times New Roman" w:hAnsi="Times New Roman" w:cs="Times New Roman"/>
          <w:b/>
          <w:bCs/>
          <w:sz w:val="24"/>
          <w:szCs w:val="24"/>
        </w:rPr>
        <w:t xml:space="preserve"> a décidé de </w:t>
      </w:r>
      <w:r>
        <w:rPr>
          <w:rFonts w:ascii="Times New Roman" w:hAnsi="Times New Roman" w:cs="Times New Roman"/>
          <w:b/>
          <w:bCs/>
          <w:sz w:val="24"/>
          <w:szCs w:val="24"/>
        </w:rPr>
        <w:t>lance</w:t>
      </w:r>
      <w:r w:rsidR="003D77EE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 audit complet sur le fonctionnement de </w:t>
      </w:r>
      <w:r w:rsidR="003D77EE">
        <w:rPr>
          <w:rFonts w:ascii="Times New Roman" w:hAnsi="Times New Roman" w:cs="Times New Roman"/>
          <w:b/>
          <w:bCs/>
          <w:sz w:val="24"/>
          <w:szCs w:val="24"/>
        </w:rPr>
        <w:t>l’ensemble des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piscines d</w:t>
      </w:r>
      <w:r w:rsidR="003D77EE">
        <w:rPr>
          <w:rFonts w:ascii="Times New Roman" w:hAnsi="Times New Roman" w:cs="Times New Roman"/>
          <w:b/>
          <w:bCs/>
          <w:sz w:val="24"/>
          <w:szCs w:val="24"/>
        </w:rPr>
        <w:t>u territoire afin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mieux comprendre les rôles de chacun </w:t>
      </w:r>
      <w:r w:rsidR="003D77EE">
        <w:rPr>
          <w:rFonts w:ascii="Times New Roman" w:hAnsi="Times New Roman" w:cs="Times New Roman"/>
          <w:b/>
          <w:bCs/>
          <w:sz w:val="24"/>
          <w:szCs w:val="24"/>
        </w:rPr>
        <w:t>et de mieux appréhender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les problématiques que rencontrent les agents.</w:t>
      </w:r>
    </w:p>
    <w:p w:rsidR="003D77EE" w:rsidRPr="008E6848" w:rsidRDefault="003D77EE" w:rsidP="003D77E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E687C" w:rsidRDefault="006E687C" w:rsidP="003D77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L’audit sera réalisé par un cabinet </w:t>
      </w:r>
      <w:r w:rsidR="003D77EE">
        <w:rPr>
          <w:rFonts w:ascii="Times New Roman" w:hAnsi="Times New Roman" w:cs="Times New Roman"/>
          <w:b/>
          <w:bCs/>
          <w:sz w:val="24"/>
          <w:szCs w:val="24"/>
        </w:rPr>
        <w:t>extérieur. Celui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-ci </w:t>
      </w:r>
      <w:r w:rsidR="003D77EE">
        <w:rPr>
          <w:rFonts w:ascii="Times New Roman" w:hAnsi="Times New Roman" w:cs="Times New Roman"/>
          <w:b/>
          <w:bCs/>
          <w:sz w:val="24"/>
          <w:szCs w:val="24"/>
        </w:rPr>
        <w:t>réalisera une phase de diagnostic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7EE">
        <w:rPr>
          <w:rFonts w:ascii="Times New Roman" w:hAnsi="Times New Roman" w:cs="Times New Roman"/>
          <w:b/>
          <w:bCs/>
          <w:sz w:val="24"/>
          <w:szCs w:val="24"/>
        </w:rPr>
        <w:t>devant permettre à l’administration de mieux comprendre les différents modes d’organisation et de fonctionnement de chaque piscine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77EE">
        <w:rPr>
          <w:rFonts w:ascii="Times New Roman" w:hAnsi="Times New Roman" w:cs="Times New Roman"/>
          <w:b/>
          <w:bCs/>
          <w:sz w:val="24"/>
          <w:szCs w:val="24"/>
        </w:rPr>
        <w:t xml:space="preserve"> La restitution de cette phase, qui doit avoir lieu avant fin avril 2020, doit permettre à chaque agent de s’exprimer et de faire prendre en compte les difficultés qu’ils rencontrent au quotidien dans le cadre de l’exercice de leurs missions. </w:t>
      </w:r>
    </w:p>
    <w:p w:rsidR="006E687C" w:rsidRPr="008E6848" w:rsidRDefault="006E687C" w:rsidP="003D77E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E687C" w:rsidRDefault="00C377D6" w:rsidP="003D77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 Directeur Général des Services </w:t>
      </w:r>
      <w:r w:rsidR="006E687C">
        <w:rPr>
          <w:rFonts w:ascii="Times New Roman" w:hAnsi="Times New Roman" w:cs="Times New Roman"/>
          <w:b/>
          <w:bCs/>
          <w:sz w:val="24"/>
          <w:szCs w:val="24"/>
        </w:rPr>
        <w:t xml:space="preserve">s’est </w:t>
      </w:r>
      <w:r>
        <w:rPr>
          <w:rFonts w:ascii="Times New Roman" w:hAnsi="Times New Roman" w:cs="Times New Roman"/>
          <w:b/>
          <w:bCs/>
          <w:sz w:val="24"/>
          <w:szCs w:val="24"/>
        </w:rPr>
        <w:t>engagé</w:t>
      </w:r>
      <w:r w:rsidR="006E6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B69">
        <w:rPr>
          <w:rFonts w:ascii="Times New Roman" w:hAnsi="Times New Roman" w:cs="Times New Roman"/>
          <w:b/>
          <w:bCs/>
          <w:sz w:val="24"/>
          <w:szCs w:val="24"/>
        </w:rPr>
        <w:t>oralement à</w:t>
      </w:r>
      <w:r w:rsidR="008E68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A3B69">
        <w:rPr>
          <w:rFonts w:ascii="Times New Roman" w:hAnsi="Times New Roman" w:cs="Times New Roman"/>
          <w:b/>
          <w:bCs/>
          <w:sz w:val="24"/>
          <w:szCs w:val="24"/>
        </w:rPr>
        <w:t xml:space="preserve"> nous </w:t>
      </w:r>
      <w:r w:rsidR="008E6848">
        <w:rPr>
          <w:rFonts w:ascii="Times New Roman" w:hAnsi="Times New Roman" w:cs="Times New Roman"/>
          <w:b/>
          <w:bCs/>
          <w:sz w:val="24"/>
          <w:szCs w:val="24"/>
        </w:rPr>
        <w:t xml:space="preserve">associer tout au long de cette démarche, à nous </w:t>
      </w:r>
      <w:r w:rsidR="00CA3B69">
        <w:rPr>
          <w:rFonts w:ascii="Times New Roman" w:hAnsi="Times New Roman" w:cs="Times New Roman"/>
          <w:b/>
          <w:bCs/>
          <w:sz w:val="24"/>
          <w:szCs w:val="24"/>
        </w:rPr>
        <w:t>transmettre le résultat de cet audit</w:t>
      </w:r>
      <w:r w:rsidR="008E6848">
        <w:rPr>
          <w:rFonts w:ascii="Times New Roman" w:hAnsi="Times New Roman" w:cs="Times New Roman"/>
          <w:b/>
          <w:bCs/>
          <w:sz w:val="24"/>
          <w:szCs w:val="24"/>
        </w:rPr>
        <w:t xml:space="preserve"> ainsi que les préconisations</w:t>
      </w:r>
      <w:r w:rsidR="00CA3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848">
        <w:rPr>
          <w:rFonts w:ascii="Times New Roman" w:hAnsi="Times New Roman" w:cs="Times New Roman"/>
          <w:b/>
          <w:bCs/>
          <w:sz w:val="24"/>
          <w:szCs w:val="24"/>
        </w:rPr>
        <w:t xml:space="preserve">et orientations en matière d’amélioration des conditions de travail, ainsi que les évolutions en matière d’organisation et de rémunération. Celles-ci devront être en adéquation avec les </w:t>
      </w:r>
      <w:r w:rsidR="00CA3B69">
        <w:rPr>
          <w:rFonts w:ascii="Times New Roman" w:hAnsi="Times New Roman" w:cs="Times New Roman"/>
          <w:b/>
          <w:bCs/>
          <w:sz w:val="24"/>
          <w:szCs w:val="24"/>
        </w:rPr>
        <w:t>revendications des agents des piscines.</w:t>
      </w:r>
    </w:p>
    <w:p w:rsidR="00E20A55" w:rsidRPr="006E687C" w:rsidRDefault="00E20A55" w:rsidP="003D77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A55" w:rsidRPr="006E687C" w:rsidRDefault="00E20A55" w:rsidP="003D77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87C" w:rsidRPr="006E687C" w:rsidRDefault="006E687C" w:rsidP="003D77EE">
      <w:pPr>
        <w:spacing w:after="211" w:line="268" w:lineRule="auto"/>
        <w:ind w:left="702" w:right="172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57D">
        <w:rPr>
          <w:rFonts w:ascii="Times New Roman" w:hAnsi="Times New Roman" w:cs="Times New Roman"/>
          <w:b/>
          <w:bCs/>
          <w:sz w:val="24"/>
          <w:szCs w:val="24"/>
          <w:u w:val="single"/>
        </w:rPr>
        <w:t>Nos revendications sont les suivantes</w:t>
      </w:r>
      <w:r w:rsidRPr="006E687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A6457D" w:rsidRPr="00A6457D" w:rsidRDefault="006E687C" w:rsidP="008E6848">
      <w:pPr>
        <w:pStyle w:val="Paragraphedeliste"/>
        <w:numPr>
          <w:ilvl w:val="0"/>
          <w:numId w:val="2"/>
        </w:numPr>
        <w:spacing w:line="268" w:lineRule="auto"/>
        <w:ind w:right="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57D">
        <w:rPr>
          <w:rFonts w:ascii="Times New Roman" w:hAnsi="Times New Roman" w:cs="Times New Roman"/>
          <w:b/>
          <w:bCs/>
          <w:sz w:val="24"/>
          <w:szCs w:val="24"/>
        </w:rPr>
        <w:t>Mise en place d'une compensation financière pour les nombreuses formes de pénibilité spécifiques subies par les agents des piscines</w:t>
      </w:r>
      <w:r w:rsidR="00A6457D" w:rsidRPr="00A645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457D" w:rsidRPr="008E6848" w:rsidRDefault="006E687C" w:rsidP="008E6848">
      <w:pPr>
        <w:pStyle w:val="Paragraphedeliste"/>
        <w:numPr>
          <w:ilvl w:val="0"/>
          <w:numId w:val="2"/>
        </w:numPr>
        <w:spacing w:line="268" w:lineRule="auto"/>
        <w:ind w:right="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848">
        <w:rPr>
          <w:rFonts w:ascii="Times New Roman" w:hAnsi="Times New Roman" w:cs="Times New Roman"/>
          <w:b/>
          <w:bCs/>
          <w:sz w:val="24"/>
          <w:szCs w:val="24"/>
        </w:rPr>
        <w:t>Mise en place d'une prime pour le travail dominical,</w:t>
      </w:r>
    </w:p>
    <w:p w:rsidR="006E687C" w:rsidRPr="008E6848" w:rsidRDefault="006E687C" w:rsidP="008E6848">
      <w:pPr>
        <w:pStyle w:val="Paragraphedeliste"/>
        <w:numPr>
          <w:ilvl w:val="0"/>
          <w:numId w:val="2"/>
        </w:numPr>
        <w:spacing w:line="268" w:lineRule="auto"/>
        <w:ind w:right="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848">
        <w:rPr>
          <w:rFonts w:ascii="Times New Roman" w:hAnsi="Times New Roman" w:cs="Times New Roman"/>
          <w:b/>
          <w:bCs/>
          <w:sz w:val="24"/>
          <w:szCs w:val="24"/>
        </w:rPr>
        <w:t xml:space="preserve">Etablissement d'un calendrier </w:t>
      </w:r>
      <w:r w:rsidR="00A6457D" w:rsidRPr="008E6848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Pr="008E6848">
        <w:rPr>
          <w:rFonts w:ascii="Times New Roman" w:hAnsi="Times New Roman" w:cs="Times New Roman"/>
          <w:b/>
          <w:bCs/>
          <w:sz w:val="24"/>
          <w:szCs w:val="24"/>
        </w:rPr>
        <w:t xml:space="preserve">écis concernant un audit rapide des services </w:t>
      </w:r>
      <w:r w:rsidR="00A6457D" w:rsidRPr="008E684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E6848">
        <w:rPr>
          <w:rFonts w:ascii="Times New Roman" w:hAnsi="Times New Roman" w:cs="Times New Roman"/>
          <w:b/>
          <w:bCs/>
          <w:sz w:val="24"/>
          <w:szCs w:val="24"/>
        </w:rPr>
        <w:t>concernés,</w:t>
      </w:r>
    </w:p>
    <w:p w:rsidR="006E687C" w:rsidRPr="008E6848" w:rsidRDefault="008E6848" w:rsidP="008E6848">
      <w:pPr>
        <w:pStyle w:val="Paragraphedeliste"/>
        <w:numPr>
          <w:ilvl w:val="0"/>
          <w:numId w:val="2"/>
        </w:numPr>
        <w:spacing w:after="539" w:line="268" w:lineRule="auto"/>
        <w:ind w:right="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E687C" w:rsidRPr="008E6848">
        <w:rPr>
          <w:rFonts w:ascii="Times New Roman" w:hAnsi="Times New Roman" w:cs="Times New Roman"/>
          <w:b/>
          <w:bCs/>
          <w:sz w:val="24"/>
          <w:szCs w:val="24"/>
        </w:rPr>
        <w:t xml:space="preserve">uverture de négociations sur l'harmonisation du temps de travail, des primes et des heures supplémentaires au sein de l'ensemble des équipements sportifs </w:t>
      </w:r>
      <w:r>
        <w:rPr>
          <w:rFonts w:ascii="Times New Roman" w:hAnsi="Times New Roman" w:cs="Times New Roman"/>
          <w:b/>
          <w:bCs/>
          <w:sz w:val="24"/>
          <w:szCs w:val="24"/>
        </w:rPr>
        <w:t>présents sur le territoire</w:t>
      </w:r>
      <w:r w:rsidR="006E687C" w:rsidRPr="008E68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6E687C" w:rsidRPr="008E6848" w:rsidSect="00A97C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A3" w:rsidRDefault="00FD20A3" w:rsidP="00D92F2F">
      <w:r>
        <w:separator/>
      </w:r>
    </w:p>
  </w:endnote>
  <w:endnote w:type="continuationSeparator" w:id="0">
    <w:p w:rsidR="00FD20A3" w:rsidRDefault="00FD20A3" w:rsidP="00D9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2F" w:rsidRDefault="00D92F2F" w:rsidP="00D92F2F">
    <w:pPr>
      <w:rPr>
        <w:rFonts w:eastAsia="Times New Roman"/>
        <w:vanish/>
      </w:rPr>
    </w:pPr>
  </w:p>
  <w:p w:rsidR="00D92F2F" w:rsidRPr="00D92F2F" w:rsidRDefault="00D92F2F" w:rsidP="00D92F2F">
    <w:pPr>
      <w:jc w:val="center"/>
      <w:rPr>
        <w:rFonts w:ascii="Arial" w:eastAsia="Times New Roman" w:hAnsi="Arial" w:cs="Arial"/>
        <w:color w:val="000000"/>
        <w:spacing w:val="15"/>
        <w:sz w:val="16"/>
        <w:szCs w:val="16"/>
      </w:rPr>
    </w:pPr>
    <w:r w:rsidRPr="00D92F2F">
      <w:rPr>
        <w:rFonts w:ascii="Arial" w:eastAsia="Times New Roman" w:hAnsi="Arial" w:cs="Arial"/>
        <w:b/>
        <w:bCs/>
        <w:color w:val="000000"/>
        <w:spacing w:val="15"/>
        <w:sz w:val="16"/>
        <w:szCs w:val="16"/>
      </w:rPr>
      <w:t>Nous contacter : </w:t>
    </w:r>
    <w:r w:rsidRPr="00D92F2F">
      <w:rPr>
        <w:rFonts w:ascii="Arial" w:eastAsia="Times New Roman" w:hAnsi="Arial" w:cs="Arial"/>
        <w:b/>
        <w:bCs/>
        <w:color w:val="000000"/>
        <w:spacing w:val="15"/>
        <w:sz w:val="16"/>
        <w:szCs w:val="16"/>
      </w:rPr>
      <w:br/>
      <w:t>cfdt@gpsea.fr</w:t>
    </w:r>
  </w:p>
  <w:p w:rsidR="00D92F2F" w:rsidRPr="00D92F2F" w:rsidRDefault="00D92F2F" w:rsidP="00D92F2F">
    <w:pPr>
      <w:jc w:val="center"/>
      <w:rPr>
        <w:rFonts w:eastAsiaTheme="minorEastAsia"/>
        <w:noProof/>
        <w:color w:val="000000"/>
        <w:sz w:val="16"/>
        <w:szCs w:val="16"/>
      </w:rPr>
    </w:pPr>
    <w:r w:rsidRPr="00D92F2F">
      <w:rPr>
        <w:rFonts w:eastAsiaTheme="minorEastAsia"/>
        <w:noProof/>
        <w:color w:val="000000"/>
        <w:sz w:val="16"/>
        <w:szCs w:val="16"/>
      </w:rPr>
      <w:t>06.49.89.56.08</w:t>
    </w:r>
  </w:p>
  <w:p w:rsidR="00D92F2F" w:rsidRPr="00D92F2F" w:rsidRDefault="00D92F2F" w:rsidP="00D92F2F">
    <w:pPr>
      <w:pStyle w:val="Pieddepage"/>
      <w:rPr>
        <w:sz w:val="16"/>
        <w:szCs w:val="16"/>
      </w:rPr>
    </w:pPr>
    <w:r w:rsidRPr="00D92F2F">
      <w:rPr>
        <w:sz w:val="16"/>
        <w:szCs w:val="16"/>
      </w:rPr>
      <w:tab/>
      <w:t>06 72 30 31 48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A3" w:rsidRDefault="00FD20A3" w:rsidP="00D92F2F">
      <w:r>
        <w:separator/>
      </w:r>
    </w:p>
  </w:footnote>
  <w:footnote w:type="continuationSeparator" w:id="0">
    <w:p w:rsidR="00FD20A3" w:rsidRDefault="00FD20A3" w:rsidP="00D92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2F" w:rsidRDefault="00D92F2F" w:rsidP="00D92F2F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1052830</wp:posOffset>
          </wp:positionH>
          <wp:positionV relativeFrom="paragraph">
            <wp:posOffset>-1905</wp:posOffset>
          </wp:positionV>
          <wp:extent cx="2486660" cy="1676400"/>
          <wp:effectExtent l="0" t="0" r="8890" b="0"/>
          <wp:wrapNone/>
          <wp:docPr id="5" name="Image 5" descr="https://assetsp.keepeek.com/medias/domain1896/media42/6484-2sj8s4w7et-w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assetsp.keepeek.com/medias/domain1896/media42/6484-2sj8s4w7et-w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1676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77839" cy="1371600"/>
          <wp:effectExtent l="0" t="0" r="0" b="0"/>
          <wp:docPr id="10" name="Image 10" descr="C:\Users\twloka\AppData\Local\Microsoft\Windows\INetCache\Content.MSO\E5F1DB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loka\AppData\Local\Microsoft\Windows\INetCache\Content.MSO\E5F1DB1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08" cy="139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.75pt;height:21pt;visibility:visible;mso-wrap-style:square" o:bullet="t">
        <v:imagedata r:id="rId1" o:title=""/>
      </v:shape>
    </w:pict>
  </w:numPicBullet>
  <w:abstractNum w:abstractNumId="0">
    <w:nsid w:val="511B2E13"/>
    <w:multiLevelType w:val="hybridMultilevel"/>
    <w:tmpl w:val="A5924162"/>
    <w:lvl w:ilvl="0" w:tplc="BBF05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89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38D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80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68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20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EE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C8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0E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5993D48"/>
    <w:multiLevelType w:val="hybridMultilevel"/>
    <w:tmpl w:val="D3D078B0"/>
    <w:lvl w:ilvl="0" w:tplc="232A794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6664"/>
    <w:rsid w:val="0001375F"/>
    <w:rsid w:val="000C36A5"/>
    <w:rsid w:val="00263A83"/>
    <w:rsid w:val="00282583"/>
    <w:rsid w:val="003D77EE"/>
    <w:rsid w:val="006E687C"/>
    <w:rsid w:val="007B0FE9"/>
    <w:rsid w:val="007F5D90"/>
    <w:rsid w:val="008E6848"/>
    <w:rsid w:val="00914815"/>
    <w:rsid w:val="00A6457D"/>
    <w:rsid w:val="00A97C45"/>
    <w:rsid w:val="00B46664"/>
    <w:rsid w:val="00C377D6"/>
    <w:rsid w:val="00CA3B69"/>
    <w:rsid w:val="00D92F2F"/>
    <w:rsid w:val="00E20A55"/>
    <w:rsid w:val="00E30EF9"/>
    <w:rsid w:val="00F65F73"/>
    <w:rsid w:val="00F82089"/>
    <w:rsid w:val="00FC6C00"/>
    <w:rsid w:val="00FD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6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666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2F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F2F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F2F"/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A645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0F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FE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GPSEA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WLOKA Thierry</dc:creator>
  <cp:lastModifiedBy>cfdt</cp:lastModifiedBy>
  <cp:revision>2</cp:revision>
  <cp:lastPrinted>2020-01-30T11:49:00Z</cp:lastPrinted>
  <dcterms:created xsi:type="dcterms:W3CDTF">2020-01-30T17:10:00Z</dcterms:created>
  <dcterms:modified xsi:type="dcterms:W3CDTF">2020-01-30T17:10:00Z</dcterms:modified>
</cp:coreProperties>
</file>