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A25599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shd w:val="clear" w:color="auto" w:fill="808080" w:themeFill="background1" w:themeFillShade="80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A2559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A25599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D65A3C2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D50CDD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1372171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D50CDD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A2559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A2559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A2559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A2559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A2559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808080" w:themeFill="background1" w:themeFillShade="80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TA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68B3D205" w:rsidR="006F228C" w:rsidRDefault="006F228C" w:rsidP="006F228C">
      <w:pPr>
        <w:rPr>
          <w:rFonts w:ascii="Marianne" w:hAnsi="Marianne" w:cs="Arial"/>
          <w:sz w:val="16"/>
          <w:szCs w:val="16"/>
        </w:rPr>
      </w:pPr>
    </w:p>
    <w:p w14:paraId="558D0226" w14:textId="1D986112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79D0AD47" w14:textId="55947068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3AA92A1C" w14:textId="06C15655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4219AC68" w14:textId="6DF7EE17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5B75E02A" w14:textId="5425962E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40FF4445" w14:textId="1BEAD194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1A76CB52" w14:textId="5A62D73D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1CE81FD2" w14:textId="10197AE8" w:rsidR="00A25599" w:rsidRDefault="00A25599" w:rsidP="006F228C">
      <w:pPr>
        <w:rPr>
          <w:rFonts w:ascii="Marianne" w:hAnsi="Marianne" w:cs="Arial"/>
          <w:sz w:val="16"/>
          <w:szCs w:val="16"/>
        </w:rPr>
      </w:pPr>
    </w:p>
    <w:p w14:paraId="3C8CD1ED" w14:textId="77777777" w:rsidR="00A25599" w:rsidRPr="00B02C45" w:rsidRDefault="00A25599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F3997C6" w:rsidR="00594760" w:rsidRPr="00A25599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  <w:r w:rsidR="00A25599">
              <w:rPr>
                <w:rFonts w:ascii="Marianne" w:hAnsi="Marianne" w:cs="Arial"/>
                <w:sz w:val="20"/>
                <w:szCs w:val="20"/>
                <w:lang w:val="fr-FR"/>
              </w:rPr>
              <w:t>(la signature certifiant les données que l’agent aura renseigné sera mise lors du retour du dossier de candidature complet par la DPATE ATSS)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EEC0" w14:textId="77777777" w:rsidR="004F5E57" w:rsidRDefault="004F5E57">
      <w:r>
        <w:separator/>
      </w:r>
    </w:p>
  </w:endnote>
  <w:endnote w:type="continuationSeparator" w:id="0">
    <w:p w14:paraId="4E3F158A" w14:textId="77777777" w:rsidR="004F5E57" w:rsidRDefault="004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5C40" w14:textId="77777777" w:rsidR="004F5E57" w:rsidRDefault="004F5E57">
      <w:r>
        <w:separator/>
      </w:r>
    </w:p>
  </w:footnote>
  <w:footnote w:type="continuationSeparator" w:id="0">
    <w:p w14:paraId="48FB14FE" w14:textId="77777777" w:rsidR="004F5E57" w:rsidRDefault="004F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487670530">
    <w:abstractNumId w:val="1"/>
  </w:num>
  <w:num w:numId="2" w16cid:durableId="1681935020">
    <w:abstractNumId w:val="3"/>
  </w:num>
  <w:num w:numId="3" w16cid:durableId="1684287141">
    <w:abstractNumId w:val="0"/>
  </w:num>
  <w:num w:numId="4" w16cid:durableId="1530217055">
    <w:abstractNumId w:val="4"/>
  </w:num>
  <w:num w:numId="5" w16cid:durableId="48701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4F5E57"/>
    <w:rsid w:val="0050076B"/>
    <w:rsid w:val="005013A0"/>
    <w:rsid w:val="00503F87"/>
    <w:rsid w:val="00521D0A"/>
    <w:rsid w:val="00522B1C"/>
    <w:rsid w:val="00527A17"/>
    <w:rsid w:val="005466E7"/>
    <w:rsid w:val="0055562F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5599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4B20"/>
    <w:rsid w:val="00D05EA4"/>
    <w:rsid w:val="00D31ABB"/>
    <w:rsid w:val="00D5084C"/>
    <w:rsid w:val="00D50CDD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2CFE"/>
    <w:rsid w:val="00F84BE6"/>
    <w:rsid w:val="00F87B31"/>
    <w:rsid w:val="00FA0C80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86B9-39D8-46B2-8509-DBD924EB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Nouara</cp:lastModifiedBy>
  <cp:revision>2</cp:revision>
  <cp:lastPrinted>2019-11-15T10:47:00Z</cp:lastPrinted>
  <dcterms:created xsi:type="dcterms:W3CDTF">2025-01-22T14:45:00Z</dcterms:created>
  <dcterms:modified xsi:type="dcterms:W3CDTF">2025-01-22T14:45:00Z</dcterms:modified>
</cp:coreProperties>
</file>