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3B2" w:rsidRPr="00EA1E20" w:rsidRDefault="007413B2" w:rsidP="007413B2">
      <w:pPr>
        <w:jc w:val="right"/>
        <w:rPr>
          <w:rFonts w:ascii="Times New Roman" w:hAnsi="Times New Roman" w:cs="Times New Roman"/>
          <w:b/>
          <w:color w:val="000099"/>
          <w:sz w:val="20"/>
          <w:szCs w:val="20"/>
        </w:rPr>
      </w:pPr>
      <w:r>
        <w:rPr>
          <w:rFonts w:ascii="Times New Roman" w:hAnsi="Times New Roman" w:cs="Times New Roman"/>
          <w:b/>
          <w:noProof/>
          <w:color w:val="000099"/>
          <w:sz w:val="20"/>
          <w:szCs w:val="20"/>
          <w:lang w:eastAsia="fr-FR"/>
        </w:rPr>
        <w:drawing>
          <wp:anchor distT="0" distB="0" distL="0" distR="0" simplePos="0" relativeHeight="251660288" behindDoc="1" locked="0" layoutInCell="1" allowOverlap="1">
            <wp:simplePos x="0" y="0"/>
            <wp:positionH relativeFrom="page">
              <wp:posOffset>828675</wp:posOffset>
            </wp:positionH>
            <wp:positionV relativeFrom="paragraph">
              <wp:posOffset>-42545</wp:posOffset>
            </wp:positionV>
            <wp:extent cx="1285875" cy="1638300"/>
            <wp:effectExtent l="19050" t="0" r="9525"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638300"/>
                    </a:xfrm>
                    <a:prstGeom prst="rect">
                      <a:avLst/>
                    </a:prstGeom>
                    <a:noFill/>
                  </pic:spPr>
                </pic:pic>
              </a:graphicData>
            </a:graphic>
          </wp:anchor>
        </w:drawing>
      </w:r>
      <w:r w:rsidRPr="00EA1E20">
        <w:rPr>
          <w:rFonts w:ascii="Times New Roman" w:hAnsi="Times New Roman" w:cs="Times New Roman"/>
          <w:b/>
          <w:color w:val="000099"/>
          <w:sz w:val="20"/>
          <w:szCs w:val="20"/>
        </w:rPr>
        <w:t>Ministère du Travail, de l’Emploi,</w:t>
      </w:r>
      <w:r w:rsidR="00AE7EC7">
        <w:rPr>
          <w:rFonts w:ascii="Times New Roman" w:hAnsi="Times New Roman" w:cs="Times New Roman"/>
          <w:b/>
          <w:color w:val="000099"/>
          <w:sz w:val="20"/>
          <w:szCs w:val="20"/>
        </w:rPr>
        <w:t xml:space="preserve"> et de l’insertion</w:t>
      </w:r>
    </w:p>
    <w:p w:rsidR="007413B2" w:rsidRPr="00EA1E20" w:rsidRDefault="007413B2" w:rsidP="007413B2">
      <w:pPr>
        <w:jc w:val="right"/>
        <w:rPr>
          <w:rFonts w:ascii="Times New Roman" w:hAnsi="Times New Roman" w:cs="Times New Roman"/>
          <w:b/>
          <w:color w:val="000099"/>
          <w:sz w:val="20"/>
          <w:szCs w:val="20"/>
        </w:rPr>
      </w:pPr>
      <w:r w:rsidRPr="00EA1E20">
        <w:rPr>
          <w:rFonts w:ascii="Times New Roman" w:hAnsi="Times New Roman" w:cs="Times New Roman"/>
          <w:b/>
          <w:color w:val="000099"/>
          <w:sz w:val="20"/>
          <w:szCs w:val="20"/>
        </w:rPr>
        <w:t>INTEFP</w:t>
      </w:r>
    </w:p>
    <w:p w:rsidR="007413B2" w:rsidRPr="00EA1E20" w:rsidRDefault="007413B2" w:rsidP="007413B2">
      <w:pPr>
        <w:jc w:val="right"/>
        <w:rPr>
          <w:rFonts w:ascii="Times New Roman" w:hAnsi="Times New Roman" w:cs="Times New Roman"/>
          <w:b/>
          <w:color w:val="000099"/>
          <w:sz w:val="20"/>
          <w:szCs w:val="20"/>
        </w:rPr>
      </w:pPr>
      <w:r w:rsidRPr="00EA1E20">
        <w:rPr>
          <w:rFonts w:ascii="Times New Roman" w:hAnsi="Times New Roman" w:cs="Times New Roman"/>
          <w:b/>
          <w:color w:val="000099"/>
          <w:sz w:val="20"/>
          <w:szCs w:val="20"/>
        </w:rPr>
        <w:t>ANACT</w:t>
      </w:r>
    </w:p>
    <w:p w:rsidR="007413B2" w:rsidRDefault="007413B2" w:rsidP="007413B2">
      <w:pPr>
        <w:jc w:val="right"/>
      </w:pPr>
      <w:r w:rsidRPr="00EA1E20">
        <w:rPr>
          <w:rFonts w:ascii="Times New Roman" w:hAnsi="Times New Roman" w:cs="Times New Roman"/>
          <w:b/>
          <w:color w:val="000099"/>
          <w:sz w:val="25"/>
          <w:szCs w:val="25"/>
        </w:rPr>
        <w:t>Fédération PSTE</w:t>
      </w:r>
    </w:p>
    <w:p w:rsidR="007413B2" w:rsidRDefault="007413B2" w:rsidP="007413B2">
      <w:pPr>
        <w:spacing w:after="0"/>
        <w:jc w:val="both"/>
        <w:rPr>
          <w:rFonts w:ascii="Verdana" w:hAnsi="Verdana"/>
          <w:i/>
          <w:color w:val="000099"/>
        </w:rPr>
      </w:pPr>
    </w:p>
    <w:p w:rsidR="007413B2" w:rsidRDefault="007413B2" w:rsidP="007413B2">
      <w:pPr>
        <w:spacing w:after="0"/>
        <w:jc w:val="both"/>
        <w:rPr>
          <w:rFonts w:ascii="Verdana" w:hAnsi="Verdana"/>
          <w:i/>
          <w:color w:val="000099"/>
        </w:rPr>
      </w:pPr>
    </w:p>
    <w:p w:rsidR="007413B2" w:rsidRDefault="007413B2" w:rsidP="007413B2">
      <w:pPr>
        <w:spacing w:after="0"/>
        <w:jc w:val="right"/>
        <w:rPr>
          <w:rFonts w:ascii="Verdana" w:hAnsi="Verdana"/>
          <w:i/>
          <w:color w:val="000099"/>
        </w:rPr>
      </w:pPr>
    </w:p>
    <w:p w:rsidR="00DD420A" w:rsidRDefault="00DD420A" w:rsidP="00DD420A">
      <w:pPr>
        <w:spacing w:after="0"/>
        <w:jc w:val="right"/>
        <w:rPr>
          <w:rFonts w:ascii="Arial" w:hAnsi="Arial" w:cs="Arial"/>
          <w:i/>
          <w:color w:val="FF0000"/>
          <w:sz w:val="25"/>
          <w:szCs w:val="25"/>
        </w:rPr>
      </w:pPr>
    </w:p>
    <w:p w:rsidR="00641C7A" w:rsidRPr="000E2993" w:rsidRDefault="00641C7A" w:rsidP="007413B2">
      <w:pPr>
        <w:spacing w:after="0"/>
        <w:jc w:val="both"/>
        <w:rPr>
          <w:rFonts w:ascii="Verdana" w:hAnsi="Verdana" w:cs="Arial"/>
          <w:b/>
          <w:i/>
          <w:sz w:val="25"/>
          <w:szCs w:val="25"/>
        </w:rPr>
      </w:pPr>
    </w:p>
    <w:p w:rsidR="007413B2" w:rsidRDefault="001D412D" w:rsidP="007413B2">
      <w:pPr>
        <w:spacing w:after="0"/>
        <w:jc w:val="both"/>
        <w:rPr>
          <w:rFonts w:ascii="Arial" w:hAnsi="Arial" w:cs="Arial"/>
          <w:sz w:val="25"/>
          <w:szCs w:val="25"/>
        </w:rPr>
      </w:pPr>
      <w:r>
        <w:rPr>
          <w:rFonts w:ascii="Verdana" w:hAnsi="Verdana"/>
          <w:i/>
          <w:noProof/>
          <w:color w:val="000099"/>
        </w:rPr>
        <w:pict>
          <v:shapetype id="_x0000_t202" coordsize="21600,21600" o:spt="202" path="m,l,21600r21600,l21600,xe">
            <v:stroke joinstyle="miter"/>
            <v:path gradientshapeok="t" o:connecttype="rect"/>
          </v:shapetype>
          <v:shape id="_x0000_s1026" type="#_x0000_t202" style="position:absolute;left:0;text-align:left;margin-left:-.8pt;margin-top:6.2pt;width:472.95pt;height:80.2pt;z-index:251658240;mso-width-relative:margin;mso-height-relative:margin" fillcolor="#7030a0">
            <v:textbox>
              <w:txbxContent>
                <w:p w:rsidR="00792457" w:rsidRPr="00792457" w:rsidRDefault="00792457" w:rsidP="00792457">
                  <w:pPr>
                    <w:jc w:val="center"/>
                    <w:rPr>
                      <w:rFonts w:ascii="Verdana" w:hAnsi="Verdana"/>
                      <w:b/>
                      <w:bCs/>
                      <w:color w:val="FFFFFF" w:themeColor="background1"/>
                      <w:sz w:val="36"/>
                      <w:szCs w:val="36"/>
                    </w:rPr>
                  </w:pPr>
                  <w:r w:rsidRPr="00792457">
                    <w:rPr>
                      <w:rFonts w:ascii="Verdana" w:hAnsi="Verdana"/>
                      <w:b/>
                      <w:bCs/>
                      <w:color w:val="FFFFFF" w:themeColor="background1"/>
                      <w:sz w:val="32"/>
                      <w:szCs w:val="36"/>
                    </w:rPr>
                    <w:t>Restructuration OTE – Comité de suivi du plan d’accompagnement RH</w:t>
                  </w:r>
                </w:p>
                <w:p w:rsidR="007413B2" w:rsidRPr="00792457" w:rsidRDefault="00792457" w:rsidP="00792457">
                  <w:pPr>
                    <w:jc w:val="center"/>
                    <w:rPr>
                      <w:rFonts w:ascii="Verdana" w:hAnsi="Verdana"/>
                      <w:b/>
                      <w:color w:val="FFFFFF" w:themeColor="background1"/>
                      <w:sz w:val="24"/>
                      <w:szCs w:val="24"/>
                    </w:rPr>
                  </w:pPr>
                  <w:r w:rsidRPr="00792457">
                    <w:rPr>
                      <w:rFonts w:ascii="Verdana" w:hAnsi="Verdana"/>
                      <w:color w:val="FFFFFF" w:themeColor="background1"/>
                    </w:rPr>
                    <w:t>Réunion du 15 décembre 2020</w:t>
                  </w:r>
                </w:p>
              </w:txbxContent>
            </v:textbox>
          </v:shape>
        </w:pict>
      </w:r>
    </w:p>
    <w:p w:rsidR="007413B2" w:rsidRDefault="007413B2" w:rsidP="007413B2">
      <w:pPr>
        <w:spacing w:after="0"/>
        <w:jc w:val="both"/>
        <w:rPr>
          <w:rFonts w:ascii="Verdana" w:hAnsi="Verdana"/>
          <w:i/>
          <w:color w:val="000099"/>
        </w:rPr>
      </w:pPr>
    </w:p>
    <w:p w:rsidR="007413B2" w:rsidRDefault="007413B2" w:rsidP="007413B2">
      <w:pPr>
        <w:spacing w:after="0"/>
        <w:jc w:val="both"/>
        <w:rPr>
          <w:rFonts w:ascii="Verdana" w:hAnsi="Verdana"/>
          <w:i/>
          <w:color w:val="000099"/>
        </w:rPr>
      </w:pPr>
    </w:p>
    <w:p w:rsidR="00DC0149" w:rsidRDefault="00DC0149" w:rsidP="007413B2">
      <w:pPr>
        <w:jc w:val="both"/>
        <w:rPr>
          <w:rFonts w:ascii="Verdana" w:hAnsi="Verdana" w:cs="Times New Roman"/>
          <w:color w:val="000099"/>
        </w:rPr>
      </w:pPr>
    </w:p>
    <w:p w:rsidR="00792457" w:rsidRDefault="00792457" w:rsidP="007413B2">
      <w:pPr>
        <w:jc w:val="both"/>
        <w:rPr>
          <w:rFonts w:ascii="Verdana" w:hAnsi="Verdana" w:cs="Times New Roman"/>
          <w:color w:val="000099"/>
        </w:rPr>
      </w:pPr>
    </w:p>
    <w:p w:rsidR="00C04DC8" w:rsidRDefault="00C04DC8" w:rsidP="00792457">
      <w:pPr>
        <w:jc w:val="both"/>
        <w:rPr>
          <w:rFonts w:ascii="Verdana" w:hAnsi="Verdana"/>
          <w:b/>
          <w:bCs/>
          <w:color w:val="262626"/>
        </w:rPr>
      </w:pPr>
    </w:p>
    <w:p w:rsidR="00C04DC8" w:rsidRDefault="00C04DC8" w:rsidP="00C04DC8">
      <w:pPr>
        <w:jc w:val="center"/>
        <w:rPr>
          <w:rFonts w:ascii="Verdana" w:hAnsi="Verdana"/>
          <w:b/>
          <w:bCs/>
          <w:color w:val="262626"/>
        </w:rPr>
      </w:pPr>
      <w:r>
        <w:rPr>
          <w:rFonts w:ascii="Verdana" w:hAnsi="Verdana"/>
          <w:b/>
          <w:bCs/>
          <w:noProof/>
          <w:color w:val="262626"/>
          <w:lang w:eastAsia="fr-FR"/>
        </w:rPr>
        <w:drawing>
          <wp:inline distT="0" distB="0" distL="0" distR="0">
            <wp:extent cx="3669133" cy="2495550"/>
            <wp:effectExtent l="0" t="0" r="0" b="0"/>
            <wp:docPr id="2" name="Image 2" descr="C:\Users\redoine.driouche\Desktop\Image SYNTEF\Humour\réorgan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doine.driouche\Desktop\Image SYNTEF\Humour\réorganisa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9133" cy="2495550"/>
                    </a:xfrm>
                    <a:prstGeom prst="rect">
                      <a:avLst/>
                    </a:prstGeom>
                    <a:noFill/>
                    <a:ln>
                      <a:noFill/>
                    </a:ln>
                  </pic:spPr>
                </pic:pic>
              </a:graphicData>
            </a:graphic>
          </wp:inline>
        </w:drawing>
      </w:r>
    </w:p>
    <w:p w:rsidR="00C04DC8" w:rsidRDefault="00C04DC8" w:rsidP="00792457">
      <w:pPr>
        <w:jc w:val="both"/>
        <w:rPr>
          <w:rFonts w:ascii="Verdana" w:hAnsi="Verdana"/>
          <w:b/>
          <w:bCs/>
          <w:color w:val="000099"/>
        </w:rPr>
      </w:pPr>
    </w:p>
    <w:p w:rsidR="00792457" w:rsidRPr="00823440" w:rsidRDefault="00792457" w:rsidP="00792457">
      <w:pPr>
        <w:jc w:val="both"/>
        <w:rPr>
          <w:rFonts w:ascii="Verdana" w:hAnsi="Verdana"/>
          <w:b/>
          <w:bCs/>
          <w:color w:val="000099"/>
        </w:rPr>
      </w:pPr>
      <w:r w:rsidRPr="00823440">
        <w:rPr>
          <w:rFonts w:ascii="Verdana" w:hAnsi="Verdana"/>
          <w:b/>
          <w:bCs/>
          <w:color w:val="000099"/>
        </w:rPr>
        <w:t>Le SYNTEF-CFDT vous informe des travaux du comité de suivi du protocole d’accompagnement RH, auquel il participe. C’est un fait, malgré nos alertes répétées en CTM sur cette réforme purement politique et complétement déshumanisée, la restructuration OTE avance et le calendrier est fixé.</w:t>
      </w:r>
    </w:p>
    <w:p w:rsidR="00792457" w:rsidRPr="00823440" w:rsidRDefault="00792457" w:rsidP="00792457">
      <w:pPr>
        <w:jc w:val="both"/>
        <w:rPr>
          <w:rFonts w:ascii="Verdana" w:hAnsi="Verdana"/>
          <w:b/>
          <w:bCs/>
          <w:color w:val="000099"/>
        </w:rPr>
      </w:pPr>
      <w:r w:rsidRPr="00823440">
        <w:rPr>
          <w:rFonts w:ascii="Verdana" w:hAnsi="Verdana"/>
          <w:b/>
          <w:bCs/>
          <w:color w:val="000099"/>
        </w:rPr>
        <w:t>Ce comité de suivi doit désormais remplir son rôle : interpeller l’administration chaque fois qu’un agent est en difficulté, vérifier la bonne application des mesures négociées en 2019 et veiller à l’information des agents.</w:t>
      </w:r>
    </w:p>
    <w:p w:rsidR="00792457" w:rsidRPr="00823440" w:rsidRDefault="00792457" w:rsidP="00792457">
      <w:pPr>
        <w:jc w:val="both"/>
        <w:rPr>
          <w:rFonts w:ascii="Verdana" w:hAnsi="Verdana"/>
          <w:b/>
          <w:bCs/>
          <w:color w:val="000099"/>
        </w:rPr>
      </w:pPr>
    </w:p>
    <w:p w:rsidR="00792457" w:rsidRPr="00823440" w:rsidRDefault="00792457" w:rsidP="00792457">
      <w:pPr>
        <w:jc w:val="both"/>
        <w:rPr>
          <w:rFonts w:ascii="Verdana" w:hAnsi="Verdana"/>
          <w:color w:val="000099"/>
          <w:u w:val="single"/>
        </w:rPr>
      </w:pPr>
      <w:r w:rsidRPr="00823440">
        <w:rPr>
          <w:rFonts w:ascii="Verdana" w:hAnsi="Verdana"/>
          <w:color w:val="000099"/>
          <w:u w:val="single"/>
        </w:rPr>
        <w:t>Première urgence : accompagner les agents des SGC et fonctions supports</w:t>
      </w:r>
    </w:p>
    <w:p w:rsidR="00792457" w:rsidRPr="00823440" w:rsidRDefault="00792457" w:rsidP="00792457">
      <w:pPr>
        <w:jc w:val="both"/>
        <w:rPr>
          <w:rFonts w:ascii="Verdana" w:hAnsi="Verdana"/>
          <w:color w:val="000099"/>
        </w:rPr>
      </w:pPr>
      <w:r w:rsidRPr="00823440">
        <w:rPr>
          <w:rFonts w:ascii="Verdana" w:hAnsi="Verdana"/>
          <w:color w:val="000099"/>
        </w:rPr>
        <w:t xml:space="preserve">Ces agents sont les premiers impactés par la réforme. Ceux qui refusent de rejoindre le SGCD, ou qui se sont vu refuser le transfert, risquaient aussi d’être les moins bien protégés. </w:t>
      </w:r>
    </w:p>
    <w:p w:rsidR="00792457" w:rsidRPr="00823440" w:rsidRDefault="00792457" w:rsidP="00792457">
      <w:pPr>
        <w:jc w:val="both"/>
        <w:rPr>
          <w:rFonts w:ascii="Verdana" w:hAnsi="Verdana"/>
          <w:color w:val="000099"/>
        </w:rPr>
      </w:pPr>
      <w:r w:rsidRPr="00823440">
        <w:rPr>
          <w:rFonts w:ascii="Verdana" w:hAnsi="Verdana"/>
          <w:color w:val="000099"/>
        </w:rPr>
        <w:lastRenderedPageBreak/>
        <w:t xml:space="preserve">Pour le SYNTEF-CFDT, un accompagnement à la hauteur des enjeux doit se mettre en place dans les départements pour les agents concernés, au-delà du réseau des Conseillers Mobilité Carrière (CMC) : </w:t>
      </w:r>
      <w:r w:rsidRPr="00823440">
        <w:rPr>
          <w:rFonts w:ascii="Verdana" w:hAnsi="Verdana"/>
          <w:b/>
          <w:bCs/>
          <w:color w:val="000099"/>
        </w:rPr>
        <w:t>la DRH a accepté notre demande d’application pleine et entière du protocole RH à ces agents</w:t>
      </w:r>
      <w:r w:rsidRPr="00823440">
        <w:rPr>
          <w:rFonts w:ascii="Verdana" w:hAnsi="Verdana"/>
          <w:color w:val="000099"/>
        </w:rPr>
        <w:t xml:space="preserve">. </w:t>
      </w:r>
    </w:p>
    <w:p w:rsidR="00792457" w:rsidRDefault="00792457" w:rsidP="00792457">
      <w:pPr>
        <w:jc w:val="both"/>
        <w:rPr>
          <w:rFonts w:ascii="Verdana" w:hAnsi="Verdana"/>
          <w:color w:val="000099"/>
        </w:rPr>
      </w:pPr>
      <w:r w:rsidRPr="00823440">
        <w:rPr>
          <w:rFonts w:ascii="Verdana" w:hAnsi="Verdana"/>
          <w:color w:val="000099"/>
        </w:rPr>
        <w:t>Cette extension du champ d’application, qui sera insérée dans le protocole, leur donne ainsi droit à un accompagnement individualisé et garantit pour tous les agents une stricte égalité de droit en matière d’accompagnement, comme nous l’avions demandé.</w:t>
      </w:r>
    </w:p>
    <w:p w:rsidR="00791073" w:rsidRPr="00823440" w:rsidRDefault="00791073" w:rsidP="00792457">
      <w:pPr>
        <w:jc w:val="both"/>
        <w:rPr>
          <w:rFonts w:ascii="Verdana" w:hAnsi="Verdana"/>
          <w:color w:val="000099"/>
        </w:rPr>
      </w:pPr>
    </w:p>
    <w:p w:rsidR="00792457" w:rsidRPr="00823440" w:rsidRDefault="00792457" w:rsidP="00792457">
      <w:pPr>
        <w:jc w:val="both"/>
        <w:rPr>
          <w:rFonts w:ascii="Verdana" w:hAnsi="Verdana"/>
          <w:color w:val="000099"/>
          <w:u w:val="single"/>
        </w:rPr>
      </w:pPr>
      <w:r w:rsidRPr="00823440">
        <w:rPr>
          <w:rFonts w:ascii="Verdana" w:hAnsi="Verdana"/>
          <w:color w:val="000099"/>
          <w:u w:val="single"/>
        </w:rPr>
        <w:t>MOE : l’information sur la localisation des plateformes MOE serait enfin… imminente</w:t>
      </w:r>
    </w:p>
    <w:p w:rsidR="00792457" w:rsidRPr="00823440" w:rsidRDefault="00792457" w:rsidP="00792457">
      <w:pPr>
        <w:jc w:val="both"/>
        <w:rPr>
          <w:rFonts w:ascii="Verdana" w:hAnsi="Verdana"/>
          <w:color w:val="000099"/>
        </w:rPr>
      </w:pPr>
      <w:r w:rsidRPr="00823440">
        <w:rPr>
          <w:rFonts w:ascii="Verdana" w:hAnsi="Verdana"/>
          <w:color w:val="000099"/>
        </w:rPr>
        <w:t>Après des mois de tergiversation, cette localisation serait enfin arbitrée et bientôt officialisée. Cette information est essentielle pour les agents MOE : ils doivent connaître cette localisation pour envisager, ou non, d’accepter le transfert.</w:t>
      </w:r>
    </w:p>
    <w:p w:rsidR="00792457" w:rsidRDefault="00792457" w:rsidP="00792457">
      <w:pPr>
        <w:jc w:val="both"/>
        <w:rPr>
          <w:rFonts w:ascii="Verdana" w:hAnsi="Verdana"/>
          <w:color w:val="000099"/>
        </w:rPr>
      </w:pPr>
      <w:r w:rsidRPr="00823440">
        <w:rPr>
          <w:rFonts w:ascii="Verdana" w:hAnsi="Verdana"/>
          <w:color w:val="000099"/>
        </w:rPr>
        <w:t>Rappel : aucun agent ne doit être contraint à une mobilité hors de sa résidence administrative.</w:t>
      </w:r>
    </w:p>
    <w:p w:rsidR="00791073" w:rsidRPr="00823440" w:rsidRDefault="00791073" w:rsidP="00792457">
      <w:pPr>
        <w:jc w:val="both"/>
        <w:rPr>
          <w:rFonts w:ascii="Verdana" w:hAnsi="Verdana"/>
          <w:color w:val="000099"/>
        </w:rPr>
      </w:pPr>
    </w:p>
    <w:p w:rsidR="00792457" w:rsidRPr="00823440" w:rsidRDefault="00792457" w:rsidP="00792457">
      <w:pPr>
        <w:jc w:val="both"/>
        <w:rPr>
          <w:rFonts w:ascii="Verdana" w:hAnsi="Verdana"/>
          <w:color w:val="000099"/>
          <w:u w:val="single"/>
        </w:rPr>
      </w:pPr>
      <w:r w:rsidRPr="00823440">
        <w:rPr>
          <w:rFonts w:ascii="Verdana" w:hAnsi="Verdana"/>
          <w:color w:val="000099"/>
          <w:u w:val="single"/>
        </w:rPr>
        <w:t xml:space="preserve">Harmonisation des règles de gestion dans les SGC et les entités nouvellement créées </w:t>
      </w:r>
    </w:p>
    <w:p w:rsidR="00792457" w:rsidRPr="00823440" w:rsidRDefault="00792457" w:rsidP="00792457">
      <w:pPr>
        <w:jc w:val="both"/>
        <w:rPr>
          <w:rFonts w:ascii="Verdana" w:hAnsi="Verdana"/>
          <w:color w:val="000099"/>
        </w:rPr>
      </w:pPr>
      <w:r w:rsidRPr="00823440">
        <w:rPr>
          <w:rFonts w:ascii="Verdana" w:hAnsi="Verdana"/>
          <w:color w:val="000099"/>
        </w:rPr>
        <w:t xml:space="preserve">Que se </w:t>
      </w:r>
      <w:proofErr w:type="spellStart"/>
      <w:r w:rsidRPr="00823440">
        <w:rPr>
          <w:rFonts w:ascii="Verdana" w:hAnsi="Verdana"/>
          <w:color w:val="000099"/>
        </w:rPr>
        <w:t>passera-t-il</w:t>
      </w:r>
      <w:proofErr w:type="spellEnd"/>
      <w:r w:rsidRPr="00823440">
        <w:rPr>
          <w:rFonts w:ascii="Verdana" w:hAnsi="Verdana"/>
          <w:color w:val="000099"/>
        </w:rPr>
        <w:t xml:space="preserve"> concrètement pour les agents des SGC (et, à partir du 1er avril, des DDI) en matière de règlement intérieur, durée du travail, action sociale ? Les agents se posent de trop nombreuses questions et le ministère de l’intérieur doit prendre en compte les éléments plus favorables (RI et œuvres sociales notamment) des agents issus des ministères sociaux.</w:t>
      </w:r>
    </w:p>
    <w:p w:rsidR="00792457" w:rsidRDefault="00792457" w:rsidP="00792457">
      <w:pPr>
        <w:jc w:val="both"/>
        <w:rPr>
          <w:rFonts w:ascii="Verdana" w:hAnsi="Verdana"/>
          <w:color w:val="000099"/>
        </w:rPr>
      </w:pPr>
      <w:r w:rsidRPr="00823440">
        <w:rPr>
          <w:rFonts w:ascii="Verdana" w:hAnsi="Verdana"/>
          <w:color w:val="000099"/>
        </w:rPr>
        <w:t xml:space="preserve">Pour autant, comme dans toute restructuration, il faut s’attendre à une forte volonté de convergence. Sur ces sujets, il sera essentiel que les OS soient particulièrement </w:t>
      </w:r>
      <w:proofErr w:type="gramStart"/>
      <w:r w:rsidRPr="00823440">
        <w:rPr>
          <w:rFonts w:ascii="Verdana" w:hAnsi="Verdana"/>
          <w:color w:val="000099"/>
        </w:rPr>
        <w:t>vigilantes</w:t>
      </w:r>
      <w:proofErr w:type="gramEnd"/>
      <w:r w:rsidRPr="00823440">
        <w:rPr>
          <w:rFonts w:ascii="Verdana" w:hAnsi="Verdana"/>
          <w:color w:val="000099"/>
        </w:rPr>
        <w:t xml:space="preserve"> dans les semaines à venir.</w:t>
      </w:r>
    </w:p>
    <w:p w:rsidR="00791073" w:rsidRPr="00823440" w:rsidRDefault="00791073" w:rsidP="00792457">
      <w:pPr>
        <w:jc w:val="both"/>
        <w:rPr>
          <w:rFonts w:ascii="Verdana" w:hAnsi="Verdana"/>
          <w:color w:val="000099"/>
        </w:rPr>
      </w:pPr>
    </w:p>
    <w:p w:rsidR="00792457" w:rsidRPr="00823440" w:rsidRDefault="00792457" w:rsidP="00792457">
      <w:pPr>
        <w:jc w:val="both"/>
        <w:rPr>
          <w:rFonts w:ascii="Verdana" w:hAnsi="Verdana"/>
          <w:color w:val="000099"/>
          <w:u w:val="single"/>
        </w:rPr>
      </w:pPr>
      <w:r w:rsidRPr="00823440">
        <w:rPr>
          <w:rFonts w:ascii="Verdana" w:hAnsi="Verdana"/>
          <w:color w:val="000099"/>
          <w:u w:val="single"/>
        </w:rPr>
        <w:t xml:space="preserve">Mise en place d’une information accessible et exhaustive pour les agents </w:t>
      </w:r>
    </w:p>
    <w:p w:rsidR="00792457" w:rsidRPr="00823440" w:rsidRDefault="00792457" w:rsidP="00792457">
      <w:pPr>
        <w:jc w:val="both"/>
        <w:rPr>
          <w:rFonts w:ascii="Verdana" w:hAnsi="Verdana"/>
          <w:color w:val="000099"/>
        </w:rPr>
      </w:pPr>
      <w:r w:rsidRPr="00823440">
        <w:rPr>
          <w:rFonts w:ascii="Verdana" w:hAnsi="Verdana"/>
          <w:color w:val="000099"/>
        </w:rPr>
        <w:t>Le constat est unanime et reconnu par l’administration elle-même : l’information sur la réforme et l’accompagnement RH dans les territoires est à géométrie variable. Ce déficit d’information est source d’inquiétude pour les agents et peut aggraver les RPS.</w:t>
      </w:r>
    </w:p>
    <w:p w:rsidR="00792457" w:rsidRPr="00823440" w:rsidRDefault="00792457" w:rsidP="00792457">
      <w:pPr>
        <w:jc w:val="both"/>
        <w:rPr>
          <w:rFonts w:ascii="Verdana" w:hAnsi="Verdana"/>
          <w:color w:val="000099"/>
        </w:rPr>
      </w:pPr>
      <w:r w:rsidRPr="00823440">
        <w:rPr>
          <w:rFonts w:ascii="Verdana" w:hAnsi="Verdana"/>
          <w:color w:val="000099"/>
        </w:rPr>
        <w:t>Il est indispensable que la DRH diffuse de l’information fiabilisée auprès des agents rapidement et de manière régulière.</w:t>
      </w:r>
    </w:p>
    <w:p w:rsidR="00792457" w:rsidRDefault="00792457" w:rsidP="00792457">
      <w:pPr>
        <w:jc w:val="both"/>
        <w:rPr>
          <w:rFonts w:ascii="Verdana" w:hAnsi="Verdana"/>
          <w:color w:val="000099"/>
        </w:rPr>
      </w:pPr>
      <w:r w:rsidRPr="00823440">
        <w:rPr>
          <w:rFonts w:ascii="Verdana" w:hAnsi="Verdana"/>
          <w:color w:val="000099"/>
        </w:rPr>
        <w:t>A titre d’exemple, les FAQ qui avaient vu le jour il y a plus d’un an n’ont fait l’objet d’aucune actualisation. Remplir des documents sur PACO ne suffit pas, il faut une information directement adressée aux agents.</w:t>
      </w:r>
    </w:p>
    <w:p w:rsidR="00791073" w:rsidRDefault="00791073" w:rsidP="00792457">
      <w:pPr>
        <w:jc w:val="both"/>
        <w:rPr>
          <w:rFonts w:ascii="Verdana" w:hAnsi="Verdana"/>
          <w:color w:val="000099"/>
        </w:rPr>
      </w:pPr>
    </w:p>
    <w:p w:rsidR="00791073" w:rsidRDefault="00791073" w:rsidP="00792457">
      <w:pPr>
        <w:jc w:val="both"/>
        <w:rPr>
          <w:rFonts w:ascii="Verdana" w:hAnsi="Verdana"/>
          <w:color w:val="000099"/>
        </w:rPr>
      </w:pPr>
    </w:p>
    <w:p w:rsidR="00791073" w:rsidRPr="00823440" w:rsidRDefault="00791073" w:rsidP="00792457">
      <w:pPr>
        <w:jc w:val="both"/>
        <w:rPr>
          <w:rFonts w:ascii="Verdana" w:hAnsi="Verdana"/>
          <w:color w:val="000099"/>
        </w:rPr>
      </w:pPr>
    </w:p>
    <w:p w:rsidR="00792457" w:rsidRDefault="00792457" w:rsidP="00792457">
      <w:pPr>
        <w:jc w:val="both"/>
        <w:rPr>
          <w:rFonts w:ascii="Verdana" w:hAnsi="Verdana"/>
          <w:color w:val="000099"/>
        </w:rPr>
      </w:pPr>
      <w:r w:rsidRPr="00823440">
        <w:rPr>
          <w:rFonts w:ascii="Verdana" w:hAnsi="Verdana"/>
          <w:color w:val="000099"/>
        </w:rPr>
        <w:lastRenderedPageBreak/>
        <w:t xml:space="preserve">En attendant que la </w:t>
      </w:r>
      <w:proofErr w:type="spellStart"/>
      <w:r w:rsidRPr="00823440">
        <w:rPr>
          <w:rFonts w:ascii="Verdana" w:hAnsi="Verdana"/>
          <w:color w:val="000099"/>
        </w:rPr>
        <w:t>Dicom</w:t>
      </w:r>
      <w:proofErr w:type="spellEnd"/>
      <w:r w:rsidRPr="00823440">
        <w:rPr>
          <w:rFonts w:ascii="Verdana" w:hAnsi="Verdana"/>
          <w:color w:val="000099"/>
        </w:rPr>
        <w:t xml:space="preserve"> avance sur la question, vous trouverez :</w:t>
      </w:r>
    </w:p>
    <w:p w:rsidR="00791073" w:rsidRPr="00823440" w:rsidRDefault="00791073" w:rsidP="00792457">
      <w:pPr>
        <w:jc w:val="both"/>
        <w:rPr>
          <w:rFonts w:ascii="Verdana" w:hAnsi="Verdana"/>
          <w:color w:val="000099"/>
        </w:rPr>
      </w:pPr>
    </w:p>
    <w:p w:rsidR="00792457" w:rsidRPr="00823440" w:rsidRDefault="00792457" w:rsidP="00792457">
      <w:pPr>
        <w:pStyle w:val="Paragraphedeliste"/>
        <w:numPr>
          <w:ilvl w:val="0"/>
          <w:numId w:val="7"/>
        </w:numPr>
        <w:ind w:left="851"/>
        <w:jc w:val="both"/>
        <w:rPr>
          <w:rFonts w:ascii="Verdana" w:hAnsi="Verdana"/>
          <w:color w:val="000099"/>
        </w:rPr>
      </w:pPr>
      <w:r w:rsidRPr="00823440">
        <w:rPr>
          <w:rFonts w:ascii="Times New Roman" w:hAnsi="Times New Roman" w:cs="Times New Roman"/>
          <w:color w:val="000099"/>
          <w:sz w:val="14"/>
          <w:szCs w:val="14"/>
        </w:rPr>
        <w:t xml:space="preserve"> </w:t>
      </w:r>
      <w:hyperlink r:id="rId10" w:anchor="search=faq" w:history="1">
        <w:r w:rsidRPr="00823440">
          <w:rPr>
            <w:rStyle w:val="Lienhypertexte"/>
            <w:rFonts w:ascii="Verdana" w:hAnsi="Verdana"/>
            <w:color w:val="000099"/>
          </w:rPr>
          <w:t>Ici la FAQ à destination des agents impactés par les restructurations (attention : non actualisée depuis janvier 2020 !...)</w:t>
        </w:r>
      </w:hyperlink>
    </w:p>
    <w:p w:rsidR="00792457" w:rsidRPr="00823440" w:rsidRDefault="001D412D" w:rsidP="00792457">
      <w:pPr>
        <w:pStyle w:val="Paragraphedeliste"/>
        <w:numPr>
          <w:ilvl w:val="0"/>
          <w:numId w:val="7"/>
        </w:numPr>
        <w:ind w:left="851"/>
        <w:jc w:val="both"/>
        <w:rPr>
          <w:rFonts w:ascii="Verdana" w:hAnsi="Verdana"/>
          <w:color w:val="000099"/>
        </w:rPr>
      </w:pPr>
      <w:hyperlink r:id="rId11" w:history="1">
        <w:r w:rsidR="00792457" w:rsidRPr="00823440">
          <w:rPr>
            <w:rStyle w:val="Lienhypertexte"/>
            <w:rFonts w:ascii="Verdana" w:hAnsi="Verdana"/>
            <w:color w:val="000099"/>
          </w:rPr>
          <w:t>Ici le protocole d’accord définissant les modalités d’accompagnement RH des agents impactés par l’évolution de l’organisation territoriale de l’Etat</w:t>
        </w:r>
      </w:hyperlink>
    </w:p>
    <w:p w:rsidR="00792457" w:rsidRDefault="00792457" w:rsidP="00792457">
      <w:pPr>
        <w:pStyle w:val="Paragraphedeliste"/>
        <w:ind w:left="851"/>
        <w:jc w:val="both"/>
        <w:rPr>
          <w:rFonts w:ascii="Verdana" w:hAnsi="Verdana"/>
          <w:color w:val="000099"/>
        </w:rPr>
      </w:pPr>
    </w:p>
    <w:p w:rsidR="00791073" w:rsidRPr="00823440" w:rsidRDefault="00791073" w:rsidP="00792457">
      <w:pPr>
        <w:pStyle w:val="Paragraphedeliste"/>
        <w:ind w:left="851"/>
        <w:jc w:val="both"/>
        <w:rPr>
          <w:rFonts w:ascii="Verdana" w:hAnsi="Verdana"/>
          <w:color w:val="000099"/>
        </w:rPr>
      </w:pPr>
    </w:p>
    <w:p w:rsidR="00792457" w:rsidRPr="00823440" w:rsidRDefault="00792457" w:rsidP="00792457">
      <w:pPr>
        <w:rPr>
          <w:rFonts w:ascii="Verdana" w:hAnsi="Verdana"/>
          <w:b/>
          <w:bCs/>
          <w:color w:val="E36C0A" w:themeColor="accent6" w:themeShade="BF"/>
          <w:lang w:eastAsia="fr-FR"/>
        </w:rPr>
      </w:pPr>
      <w:r w:rsidRPr="00823440">
        <w:rPr>
          <w:rFonts w:ascii="Verdana" w:hAnsi="Verdana"/>
          <w:b/>
          <w:bCs/>
          <w:color w:val="E36C0A" w:themeColor="accent6" w:themeShade="BF"/>
          <w:lang w:eastAsia="fr-FR"/>
        </w:rPr>
        <w:t>Le SYNTEF-CFDT, signataire du protocole RH, continuera à participer à son comité de suivi afin que l’accompagnement RH des agents soit à la hauteur des enjeux de cette restructuration.</w:t>
      </w:r>
    </w:p>
    <w:p w:rsidR="00792457" w:rsidRDefault="00792457" w:rsidP="00792457">
      <w:pPr>
        <w:rPr>
          <w:rFonts w:ascii="Verdana" w:hAnsi="Verdana"/>
          <w:b/>
          <w:bCs/>
          <w:color w:val="262626"/>
          <w:lang w:eastAsia="fr-FR"/>
        </w:rPr>
      </w:pPr>
      <w:bookmarkStart w:id="0" w:name="_GoBack"/>
      <w:bookmarkEnd w:id="0"/>
    </w:p>
    <w:p w:rsidR="00DC0149" w:rsidRPr="002B4A9B" w:rsidRDefault="00DC0149" w:rsidP="00DC0149">
      <w:pPr>
        <w:spacing w:after="0" w:line="240" w:lineRule="auto"/>
        <w:jc w:val="center"/>
        <w:rPr>
          <w:rFonts w:ascii="Verdana" w:eastAsia="Times New Roman" w:hAnsi="Verdana" w:cs="Times New Roman"/>
          <w:b/>
          <w:i/>
          <w:lang w:eastAsia="fr-FR"/>
        </w:rPr>
      </w:pPr>
    </w:p>
    <w:p w:rsidR="000E2993" w:rsidRPr="00791073" w:rsidRDefault="000E2993" w:rsidP="00791073">
      <w:pPr>
        <w:pBdr>
          <w:top w:val="single" w:sz="4" w:space="6" w:color="auto"/>
          <w:left w:val="single" w:sz="4" w:space="4" w:color="auto"/>
          <w:bottom w:val="single" w:sz="4" w:space="9" w:color="auto"/>
          <w:right w:val="single" w:sz="4" w:space="4" w:color="auto"/>
        </w:pBdr>
        <w:shd w:val="clear" w:color="auto" w:fill="7030A0"/>
        <w:jc w:val="center"/>
        <w:rPr>
          <w:rFonts w:ascii="Verdana" w:hAnsi="Verdana" w:cs="Arial"/>
          <w:b/>
          <w:color w:val="FFFFFF" w:themeColor="background1"/>
        </w:rPr>
      </w:pPr>
      <w:r w:rsidRPr="00791073">
        <w:rPr>
          <w:rFonts w:ascii="Verdana" w:hAnsi="Verdana" w:cs="Arial"/>
          <w:b/>
          <w:color w:val="FFFFFF" w:themeColor="background1"/>
        </w:rPr>
        <w:t>Le SYNTEF-CFDT </w:t>
      </w:r>
    </w:p>
    <w:p w:rsidR="00DC0149" w:rsidRPr="00791073" w:rsidRDefault="00DC0149" w:rsidP="00791073">
      <w:pPr>
        <w:pBdr>
          <w:top w:val="single" w:sz="4" w:space="6" w:color="auto"/>
          <w:left w:val="single" w:sz="4" w:space="4" w:color="auto"/>
          <w:bottom w:val="single" w:sz="4" w:space="9" w:color="auto"/>
          <w:right w:val="single" w:sz="4" w:space="4" w:color="auto"/>
        </w:pBdr>
        <w:shd w:val="clear" w:color="auto" w:fill="7030A0"/>
        <w:jc w:val="center"/>
        <w:rPr>
          <w:rFonts w:ascii="Verdana" w:hAnsi="Verdana" w:cs="Arial"/>
          <w:b/>
          <w:color w:val="FFFFFF" w:themeColor="background1"/>
        </w:rPr>
      </w:pPr>
      <w:r w:rsidRPr="00791073">
        <w:rPr>
          <w:rFonts w:ascii="Verdana" w:hAnsi="Verdana" w:cs="Arial"/>
          <w:b/>
          <w:color w:val="FFFFFF" w:themeColor="background1"/>
        </w:rPr>
        <w:t xml:space="preserve">Tel : 01 44 38 29 20 </w:t>
      </w:r>
      <w:proofErr w:type="gramStart"/>
      <w:r w:rsidRPr="00791073">
        <w:rPr>
          <w:rFonts w:ascii="Verdana" w:hAnsi="Verdana" w:cs="Arial"/>
          <w:b/>
          <w:color w:val="FFFFFF" w:themeColor="background1"/>
        </w:rPr>
        <w:t xml:space="preserve">mail : </w:t>
      </w:r>
      <w:r w:rsidR="005C4EF9" w:rsidRPr="00791073">
        <w:rPr>
          <w:rFonts w:ascii="Verdana" w:hAnsi="Verdana" w:cs="Arial"/>
          <w:b/>
          <w:color w:val="FFFFFF" w:themeColor="background1"/>
          <w:u w:val="single"/>
        </w:rPr>
        <w:t>syndicat-syntef-cfdt@travail.gouv.fr</w:t>
      </w:r>
      <w:proofErr w:type="gramEnd"/>
      <w:r w:rsidR="005C4EF9" w:rsidRPr="00791073">
        <w:rPr>
          <w:rFonts w:ascii="Verdana" w:hAnsi="Verdana" w:cs="Arial"/>
          <w:b/>
          <w:color w:val="FFFFFF" w:themeColor="background1"/>
        </w:rPr>
        <w:t xml:space="preserve"> </w:t>
      </w:r>
    </w:p>
    <w:p w:rsidR="00D936FF" w:rsidRPr="00792457" w:rsidRDefault="001D412D" w:rsidP="00791073">
      <w:pPr>
        <w:pBdr>
          <w:top w:val="single" w:sz="4" w:space="6" w:color="auto"/>
          <w:left w:val="single" w:sz="4" w:space="4" w:color="auto"/>
          <w:bottom w:val="single" w:sz="4" w:space="9" w:color="auto"/>
          <w:right w:val="single" w:sz="4" w:space="4" w:color="auto"/>
        </w:pBdr>
        <w:shd w:val="clear" w:color="auto" w:fill="7030A0"/>
        <w:jc w:val="center"/>
        <w:rPr>
          <w:rFonts w:ascii="Verdana" w:hAnsi="Verdana" w:cs="Arial"/>
          <w:b/>
          <w:color w:val="FFFFFF" w:themeColor="background1"/>
          <w:sz w:val="20"/>
        </w:rPr>
      </w:pPr>
      <w:hyperlink r:id="rId12" w:history="1">
        <w:r w:rsidR="000E2993" w:rsidRPr="00791073">
          <w:rPr>
            <w:rStyle w:val="Lienhypertexte"/>
            <w:rFonts w:ascii="Verdana" w:hAnsi="Verdana" w:cs="Arial"/>
            <w:b/>
            <w:color w:val="FFFFFF" w:themeColor="background1"/>
          </w:rPr>
          <w:t>J’adhère à la CFDT !</w:t>
        </w:r>
      </w:hyperlink>
    </w:p>
    <w:sectPr w:rsidR="00D936FF" w:rsidRPr="00792457" w:rsidSect="000306BF">
      <w:footerReference w:type="default" r:id="rId13"/>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2D" w:rsidRDefault="001D412D" w:rsidP="0057402C">
      <w:pPr>
        <w:spacing w:after="0" w:line="240" w:lineRule="auto"/>
      </w:pPr>
      <w:r>
        <w:separator/>
      </w:r>
    </w:p>
  </w:endnote>
  <w:endnote w:type="continuationSeparator" w:id="0">
    <w:p w:rsidR="001D412D" w:rsidRDefault="001D412D" w:rsidP="0057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20" w:rsidRDefault="001D412D" w:rsidP="00EA1E20">
    <w:pPr>
      <w:pStyle w:val="Pieddepage"/>
      <w:pBdr>
        <w:bottom w:val="single" w:sz="4" w:space="1" w:color="auto"/>
      </w:pBdr>
    </w:pPr>
  </w:p>
  <w:p w:rsidR="00EA1E20" w:rsidRPr="00EA1E20" w:rsidRDefault="009876FB" w:rsidP="00EA1E20">
    <w:pPr>
      <w:pStyle w:val="Pieddepage"/>
      <w:pBdr>
        <w:bottom w:val="single" w:sz="4" w:space="1" w:color="auto"/>
      </w:pBdr>
      <w:jc w:val="center"/>
      <w:rPr>
        <w:b/>
        <w:color w:val="000099"/>
      </w:rPr>
    </w:pPr>
    <w:r w:rsidRPr="00EA1E20">
      <w:rPr>
        <w:b/>
        <w:color w:val="000099"/>
      </w:rPr>
      <w:t>SYNTEF-CFDT –14, AVENUE DUQUESNE –75350 PARIS SP 07</w:t>
    </w:r>
  </w:p>
  <w:p w:rsidR="00CF1F1E" w:rsidRPr="00CF1F1E" w:rsidRDefault="009876FB">
    <w:pPr>
      <w:pStyle w:val="Pieddepage"/>
      <w:rPr>
        <w:b/>
        <w:color w:val="000099"/>
      </w:rPr>
    </w:pPr>
    <w:r w:rsidRPr="00EA1E20">
      <w:rPr>
        <w:b/>
        <w:color w:val="000099"/>
      </w:rPr>
      <w:t xml:space="preserve">Tel : 01 44 38 29 20 Le Blog : </w:t>
    </w:r>
    <w:hyperlink r:id="rId1" w:history="1">
      <w:r w:rsidRPr="00EA1E20">
        <w:rPr>
          <w:rStyle w:val="Lienhypertexte"/>
          <w:b/>
          <w:color w:val="000099"/>
        </w:rPr>
        <w:t>www.syntef-cfdt.com</w:t>
      </w:r>
    </w:hyperlink>
    <w:r w:rsidRPr="00EA1E20">
      <w:rPr>
        <w:b/>
        <w:color w:val="000099"/>
      </w:rPr>
      <w:t xml:space="preserve"> E-mail : </w:t>
    </w:r>
    <w:r w:rsidR="005C4EF9" w:rsidRPr="005C4EF9">
      <w:rPr>
        <w:b/>
        <w:color w:val="000099"/>
        <w:u w:val="single"/>
      </w:rPr>
      <w:t>syndicat-syntef-cfdt@travail.gouv.fr</w:t>
    </w:r>
    <w:r w:rsidRPr="00EA1E20">
      <w:rPr>
        <w:b/>
        <w:color w:val="00009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2D" w:rsidRDefault="001D412D" w:rsidP="0057402C">
      <w:pPr>
        <w:spacing w:after="0" w:line="240" w:lineRule="auto"/>
      </w:pPr>
      <w:r>
        <w:separator/>
      </w:r>
    </w:p>
  </w:footnote>
  <w:footnote w:type="continuationSeparator" w:id="0">
    <w:p w:rsidR="001D412D" w:rsidRDefault="001D412D" w:rsidP="00574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7CC"/>
      </v:shape>
    </w:pict>
  </w:numPicBullet>
  <w:abstractNum w:abstractNumId="0">
    <w:nsid w:val="112D20B3"/>
    <w:multiLevelType w:val="hybridMultilevel"/>
    <w:tmpl w:val="C85E3276"/>
    <w:lvl w:ilvl="0" w:tplc="37E480A6">
      <w:numFmt w:val="bullet"/>
      <w:lvlText w:val="-"/>
      <w:lvlJc w:val="left"/>
      <w:pPr>
        <w:ind w:left="720" w:hanging="360"/>
      </w:pPr>
      <w:rPr>
        <w:rFonts w:ascii="Liberation Serif" w:eastAsiaTheme="minorHAnsi" w:hAnsi="Liberation Serif" w:cs="Liberation Serif"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7E2881"/>
    <w:multiLevelType w:val="hybridMultilevel"/>
    <w:tmpl w:val="8D0A241C"/>
    <w:lvl w:ilvl="0" w:tplc="040C0007">
      <w:start w:val="1"/>
      <w:numFmt w:val="bullet"/>
      <w:lvlText w:val=""/>
      <w:lvlPicBulletId w:val="0"/>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311060ED"/>
    <w:multiLevelType w:val="hybridMultilevel"/>
    <w:tmpl w:val="7A22D18C"/>
    <w:lvl w:ilvl="0" w:tplc="07ACAB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894C8B"/>
    <w:multiLevelType w:val="hybridMultilevel"/>
    <w:tmpl w:val="4C863A3E"/>
    <w:lvl w:ilvl="0" w:tplc="4B543916">
      <w:start w:val="1"/>
      <w:numFmt w:val="bullet"/>
      <w:lvlText w:val="-"/>
      <w:lvlJc w:val="left"/>
      <w:pPr>
        <w:ind w:left="720" w:hanging="360"/>
      </w:pPr>
      <w:rPr>
        <w:rFonts w:ascii="Times New Roman" w:eastAsia="Times New Roman" w:hAnsi="Times New Roman" w:cs="Times New Roman" w:hint="default"/>
        <w:sz w:val="2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F14AAC"/>
    <w:multiLevelType w:val="multilevel"/>
    <w:tmpl w:val="46464B5C"/>
    <w:lvl w:ilvl="0">
      <w:start w:val="1"/>
      <w:numFmt w:val="bullet"/>
      <w:lvlText w:val=""/>
      <w:lvlPicBulletId w:val="0"/>
      <w:lvlJc w:val="left"/>
      <w:pPr>
        <w:ind w:left="720" w:hanging="360"/>
      </w:pPr>
      <w:rPr>
        <w:rFonts w:ascii="Symbol" w:hAnsi="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10E2864"/>
    <w:multiLevelType w:val="hybridMultilevel"/>
    <w:tmpl w:val="61823B3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5126F7"/>
    <w:multiLevelType w:val="hybridMultilevel"/>
    <w:tmpl w:val="7C2410CE"/>
    <w:lvl w:ilvl="0" w:tplc="F6F25E3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F97DA9"/>
    <w:multiLevelType w:val="hybridMultilevel"/>
    <w:tmpl w:val="082242CA"/>
    <w:lvl w:ilvl="0" w:tplc="040C0007">
      <w:start w:val="1"/>
      <w:numFmt w:val="bullet"/>
      <w:lvlText w:val=""/>
      <w:lvlPicBulletId w:val="0"/>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13B2"/>
    <w:rsid w:val="00017789"/>
    <w:rsid w:val="00033D73"/>
    <w:rsid w:val="000E2993"/>
    <w:rsid w:val="0013214C"/>
    <w:rsid w:val="0018345C"/>
    <w:rsid w:val="0019733D"/>
    <w:rsid w:val="001D412D"/>
    <w:rsid w:val="001D597E"/>
    <w:rsid w:val="0022645F"/>
    <w:rsid w:val="00243214"/>
    <w:rsid w:val="00254F4F"/>
    <w:rsid w:val="00291FC2"/>
    <w:rsid w:val="002A3FF2"/>
    <w:rsid w:val="002B4A9B"/>
    <w:rsid w:val="00393A32"/>
    <w:rsid w:val="003D516F"/>
    <w:rsid w:val="003F7622"/>
    <w:rsid w:val="003F7715"/>
    <w:rsid w:val="004C7EB8"/>
    <w:rsid w:val="004E177A"/>
    <w:rsid w:val="004F1375"/>
    <w:rsid w:val="00517C1C"/>
    <w:rsid w:val="0057402C"/>
    <w:rsid w:val="005C4EF9"/>
    <w:rsid w:val="005C637B"/>
    <w:rsid w:val="00641C7A"/>
    <w:rsid w:val="006A16E6"/>
    <w:rsid w:val="007413B2"/>
    <w:rsid w:val="00750B43"/>
    <w:rsid w:val="00767981"/>
    <w:rsid w:val="0078704B"/>
    <w:rsid w:val="00791073"/>
    <w:rsid w:val="00792457"/>
    <w:rsid w:val="007C54E5"/>
    <w:rsid w:val="00823440"/>
    <w:rsid w:val="00841FED"/>
    <w:rsid w:val="0086214C"/>
    <w:rsid w:val="008B7179"/>
    <w:rsid w:val="008E732A"/>
    <w:rsid w:val="008F5242"/>
    <w:rsid w:val="00923DB9"/>
    <w:rsid w:val="009762FC"/>
    <w:rsid w:val="009876FB"/>
    <w:rsid w:val="00A14DED"/>
    <w:rsid w:val="00A43272"/>
    <w:rsid w:val="00AB3D23"/>
    <w:rsid w:val="00AE7EC7"/>
    <w:rsid w:val="00B2790D"/>
    <w:rsid w:val="00BA73AC"/>
    <w:rsid w:val="00C04DC8"/>
    <w:rsid w:val="00C92E20"/>
    <w:rsid w:val="00D033DF"/>
    <w:rsid w:val="00D936FF"/>
    <w:rsid w:val="00DB34FD"/>
    <w:rsid w:val="00DB4DAF"/>
    <w:rsid w:val="00DC0149"/>
    <w:rsid w:val="00DD420A"/>
    <w:rsid w:val="00DF5E10"/>
    <w:rsid w:val="00E5599D"/>
    <w:rsid w:val="00E707FD"/>
    <w:rsid w:val="00E8265F"/>
    <w:rsid w:val="00ED5AA0"/>
    <w:rsid w:val="00F03032"/>
    <w:rsid w:val="00F26887"/>
    <w:rsid w:val="00F67A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3B2"/>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3B2"/>
    <w:pPr>
      <w:ind w:left="720"/>
      <w:contextualSpacing/>
    </w:pPr>
  </w:style>
  <w:style w:type="paragraph" w:styleId="Pieddepage">
    <w:name w:val="footer"/>
    <w:basedOn w:val="Normal"/>
    <w:link w:val="PieddepageCar"/>
    <w:uiPriority w:val="99"/>
    <w:unhideWhenUsed/>
    <w:rsid w:val="007413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13B2"/>
  </w:style>
  <w:style w:type="character" w:styleId="Lienhypertexte">
    <w:name w:val="Hyperlink"/>
    <w:basedOn w:val="Policepardfaut"/>
    <w:uiPriority w:val="99"/>
    <w:unhideWhenUsed/>
    <w:rsid w:val="007413B2"/>
    <w:rPr>
      <w:color w:val="0000FF" w:themeColor="hyperlink"/>
      <w:u w:val="single"/>
    </w:rPr>
  </w:style>
  <w:style w:type="paragraph" w:styleId="Textedebulles">
    <w:name w:val="Balloon Text"/>
    <w:basedOn w:val="Normal"/>
    <w:link w:val="TextedebullesCar"/>
    <w:uiPriority w:val="99"/>
    <w:semiHidden/>
    <w:unhideWhenUsed/>
    <w:rsid w:val="007413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13B2"/>
    <w:rPr>
      <w:rFonts w:ascii="Tahoma" w:hAnsi="Tahoma" w:cs="Tahoma"/>
      <w:sz w:val="16"/>
      <w:szCs w:val="16"/>
    </w:rPr>
  </w:style>
  <w:style w:type="paragraph" w:styleId="En-tte">
    <w:name w:val="header"/>
    <w:basedOn w:val="Normal"/>
    <w:link w:val="En-tteCar"/>
    <w:uiPriority w:val="99"/>
    <w:unhideWhenUsed/>
    <w:rsid w:val="005C4EF9"/>
    <w:pPr>
      <w:tabs>
        <w:tab w:val="center" w:pos="4536"/>
        <w:tab w:val="right" w:pos="9072"/>
      </w:tabs>
      <w:spacing w:after="0" w:line="240" w:lineRule="auto"/>
    </w:pPr>
  </w:style>
  <w:style w:type="character" w:customStyle="1" w:styleId="En-tteCar">
    <w:name w:val="En-tête Car"/>
    <w:basedOn w:val="Policepardfaut"/>
    <w:link w:val="En-tte"/>
    <w:uiPriority w:val="99"/>
    <w:rsid w:val="005C4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8217;adh&#232;re%20&#224;%20la%20CFD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co.intranet.social.gouv.fr/dossiers/OTE/RH/Pages/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co.intranet.social.gouv.fr/dossiers/OTE/RH/Documents/FAQ_OTE2022_AGENTS.pdf"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yntef-cfd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624</Words>
  <Characters>3438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DRIOUCHE Redoine (UD031)</cp:lastModifiedBy>
  <cp:revision>16</cp:revision>
  <dcterms:created xsi:type="dcterms:W3CDTF">2020-04-29T12:19:00Z</dcterms:created>
  <dcterms:modified xsi:type="dcterms:W3CDTF">2020-12-23T10:02:00Z</dcterms:modified>
</cp:coreProperties>
</file>