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2" w:rsidRPr="00B75436" w:rsidRDefault="007413B2" w:rsidP="007413B2">
      <w:pPr>
        <w:jc w:val="right"/>
        <w:rPr>
          <w:rFonts w:ascii="Verdana" w:hAnsi="Verdana" w:cs="Times New Roman"/>
          <w:b/>
          <w:color w:val="000099"/>
          <w:sz w:val="20"/>
          <w:szCs w:val="20"/>
        </w:rPr>
      </w:pPr>
      <w:r w:rsidRPr="00B75436">
        <w:rPr>
          <w:rFonts w:ascii="Verdana" w:hAnsi="Verdana" w:cs="Times New Roman"/>
          <w:b/>
          <w:noProof/>
          <w:color w:val="000099"/>
          <w:sz w:val="20"/>
          <w:szCs w:val="20"/>
          <w:lang w:eastAsia="fr-FR"/>
        </w:rPr>
        <w:drawing>
          <wp:anchor distT="0" distB="0" distL="0" distR="0" simplePos="0" relativeHeight="251660288" behindDoc="1" locked="0" layoutInCell="1" allowOverlap="1" wp14:anchorId="6EBC9479" wp14:editId="5398D8F9">
            <wp:simplePos x="0" y="0"/>
            <wp:positionH relativeFrom="page">
              <wp:posOffset>882582</wp:posOffset>
            </wp:positionH>
            <wp:positionV relativeFrom="paragraph">
              <wp:posOffset>-17172</wp:posOffset>
            </wp:positionV>
            <wp:extent cx="1076325" cy="1371318"/>
            <wp:effectExtent l="0" t="0" r="0" b="63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436">
        <w:rPr>
          <w:rFonts w:ascii="Verdana" w:hAnsi="Verdana" w:cs="Times New Roman"/>
          <w:b/>
          <w:color w:val="000099"/>
          <w:sz w:val="20"/>
          <w:szCs w:val="20"/>
        </w:rPr>
        <w:t>Ministère du Travail, de l’Emploi,</w:t>
      </w:r>
    </w:p>
    <w:p w:rsidR="007413B2" w:rsidRPr="00B75436" w:rsidRDefault="007413B2" w:rsidP="007413B2">
      <w:pPr>
        <w:jc w:val="right"/>
        <w:rPr>
          <w:rFonts w:ascii="Verdana" w:hAnsi="Verdana" w:cs="Times New Roman"/>
          <w:b/>
          <w:color w:val="000099"/>
          <w:sz w:val="20"/>
          <w:szCs w:val="20"/>
        </w:rPr>
      </w:pPr>
      <w:r w:rsidRPr="00B75436">
        <w:rPr>
          <w:rFonts w:ascii="Verdana" w:hAnsi="Verdana" w:cs="Times New Roman"/>
          <w:b/>
          <w:color w:val="000099"/>
          <w:sz w:val="20"/>
          <w:szCs w:val="20"/>
        </w:rPr>
        <w:t>INTEFP</w:t>
      </w:r>
    </w:p>
    <w:p w:rsidR="007413B2" w:rsidRPr="00B75436" w:rsidRDefault="007413B2" w:rsidP="007413B2">
      <w:pPr>
        <w:jc w:val="right"/>
        <w:rPr>
          <w:rFonts w:ascii="Verdana" w:hAnsi="Verdana" w:cs="Times New Roman"/>
          <w:b/>
          <w:color w:val="000099"/>
          <w:sz w:val="20"/>
          <w:szCs w:val="20"/>
        </w:rPr>
      </w:pPr>
      <w:r w:rsidRPr="00B75436">
        <w:rPr>
          <w:rFonts w:ascii="Verdana" w:hAnsi="Verdana" w:cs="Times New Roman"/>
          <w:b/>
          <w:color w:val="000099"/>
          <w:sz w:val="20"/>
          <w:szCs w:val="20"/>
        </w:rPr>
        <w:t>ANACT</w:t>
      </w:r>
    </w:p>
    <w:p w:rsidR="007413B2" w:rsidRPr="00B75436" w:rsidRDefault="007413B2" w:rsidP="007413B2">
      <w:pPr>
        <w:jc w:val="right"/>
        <w:rPr>
          <w:rFonts w:ascii="Verdana" w:hAnsi="Verdana"/>
        </w:rPr>
      </w:pPr>
      <w:r w:rsidRPr="00B75436">
        <w:rPr>
          <w:rFonts w:ascii="Verdana" w:hAnsi="Verdana" w:cs="Times New Roman"/>
          <w:b/>
          <w:color w:val="000099"/>
          <w:sz w:val="25"/>
          <w:szCs w:val="25"/>
        </w:rPr>
        <w:t>Fédération PSTE</w:t>
      </w:r>
    </w:p>
    <w:p w:rsidR="007413B2" w:rsidRPr="00B75436" w:rsidRDefault="007413B2" w:rsidP="007413B2">
      <w:pPr>
        <w:spacing w:after="0"/>
        <w:jc w:val="both"/>
        <w:rPr>
          <w:rFonts w:ascii="Verdana" w:hAnsi="Verdana"/>
          <w:i/>
          <w:color w:val="000099"/>
        </w:rPr>
      </w:pPr>
    </w:p>
    <w:p w:rsidR="007413B2" w:rsidRPr="00B75436" w:rsidRDefault="007413B2" w:rsidP="007413B2">
      <w:pPr>
        <w:spacing w:after="0"/>
        <w:jc w:val="both"/>
        <w:rPr>
          <w:rFonts w:ascii="Verdana" w:hAnsi="Verdana"/>
          <w:i/>
          <w:color w:val="000099"/>
        </w:rPr>
      </w:pPr>
    </w:p>
    <w:p w:rsidR="007413B2" w:rsidRPr="00B75436" w:rsidRDefault="007413B2" w:rsidP="007413B2">
      <w:pPr>
        <w:spacing w:after="0"/>
        <w:jc w:val="right"/>
        <w:rPr>
          <w:rFonts w:ascii="Verdana" w:hAnsi="Verdana"/>
          <w:i/>
          <w:color w:val="000099"/>
        </w:rPr>
      </w:pPr>
      <w:r w:rsidRPr="00B75436">
        <w:rPr>
          <w:rFonts w:ascii="Verdana" w:hAnsi="Verdana"/>
          <w:i/>
          <w:noProof/>
          <w:color w:val="000099"/>
          <w:lang w:eastAsia="fr-FR"/>
        </w:rPr>
        <w:drawing>
          <wp:inline distT="0" distB="0" distL="0" distR="0" wp14:anchorId="235A8A27" wp14:editId="6372D175">
            <wp:extent cx="1695450" cy="55514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15" cy="55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B2" w:rsidRPr="00B75436" w:rsidRDefault="007413B2" w:rsidP="007413B2">
      <w:pPr>
        <w:spacing w:after="0"/>
        <w:jc w:val="both"/>
        <w:rPr>
          <w:rFonts w:ascii="Verdana" w:hAnsi="Verdana"/>
          <w:i/>
          <w:color w:val="000099"/>
          <w:sz w:val="24"/>
          <w:szCs w:val="24"/>
        </w:rPr>
      </w:pPr>
    </w:p>
    <w:p w:rsidR="00B70090" w:rsidRPr="00B75436" w:rsidRDefault="007413B2" w:rsidP="007413B2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B75436">
        <w:rPr>
          <w:rFonts w:ascii="Verdana" w:hAnsi="Verdana" w:cs="Arial"/>
          <w:b/>
          <w:sz w:val="20"/>
          <w:szCs w:val="20"/>
        </w:rPr>
        <w:t xml:space="preserve">Le BLOG </w:t>
      </w:r>
      <w:hyperlink r:id="rId10" w:history="1">
        <w:r w:rsidRPr="00B75436">
          <w:rPr>
            <w:rStyle w:val="Lienhypertexte"/>
            <w:rFonts w:ascii="Verdana" w:hAnsi="Verdana" w:cs="Arial"/>
            <w:sz w:val="20"/>
            <w:szCs w:val="20"/>
          </w:rPr>
          <w:t>www.syntef-cfdt.com</w:t>
        </w:r>
      </w:hyperlink>
      <w:r w:rsidRPr="00B75436">
        <w:rPr>
          <w:rFonts w:ascii="Verdana" w:hAnsi="Verdana" w:cs="Arial"/>
          <w:sz w:val="20"/>
          <w:szCs w:val="20"/>
        </w:rPr>
        <w:t xml:space="preserve"> </w:t>
      </w:r>
      <w:r w:rsidRPr="00B75436">
        <w:rPr>
          <w:rFonts w:ascii="Verdana" w:hAnsi="Verdana" w:cs="Arial"/>
          <w:b/>
          <w:sz w:val="20"/>
          <w:szCs w:val="20"/>
        </w:rPr>
        <w:t>est accessible depuis n’importe quel poste internet depuis chez vous ou depuis l’intranet du Ministère.</w:t>
      </w:r>
      <w:r w:rsidR="00B70090" w:rsidRPr="00B75436">
        <w:rPr>
          <w:rFonts w:ascii="Verdana" w:hAnsi="Verdana" w:cs="Arial"/>
          <w:b/>
          <w:sz w:val="20"/>
          <w:szCs w:val="20"/>
        </w:rPr>
        <w:t xml:space="preserve"> </w:t>
      </w:r>
    </w:p>
    <w:p w:rsidR="00B70090" w:rsidRPr="00B75436" w:rsidRDefault="00B70090" w:rsidP="007413B2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7413B2" w:rsidRPr="00B75436" w:rsidRDefault="007413B2" w:rsidP="00B75436">
      <w:pPr>
        <w:spacing w:after="0"/>
        <w:ind w:right="-142"/>
        <w:jc w:val="both"/>
        <w:rPr>
          <w:rFonts w:ascii="Verdana" w:hAnsi="Verdana"/>
          <w:sz w:val="20"/>
          <w:szCs w:val="20"/>
        </w:rPr>
      </w:pPr>
      <w:r w:rsidRPr="00B75436">
        <w:rPr>
          <w:rFonts w:ascii="Verdana" w:hAnsi="Verdana" w:cs="Arial"/>
          <w:b/>
          <w:sz w:val="20"/>
          <w:szCs w:val="20"/>
        </w:rPr>
        <w:t>N’hésitez pas à nous contacter et nous poser vos questions à l’adresse suivante :</w:t>
      </w:r>
      <w:r w:rsidRPr="00B75436">
        <w:rPr>
          <w:rFonts w:ascii="Verdana" w:hAnsi="Verdana" w:cs="Arial"/>
          <w:sz w:val="20"/>
          <w:szCs w:val="20"/>
        </w:rPr>
        <w:t xml:space="preserve"> </w:t>
      </w:r>
      <w:hyperlink r:id="rId11" w:history="1">
        <w:r w:rsidRPr="00B75436">
          <w:rPr>
            <w:rStyle w:val="Lienhypertexte"/>
            <w:rFonts w:ascii="Verdana" w:hAnsi="Verdana" w:cs="Arial"/>
            <w:sz w:val="20"/>
            <w:szCs w:val="20"/>
          </w:rPr>
          <w:t>syndicat.cfdt@travail.gouv.fr</w:t>
        </w:r>
      </w:hyperlink>
    </w:p>
    <w:p w:rsidR="00B70090" w:rsidRDefault="00B70090" w:rsidP="007413B2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:rsidR="00B75436" w:rsidRPr="00B75436" w:rsidRDefault="00B75436" w:rsidP="007413B2">
      <w:pPr>
        <w:spacing w:after="0"/>
        <w:jc w:val="both"/>
        <w:rPr>
          <w:rFonts w:ascii="Verdana" w:hAnsi="Verdana" w:cs="Arial"/>
          <w:b/>
          <w:sz w:val="24"/>
          <w:szCs w:val="24"/>
        </w:rPr>
      </w:pPr>
    </w:p>
    <w:p w:rsidR="007413B2" w:rsidRPr="00B75436" w:rsidRDefault="00FB6AC7" w:rsidP="007413B2">
      <w:pPr>
        <w:spacing w:after="0"/>
        <w:jc w:val="both"/>
        <w:rPr>
          <w:rFonts w:ascii="Verdana" w:hAnsi="Verdana" w:cs="Arial"/>
          <w:sz w:val="25"/>
          <w:szCs w:val="25"/>
        </w:rPr>
      </w:pPr>
      <w:r w:rsidRPr="00B75436">
        <w:rPr>
          <w:rFonts w:ascii="Verdana" w:hAnsi="Verdana"/>
          <w:i/>
          <w:noProof/>
          <w:color w:val="000099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A66CC" wp14:editId="43A66C29">
                <wp:simplePos x="0" y="0"/>
                <wp:positionH relativeFrom="column">
                  <wp:posOffset>-14656</wp:posOffset>
                </wp:positionH>
                <wp:positionV relativeFrom="paragraph">
                  <wp:posOffset>80416</wp:posOffset>
                </wp:positionV>
                <wp:extent cx="6006465" cy="680314"/>
                <wp:effectExtent l="0" t="0" r="133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6803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36" w:rsidRPr="00B75436" w:rsidRDefault="00B75436" w:rsidP="00B7543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54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CIA, prime Covid, entretiens pro : </w:t>
                            </w:r>
                          </w:p>
                          <w:p w:rsidR="00B75436" w:rsidRPr="00B75436" w:rsidRDefault="00B75436" w:rsidP="00B7543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134" w:firstLine="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54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une politique RH opaque, au détriment des agents </w:t>
                            </w:r>
                          </w:p>
                          <w:p w:rsidR="00B75436" w:rsidRPr="00B75436" w:rsidRDefault="00B75436" w:rsidP="00B7543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134" w:firstLine="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543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une désorganisation récurrente qui affaiblit nos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6.35pt;width:472.9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" fillcolor="#7030a0">
                <v:textbox>
                  <w:txbxContent>
                    <w:p w:rsidR="00B75436" w:rsidRPr="00B75436" w:rsidRDefault="00B75436" w:rsidP="00B75436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754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CIA, prime Covid, entretiens pro : </w:t>
                      </w:r>
                    </w:p>
                    <w:p w:rsidR="00B75436" w:rsidRPr="00B75436" w:rsidRDefault="00B75436" w:rsidP="00B7543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134" w:firstLine="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54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une politique RH opaque, au détriment des agents </w:t>
                      </w:r>
                    </w:p>
                    <w:p w:rsidR="00B75436" w:rsidRPr="00B75436" w:rsidRDefault="00B75436" w:rsidP="00B7543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134" w:firstLine="0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543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une désorganisation récurrente qui affaiblit nos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7413B2" w:rsidRPr="00B75436" w:rsidRDefault="007413B2" w:rsidP="007413B2">
      <w:pPr>
        <w:spacing w:after="0"/>
        <w:jc w:val="both"/>
        <w:rPr>
          <w:rFonts w:ascii="Verdana" w:hAnsi="Verdana"/>
          <w:i/>
          <w:color w:val="000099"/>
        </w:rPr>
      </w:pPr>
    </w:p>
    <w:p w:rsidR="00B70090" w:rsidRPr="00B75436" w:rsidRDefault="00B70090" w:rsidP="00B70090">
      <w:pPr>
        <w:spacing w:after="0" w:line="240" w:lineRule="auto"/>
        <w:jc w:val="both"/>
        <w:rPr>
          <w:rFonts w:ascii="Verdana" w:eastAsia="Times New Roman" w:hAnsi="Verdana" w:cs="Arial"/>
          <w:color w:val="000099"/>
          <w:lang w:eastAsia="fr-FR"/>
        </w:rPr>
      </w:pPr>
    </w:p>
    <w:p w:rsidR="00B75436" w:rsidRPr="00B75436" w:rsidRDefault="00B75436" w:rsidP="00B75436">
      <w:pPr>
        <w:spacing w:after="0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D47647">
        <w:rPr>
          <w:rFonts w:ascii="Verdana" w:hAnsi="Verdana"/>
          <w:b/>
          <w:color w:val="000000" w:themeColor="text1"/>
        </w:rPr>
        <w:t xml:space="preserve">La crise </w:t>
      </w:r>
      <w:r w:rsidR="00D47647" w:rsidRPr="00D47647">
        <w:rPr>
          <w:rFonts w:ascii="Verdana" w:hAnsi="Verdana"/>
          <w:b/>
          <w:color w:val="000000" w:themeColor="text1"/>
        </w:rPr>
        <w:t>pandémique ne justifie pas tout !</w:t>
      </w:r>
      <w:r w:rsidRPr="00B75436">
        <w:rPr>
          <w:rFonts w:ascii="Verdana" w:hAnsi="Verdana"/>
          <w:color w:val="000000" w:themeColor="text1"/>
        </w:rPr>
        <w:t xml:space="preserve"> </w:t>
      </w:r>
      <w:bookmarkStart w:id="0" w:name="_GoBack"/>
      <w:bookmarkEnd w:id="0"/>
      <w:r w:rsidRPr="00B75436">
        <w:rPr>
          <w:rFonts w:ascii="Verdana" w:hAnsi="Verdana"/>
          <w:color w:val="000000" w:themeColor="text1"/>
        </w:rPr>
        <w:t xml:space="preserve">Elle ne justifie pas </w:t>
      </w:r>
      <w:r w:rsidRPr="00B75436">
        <w:rPr>
          <w:rFonts w:ascii="Verdana" w:hAnsi="Verdana"/>
          <w:b/>
          <w:color w:val="E36C0A" w:themeColor="accent6" w:themeShade="BF"/>
        </w:rPr>
        <w:t>l’opacité qui s’installe actuellement en matière d’attribution des primes</w:t>
      </w:r>
      <w:r w:rsidRPr="00B75436">
        <w:rPr>
          <w:rFonts w:ascii="Verdana" w:hAnsi="Verdana"/>
          <w:color w:val="000000" w:themeColor="text1"/>
        </w:rPr>
        <w:t xml:space="preserve"> –CIA, « prime Covid »- et d’évolution des carrières. Elle ne justifie pas que l’évaluation des agents s’effectuera cette année hors de tout cadre, en toute illégalité et sans même échanger avec les agents concernés.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 xml:space="preserve">Car c’est bien ce qu’il se passe, au tournant de l’été et dans la discrétion du déconfinement progressif : les parts de CIA et de prime covid sont sur le point d’être distribuées (« modulées » faut-il dire) de manière discrétionnaire, sans échange avec les agents, </w:t>
      </w:r>
      <w:r w:rsidRPr="00B75436">
        <w:rPr>
          <w:rFonts w:ascii="Verdana" w:hAnsi="Verdana"/>
          <w:b/>
          <w:color w:val="E36C0A" w:themeColor="accent6" w:themeShade="BF"/>
        </w:rPr>
        <w:t>dans le secret des petits comités</w:t>
      </w:r>
      <w:r w:rsidRPr="00B75436">
        <w:rPr>
          <w:rFonts w:ascii="Verdana" w:hAnsi="Verdana"/>
          <w:color w:val="E36C0A" w:themeColor="accent6" w:themeShade="BF"/>
        </w:rPr>
        <w:t xml:space="preserve"> </w:t>
      </w:r>
      <w:r w:rsidRPr="00B75436">
        <w:rPr>
          <w:rFonts w:ascii="Verdana" w:hAnsi="Verdana"/>
          <w:color w:val="000000" w:themeColor="text1"/>
        </w:rPr>
        <w:t>et</w:t>
      </w:r>
      <w:r>
        <w:rPr>
          <w:rFonts w:ascii="Verdana" w:hAnsi="Verdana"/>
          <w:color w:val="000000" w:themeColor="text1"/>
        </w:rPr>
        <w:t xml:space="preserve"> dans l’urgence</w:t>
      </w:r>
      <w:r w:rsidRPr="00B75436">
        <w:rPr>
          <w:rFonts w:ascii="Verdana" w:hAnsi="Verdana"/>
          <w:color w:val="000000" w:themeColor="text1"/>
        </w:rPr>
        <w:t xml:space="preserve"> (</w:t>
      </w:r>
      <w:r w:rsidRPr="00B75436">
        <w:rPr>
          <w:rFonts w:ascii="Verdana" w:hAnsi="Verdana"/>
          <w:i/>
          <w:color w:val="000000" w:themeColor="text1"/>
        </w:rPr>
        <w:t>voir instruction du 22 juin 2020 prime covid ).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br/>
        <w:t>Urgence y avait-il ? Nous le contestons, et nous y voyons plutôt la confirmation, une fois de plus, de l’incompétence de ce ministère à gérer ses agents.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b/>
          <w:color w:val="E36C0A" w:themeColor="accent6" w:themeShade="BF"/>
        </w:rPr>
        <w:t>Cette incompétence en matière de RH est connue</w:t>
      </w:r>
      <w:r w:rsidRPr="00B75436">
        <w:rPr>
          <w:rFonts w:ascii="Verdana" w:hAnsi="Verdana"/>
          <w:color w:val="000000" w:themeColor="text1"/>
        </w:rPr>
        <w:t>, la Cour des Comptes l’a précisément identifiée dans son dernier rapport rendu public (« </w:t>
      </w:r>
      <w:r w:rsidRPr="00B75436">
        <w:rPr>
          <w:rFonts w:ascii="Verdana" w:hAnsi="Verdana"/>
          <w:i/>
          <w:color w:val="000000" w:themeColor="text1"/>
        </w:rPr>
        <w:t>Bilan de la transformation de l’inspection du travail </w:t>
      </w:r>
      <w:r w:rsidRPr="00B75436">
        <w:rPr>
          <w:rFonts w:ascii="Verdana" w:hAnsi="Verdana"/>
          <w:color w:val="000000" w:themeColor="text1"/>
        </w:rPr>
        <w:t>») : « l’absence de stratégie des ressources humaines » a été « dommageable » pour tous les acteurs des services concernés.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 xml:space="preserve">Ceux pour qui la gestion RH n’est jamais que du « flicage » se satisferont peut-être de cette politique du pire. Pas nous ! 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b/>
          <w:color w:val="E36C0A" w:themeColor="accent6" w:themeShade="BF"/>
        </w:rPr>
        <w:t>Nous estimons au contraire que l’attribution des parties variables des rémunérations doit être fondée sur des critères connus à l’avance</w:t>
      </w:r>
      <w:r w:rsidRPr="00B75436">
        <w:rPr>
          <w:rFonts w:ascii="Verdana" w:hAnsi="Verdana"/>
          <w:color w:val="E36C0A" w:themeColor="accent6" w:themeShade="BF"/>
        </w:rPr>
        <w:t xml:space="preserve"> </w:t>
      </w:r>
      <w:r w:rsidRPr="00B75436">
        <w:rPr>
          <w:rFonts w:ascii="Verdana" w:hAnsi="Verdana"/>
          <w:color w:val="000000" w:themeColor="text1"/>
        </w:rPr>
        <w:t xml:space="preserve">des agents et discutés avec eux, et que les décisions d’attribution doivent s’inscrire dans des procédures contradictoires, ouvrant  le cas échéant à recours. 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>Avec l’opacité actuelle, c’est tout le contraire, elle est source de méfiance et de démotivation. Ce n’est pas la meilleure manière de diriger un service public à l’heure où la pression du résultat se fait toujours plus sentir.</w:t>
      </w:r>
    </w:p>
    <w:p w:rsidR="00D47647" w:rsidRPr="00B75436" w:rsidRDefault="00D47647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D47647" w:rsidRDefault="00B75436" w:rsidP="00B75436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 w:rsidRPr="00D47647">
        <w:rPr>
          <w:rFonts w:ascii="Verdana" w:hAnsi="Verdana"/>
          <w:b/>
          <w:color w:val="E36C0A" w:themeColor="accent6" w:themeShade="BF"/>
        </w:rPr>
        <w:t>La suppression pour 2020 des entretiens professionnels à elle seule est un exemple flagrant de la déliquescence de la politique des ressources humaines au ministère et du management à l’aveugle qu’elle occasionne.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>Le guide DRH des ministères sociaux de janvier 2010 n’avait pourtant pas de mot assez fort pour exprimer toute l’importance qui doit être accordée à cette procédure : « acte essentiel de management », « moment capital de diagnostic pour le développement de l’agent, de l’équipe et du service », « temps essentiel », « moment d’échange privilégié »…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>Nous, naïvement, on prenait ça pour argent comptant, on se disait  celui qui a écrit ça, a l’air de croire en ce qu’il dit, il sait de quoi il parle. On croyait aussi que le décret N°2010-888 du 28 juillet 2010 relatif aux conditions générales de l’appréciation de la valeur professionnelle des fonctionnaires de l’Etat avait valeur…règlementaire, et notamment son article 2 : « le fonctionnaire bénéficie chaque année d’un entretien professionnel qui donne lieu à compte rendu ».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>Patatra ! Au détour d’une note en bas de page (plus précisément quelques lignes dans la FAQ-Dialogue social), l’année 2020 est décrétée « année blanche en termes d’entretiens professionnels ». 2020 année blanche ? Pour être exact ce sont 2 années blanches : pas d’échange avec les agents pour leur activité 2019, pas plus qu’il n’y en aura en 2021 pour 2020, faute d’objectifs fixés !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b/>
          <w:color w:val="E36C0A" w:themeColor="accent6" w:themeShade="BF"/>
        </w:rPr>
        <w:t>La suppression de cette procédure risque d’être ressentie par les agents comme un déni de reconnaissance de leur travail et de leur implication.</w:t>
      </w:r>
      <w:r w:rsidRPr="00B75436">
        <w:rPr>
          <w:rFonts w:ascii="Verdana" w:hAnsi="Verdana"/>
          <w:color w:val="000000" w:themeColor="text1"/>
        </w:rPr>
        <w:t xml:space="preserve"> Elle introduit une inégalité de traitement entre ceux ayant bénéficié de leur EP (plus de 25% des agents) et les autres. Elle compromet pour ces derniers les possibilités d’avancement et de mobilité hors ministère faute de CREP (compte-rendu). Elle porte atteinte au principe et au bon déroulement des actions collectives. Elle prive les services d’un outil de lutte contre les discriminations, adossé au Label Diversité.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>L’EP n’est-il pas aussi cet « outil de prévention des conflits et des situations de mal-être » tel que l’indique le guide précité ? Dans le contexte d’isolement professionnel subi par les agents ces derniers mois, les EPs ne doivent-ils pas être utilisés pour être à l’écoute des agents et aider les équipes à se rassembler?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>On voit bien que derrière ces procédures, parfois décriées, il y a des droits, ceux des agents, et il y a un statut. Le contournement de ces procédures affaiblit les droits des agents, dégrade leurs conditions de travail et les expose à des décisions arbitraires.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b/>
          <w:color w:val="E36C0A" w:themeColor="accent6" w:themeShade="BF"/>
        </w:rPr>
      </w:pPr>
      <w:r w:rsidRPr="00B75436">
        <w:rPr>
          <w:rFonts w:ascii="Verdana" w:hAnsi="Verdana"/>
          <w:b/>
          <w:color w:val="E36C0A" w:themeColor="accent6" w:themeShade="BF"/>
        </w:rPr>
        <w:t xml:space="preserve">Le contournement des procédures entretient aussi des situations de désorganisation des services, dont il faut s’inquiéter. 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>Car la désorganisation récurrente des services n’est pas sans donner des idées à ceux qui voudraient, une fois de plus…réorganiser !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>Ce n’est pas une vue de l’esprit : les réformes et réorganisations n’ont cessé de s’enchaîner ces dernières années, et pour autant les rapports successifs (Commission des Finances du Sénat, Cour des Comptes) restent très critiques quant à l’état de notre administration.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  <w:r w:rsidRPr="00B75436">
        <w:rPr>
          <w:rFonts w:ascii="Verdana" w:hAnsi="Verdana"/>
          <w:color w:val="000000" w:themeColor="text1"/>
        </w:rPr>
        <w:t>Notre DGT a lui-même évoqué (en mode menace ?) la possibilité d’une réorganisation des services territoriaux du SIT</w:t>
      </w:r>
      <w:r>
        <w:rPr>
          <w:rFonts w:ascii="Verdana" w:hAnsi="Verdana"/>
          <w:color w:val="000000" w:themeColor="text1"/>
        </w:rPr>
        <w:t xml:space="preserve"> </w:t>
      </w:r>
      <w:r w:rsidRPr="00B75436">
        <w:rPr>
          <w:rFonts w:ascii="Verdana" w:hAnsi="Verdana"/>
          <w:color w:val="000000" w:themeColor="text1"/>
        </w:rPr>
        <w:t xml:space="preserve">(voir sa </w:t>
      </w:r>
      <w:r w:rsidRPr="00B75436">
        <w:rPr>
          <w:rFonts w:ascii="Verdana" w:hAnsi="Verdana"/>
          <w:i/>
          <w:color w:val="000000" w:themeColor="text1"/>
        </w:rPr>
        <w:t>lettre aux agents du 4 mars 2019).</w:t>
      </w:r>
    </w:p>
    <w:p w:rsidR="00B75436" w:rsidRPr="00B75436" w:rsidRDefault="00B75436" w:rsidP="00B75436">
      <w:pPr>
        <w:spacing w:after="0"/>
        <w:jc w:val="both"/>
        <w:rPr>
          <w:rFonts w:ascii="Verdana" w:hAnsi="Verdana"/>
          <w:color w:val="000000" w:themeColor="text1"/>
        </w:rPr>
      </w:pPr>
    </w:p>
    <w:p w:rsidR="00B75436" w:rsidRPr="00D47647" w:rsidRDefault="00B75436" w:rsidP="00B75436">
      <w:pPr>
        <w:spacing w:after="0"/>
        <w:jc w:val="both"/>
        <w:rPr>
          <w:rFonts w:ascii="Verdana" w:hAnsi="Verdana"/>
          <w:b/>
          <w:color w:val="000000" w:themeColor="text1"/>
        </w:rPr>
      </w:pPr>
      <w:r w:rsidRPr="00D47647">
        <w:rPr>
          <w:rFonts w:ascii="Verdana" w:hAnsi="Verdana"/>
          <w:b/>
          <w:color w:val="000000" w:themeColor="text1"/>
        </w:rPr>
        <w:t>Organiser, désorganiser, réorganiser, les agents sont las de cette instabilité, dont on ne se donne même pas la peine à ce jour de mesurer les effets.</w:t>
      </w:r>
    </w:p>
    <w:p w:rsidR="00B75436" w:rsidRPr="00D47647" w:rsidRDefault="00B75436" w:rsidP="00B75436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B75436" w:rsidRPr="00D47647" w:rsidRDefault="00B75436" w:rsidP="00B75436">
      <w:pPr>
        <w:spacing w:after="0"/>
        <w:jc w:val="both"/>
        <w:rPr>
          <w:rFonts w:ascii="Verdana" w:hAnsi="Verdana"/>
          <w:b/>
          <w:color w:val="000000" w:themeColor="text1"/>
        </w:rPr>
      </w:pPr>
      <w:r w:rsidRPr="00D47647">
        <w:rPr>
          <w:rFonts w:ascii="Verdana" w:hAnsi="Verdana"/>
          <w:b/>
          <w:color w:val="000000" w:themeColor="text1"/>
        </w:rPr>
        <w:t xml:space="preserve">Il est effectivement urgent, comme le souligne la Cour des Comptes, de rebâtir une véritable politique des ressources humaines, qui respecte les agents et tient ses engagements. </w:t>
      </w:r>
    </w:p>
    <w:sectPr w:rsidR="00B75436" w:rsidRPr="00D47647" w:rsidSect="00B70090">
      <w:footerReference w:type="default" r:id="rId12"/>
      <w:pgSz w:w="11906" w:h="16838"/>
      <w:pgMar w:top="284" w:right="1417" w:bottom="993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F4" w:rsidRDefault="000371F4" w:rsidP="0057402C">
      <w:pPr>
        <w:spacing w:after="0" w:line="240" w:lineRule="auto"/>
      </w:pPr>
      <w:r>
        <w:separator/>
      </w:r>
    </w:p>
  </w:endnote>
  <w:endnote w:type="continuationSeparator" w:id="0">
    <w:p w:rsidR="000371F4" w:rsidRDefault="000371F4" w:rsidP="0057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20" w:rsidRDefault="000371F4" w:rsidP="00EA1E20">
    <w:pPr>
      <w:pStyle w:val="Pieddepage"/>
      <w:pBdr>
        <w:bottom w:val="single" w:sz="4" w:space="1" w:color="auto"/>
      </w:pBdr>
    </w:pPr>
  </w:p>
  <w:p w:rsidR="00EA1E20" w:rsidRPr="00EA1E20" w:rsidRDefault="009876FB" w:rsidP="00EA1E20">
    <w:pPr>
      <w:pStyle w:val="Pieddepage"/>
      <w:pBdr>
        <w:bottom w:val="single" w:sz="4" w:space="1" w:color="auto"/>
      </w:pBdr>
      <w:jc w:val="center"/>
      <w:rPr>
        <w:b/>
        <w:color w:val="000099"/>
      </w:rPr>
    </w:pPr>
    <w:r w:rsidRPr="00EA1E20">
      <w:rPr>
        <w:b/>
        <w:color w:val="000099"/>
      </w:rPr>
      <w:t>SYNTEF-CFDT –14, AVENUE DUQUESNE –75350 PARIS SP 07</w:t>
    </w:r>
  </w:p>
  <w:p w:rsidR="00CF1F1E" w:rsidRPr="00CF1F1E" w:rsidRDefault="009876FB">
    <w:pPr>
      <w:pStyle w:val="Pieddepage"/>
      <w:rPr>
        <w:b/>
        <w:color w:val="000099"/>
      </w:rPr>
    </w:pPr>
    <w:r w:rsidRPr="00EA1E20">
      <w:rPr>
        <w:b/>
        <w:color w:val="000099"/>
      </w:rPr>
      <w:t xml:space="preserve">Tel : 01 44 38 29 20 Le Blog : </w:t>
    </w:r>
    <w:hyperlink r:id="rId1" w:history="1">
      <w:r w:rsidRPr="00EA1E20">
        <w:rPr>
          <w:rStyle w:val="Lienhypertexte"/>
          <w:b/>
          <w:color w:val="000099"/>
        </w:rPr>
        <w:t>www.syntef-cfdt.com</w:t>
      </w:r>
    </w:hyperlink>
    <w:r w:rsidRPr="00EA1E20">
      <w:rPr>
        <w:b/>
        <w:color w:val="000099"/>
      </w:rPr>
      <w:t xml:space="preserve"> E-mail :  </w:t>
    </w:r>
    <w:hyperlink r:id="rId2" w:history="1">
      <w:r w:rsidRPr="00EA1E20">
        <w:rPr>
          <w:rStyle w:val="Lienhypertexte"/>
          <w:b/>
          <w:color w:val="000099"/>
        </w:rPr>
        <w:t>syndicat.cfdt@cfdt.travail.gouv.fr</w:t>
      </w:r>
    </w:hyperlink>
    <w:r w:rsidRPr="00EA1E20">
      <w:rPr>
        <w:b/>
        <w:color w:val="00009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F4" w:rsidRDefault="000371F4" w:rsidP="0057402C">
      <w:pPr>
        <w:spacing w:after="0" w:line="240" w:lineRule="auto"/>
      </w:pPr>
      <w:r>
        <w:separator/>
      </w:r>
    </w:p>
  </w:footnote>
  <w:footnote w:type="continuationSeparator" w:id="0">
    <w:p w:rsidR="000371F4" w:rsidRDefault="000371F4" w:rsidP="0057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67CC"/>
      </v:shape>
    </w:pict>
  </w:numPicBullet>
  <w:abstractNum w:abstractNumId="0">
    <w:nsid w:val="42894C8B"/>
    <w:multiLevelType w:val="hybridMultilevel"/>
    <w:tmpl w:val="4C863A3E"/>
    <w:lvl w:ilvl="0" w:tplc="4B5439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55863"/>
    <w:multiLevelType w:val="hybridMultilevel"/>
    <w:tmpl w:val="36BE73DE"/>
    <w:lvl w:ilvl="0" w:tplc="0068CD38">
      <w:start w:val="1"/>
      <w:numFmt w:val="bullet"/>
      <w:lvlText w:val="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126F7"/>
    <w:multiLevelType w:val="hybridMultilevel"/>
    <w:tmpl w:val="7C2410CE"/>
    <w:lvl w:ilvl="0" w:tplc="F6F25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97DA9"/>
    <w:multiLevelType w:val="hybridMultilevel"/>
    <w:tmpl w:val="082242CA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B2"/>
    <w:rsid w:val="00026D8D"/>
    <w:rsid w:val="000371F4"/>
    <w:rsid w:val="0005533C"/>
    <w:rsid w:val="001002D0"/>
    <w:rsid w:val="00254F4F"/>
    <w:rsid w:val="00276965"/>
    <w:rsid w:val="002B4A9B"/>
    <w:rsid w:val="003F7715"/>
    <w:rsid w:val="0047524F"/>
    <w:rsid w:val="004F1375"/>
    <w:rsid w:val="00517C1C"/>
    <w:rsid w:val="0053435D"/>
    <w:rsid w:val="0057402C"/>
    <w:rsid w:val="0064652D"/>
    <w:rsid w:val="00654B4E"/>
    <w:rsid w:val="007413B2"/>
    <w:rsid w:val="0076598A"/>
    <w:rsid w:val="00820C47"/>
    <w:rsid w:val="009876FB"/>
    <w:rsid w:val="009E6D44"/>
    <w:rsid w:val="00B70090"/>
    <w:rsid w:val="00B75436"/>
    <w:rsid w:val="00BA73AC"/>
    <w:rsid w:val="00D47647"/>
    <w:rsid w:val="00DF7279"/>
    <w:rsid w:val="00ED5AA0"/>
    <w:rsid w:val="00F26887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B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3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4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3B2"/>
  </w:style>
  <w:style w:type="character" w:styleId="Lienhypertexte">
    <w:name w:val="Hyperlink"/>
    <w:basedOn w:val="Policepardfaut"/>
    <w:uiPriority w:val="99"/>
    <w:unhideWhenUsed/>
    <w:rsid w:val="007413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B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7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B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3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4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3B2"/>
  </w:style>
  <w:style w:type="character" w:styleId="Lienhypertexte">
    <w:name w:val="Hyperlink"/>
    <w:basedOn w:val="Policepardfaut"/>
    <w:uiPriority w:val="99"/>
    <w:unhideWhenUsed/>
    <w:rsid w:val="007413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B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7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ndicat.cfdt@travail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ntef-cfd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ndicat.cfdt@cfdt.travail.gouv.fr" TargetMode="External"/><Relationship Id="rId1" Type="http://schemas.openxmlformats.org/officeDocument/2006/relationships/hyperlink" Target="http://www.syntef-cfd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JANNES Henry (UD075)</cp:lastModifiedBy>
  <cp:revision>4</cp:revision>
  <dcterms:created xsi:type="dcterms:W3CDTF">2020-07-10T14:41:00Z</dcterms:created>
  <dcterms:modified xsi:type="dcterms:W3CDTF">2020-07-10T14:57:00Z</dcterms:modified>
</cp:coreProperties>
</file>