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74963739" w:rsidP="3A857121" w:rsidRDefault="74963739" w14:paraId="45DA85CB" w14:textId="1ACD0D53">
      <w:pPr>
        <w:pStyle w:val="Normal"/>
        <w:jc w:val="left"/>
      </w:pPr>
      <w:r w:rsidR="74963739">
        <w:drawing>
          <wp:inline wp14:editId="445DBF7A" wp14:anchorId="78FF9707">
            <wp:extent cx="1400175" cy="1304925"/>
            <wp:effectExtent l="0" t="0" r="0" b="0"/>
            <wp:docPr id="267107450" name="" title=""/>
            <wp:cNvGraphicFramePr>
              <a:graphicFrameLocks noChangeAspect="1"/>
            </wp:cNvGraphicFramePr>
            <a:graphic>
              <a:graphicData uri="http://schemas.openxmlformats.org/drawingml/2006/picture">
                <pic:pic>
                  <pic:nvPicPr>
                    <pic:cNvPr id="0" name=""/>
                    <pic:cNvPicPr/>
                  </pic:nvPicPr>
                  <pic:blipFill>
                    <a:blip r:embed="R4fb513ad23fd469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400175" cy="1304925"/>
                    </a:xfrm>
                    <a:prstGeom xmlns:a="http://schemas.openxmlformats.org/drawingml/2006/main" prst="rect">
                      <a:avLst/>
                    </a:prstGeom>
                  </pic:spPr>
                </pic:pic>
              </a:graphicData>
            </a:graphic>
          </wp:inline>
        </w:drawing>
      </w:r>
    </w:p>
    <w:p w:rsidR="74963739" w:rsidP="18175F3D" w:rsidRDefault="74963739" w14:paraId="12DD3F62" w14:textId="3DDD4F95">
      <w:pPr>
        <w:pStyle w:val="Texte"/>
        <w:spacing w:before="360" w:line="312" w:lineRule="auto"/>
        <w:jc w:val="center"/>
        <w:rPr>
          <w:rFonts w:ascii="Arial" w:hAnsi="Arial" w:eastAsia="Calibri" w:cs="Arial"/>
          <w:b w:val="1"/>
          <w:bCs w:val="1"/>
          <w:noProof w:val="0"/>
          <w:sz w:val="24"/>
          <w:szCs w:val="24"/>
          <w:lang w:val="fr-FR"/>
        </w:rPr>
      </w:pPr>
      <w:r w:rsidRPr="18175F3D" w:rsidR="74963739">
        <w:rPr>
          <w:rFonts w:ascii="Arial" w:hAnsi="Arial" w:eastAsia="Calibri" w:cs="Arial"/>
          <w:b w:val="1"/>
          <w:bCs w:val="1"/>
          <w:sz w:val="24"/>
          <w:szCs w:val="24"/>
        </w:rPr>
        <w:t>AVIS DE LA COMMISSION ECONOMIQUE SUR LA SITUATION ECONOMIQUE ET FINANCIERE DE GROUPAMA ASSURANCES MUTUELLES</w:t>
      </w:r>
      <w:r w:rsidRPr="18175F3D" w:rsidR="2F228DF9">
        <w:rPr>
          <w:rFonts w:ascii="Arial" w:hAnsi="Arial" w:eastAsia="Calibri" w:cs="Arial" w:asciiTheme="minorAscii" w:hAnsiTheme="minorAscii"/>
          <w:b w:val="1"/>
          <w:bCs w:val="1"/>
          <w:noProof w:val="0"/>
          <w:sz w:val="24"/>
          <w:szCs w:val="24"/>
          <w:lang w:val="fr-FR" w:eastAsia="en-US"/>
        </w:rPr>
        <w:t xml:space="preserve"> </w:t>
      </w:r>
      <w:r>
        <w:br/>
      </w:r>
      <w:r w:rsidRPr="18175F3D" w:rsidR="2F228DF9">
        <w:rPr>
          <w:rFonts w:ascii="Arial" w:hAnsi="Arial" w:eastAsia="Calibri" w:cs="Arial" w:asciiTheme="minorAscii" w:hAnsiTheme="minorAscii"/>
          <w:b w:val="1"/>
          <w:bCs w:val="1"/>
          <w:noProof w:val="0"/>
          <w:sz w:val="24"/>
          <w:szCs w:val="24"/>
          <w:lang w:val="fr-FR" w:eastAsia="en-US"/>
        </w:rPr>
        <w:t>à fin 2021 et perspectives 2022</w:t>
      </w:r>
    </w:p>
    <w:p w:rsidR="74963739" w:rsidP="3A857121" w:rsidRDefault="74963739" w14:paraId="6085451C" w14:textId="68458A78">
      <w:pPr>
        <w:pStyle w:val="Normal"/>
        <w:jc w:val="center"/>
        <w:rPr>
          <w:rFonts w:ascii="Arial" w:hAnsi="Arial" w:eastAsia="Calibri" w:cs="Arial"/>
          <w:b w:val="1"/>
          <w:bCs w:val="1"/>
          <w:sz w:val="24"/>
          <w:szCs w:val="24"/>
        </w:rPr>
      </w:pPr>
    </w:p>
    <w:p w:rsidR="3A857121" w:rsidP="18175F3D" w:rsidRDefault="3A857121" w14:paraId="4F6BBB97" w14:textId="7078F640">
      <w:pPr>
        <w:pStyle w:val="Texte"/>
        <w:spacing w:before="360" w:line="312" w:lineRule="auto"/>
        <w:jc w:val="left"/>
        <w:rPr>
          <w:rFonts w:ascii="Book Antiqua" w:hAnsi="Book Antiqua" w:eastAsia="Book Antiqua" w:cs="Book Antiqua"/>
          <w:b w:val="0"/>
          <w:bCs w:val="0"/>
          <w:i w:val="0"/>
          <w:iCs w:val="0"/>
          <w:caps w:val="0"/>
          <w:smallCaps w:val="0"/>
          <w:noProof w:val="0"/>
          <w:color w:val="000000" w:themeColor="text1" w:themeTint="FF" w:themeShade="FF"/>
          <w:sz w:val="22"/>
          <w:szCs w:val="22"/>
          <w:lang w:val="fr-FR"/>
        </w:rPr>
      </w:pPr>
      <w:r w:rsidRPr="18175F3D" w:rsidR="2F228DF9">
        <w:rPr>
          <w:rFonts w:ascii="Book Antiqua" w:hAnsi="Book Antiqua" w:eastAsia="Book Antiqua" w:cs="Book Antiqua"/>
          <w:b w:val="1"/>
          <w:bCs w:val="1"/>
          <w:i w:val="0"/>
          <w:iCs w:val="0"/>
          <w:caps w:val="0"/>
          <w:smallCaps w:val="0"/>
          <w:noProof w:val="0"/>
          <w:color w:val="000000" w:themeColor="text1" w:themeTint="FF" w:themeShade="FF"/>
          <w:sz w:val="22"/>
          <w:szCs w:val="22"/>
          <w:lang w:val="fr-FR"/>
        </w:rPr>
        <w:t xml:space="preserve"> </w:t>
      </w:r>
      <w:r w:rsidRPr="18175F3D" w:rsidR="2F228DF9">
        <w:rPr>
          <w:rFonts w:ascii="Book Antiqua" w:hAnsi="Book Antiqua" w:eastAsia="Book Antiqua" w:cs="Book Antiqua"/>
          <w:b w:val="0"/>
          <w:bCs w:val="0"/>
          <w:i w:val="0"/>
          <w:iCs w:val="0"/>
          <w:caps w:val="0"/>
          <w:smallCaps w:val="0"/>
          <w:noProof w:val="0"/>
          <w:color w:val="000000" w:themeColor="text1" w:themeTint="FF" w:themeShade="FF"/>
          <w:sz w:val="22"/>
          <w:szCs w:val="22"/>
          <w:lang w:val="fr-FR"/>
        </w:rPr>
        <w:t>L’année 2021 a été une année de qualité pour Groupama (et pour l’ensemble des assureurs en France) avec un résultat opérationnel économique élevé à 461 M€ bien supérieur à la cible de 300/350 M€ visée par le groupe. Cette année 2021 fait suite à une année 2020 marquée par la crise Covid que Groupama avait traversé relativement « sereinement ». Cette très belle année lui a permis de poursuivre le renforcement de ses fonds propres et de sa marge de solvabilité désormais au niveau confortable de 183 % (hors MT). A noter que ce renforcement s’est construit sans « aide » de plus-values exceptionnelles comme en 2019 avec la vente de l’immeuble « Nike ».</w:t>
      </w:r>
    </w:p>
    <w:p w:rsidR="3A857121" w:rsidP="18175F3D" w:rsidRDefault="3A857121" w14:paraId="2A6A705F" w14:textId="0DAC5B5B">
      <w:pPr>
        <w:pStyle w:val="Texte"/>
        <w:spacing w:before="360" w:line="312" w:lineRule="auto"/>
        <w:jc w:val="both"/>
        <w:rPr>
          <w:rFonts w:ascii="Book Antiqua" w:hAnsi="Book Antiqua" w:eastAsia="Book Antiqua" w:cs="Book Antiqua"/>
          <w:b w:val="0"/>
          <w:bCs w:val="0"/>
          <w:i w:val="0"/>
          <w:iCs w:val="0"/>
          <w:caps w:val="0"/>
          <w:smallCaps w:val="0"/>
          <w:noProof w:val="0"/>
          <w:color w:val="000000" w:themeColor="text1" w:themeTint="FF" w:themeShade="FF"/>
          <w:sz w:val="22"/>
          <w:szCs w:val="22"/>
          <w:lang w:val="fr-FR"/>
        </w:rPr>
      </w:pPr>
      <w:r w:rsidRPr="18175F3D" w:rsidR="2F228DF9">
        <w:rPr>
          <w:rFonts w:ascii="Book Antiqua" w:hAnsi="Book Antiqua" w:eastAsia="Book Antiqua" w:cs="Book Antiqua"/>
          <w:b w:val="0"/>
          <w:bCs w:val="0"/>
          <w:i w:val="0"/>
          <w:iCs w:val="0"/>
          <w:caps w:val="0"/>
          <w:smallCaps w:val="0"/>
          <w:noProof w:val="0"/>
          <w:color w:val="000000" w:themeColor="text1" w:themeTint="FF" w:themeShade="FF"/>
          <w:sz w:val="22"/>
          <w:szCs w:val="22"/>
          <w:lang w:val="fr-FR"/>
        </w:rPr>
        <w:t>Pour GMA, alors que l’année 2020 avait été « difficile » sur le plan économique avec une sinistralité d’intensité très lourde qui avait pesé logiquement sur son activité de réassurance, l’année 2021 a rebondi fortement avec une activité de réassurance qui a généré un résultat de 106 M€ vs -60 M€ en 2020 et un ratio combiné s’inscrivant à un très bon niveau à 94,5% (vs 97,1% en 2020). Certes, GMA a bénéficié d’éléments exceptionnels avec le dégagement de boni sur antérieurs anciens mais l’entreprise reste largement pénalisée par une nouvelle année exécrable pour la sinistralité en assurance-récoltes. Notons également que les CR et GMA vont commencer à récolter les fruits du plan de sécurisation de la marge technique lancé en décembre 2020 ciblant 5 métiers et avec des gains estimés à 65,5 M€ pour 2022.</w:t>
      </w:r>
    </w:p>
    <w:p w:rsidR="3A857121" w:rsidP="18175F3D" w:rsidRDefault="3A857121" w14:paraId="06C4D6AB" w14:textId="5C72827F">
      <w:pPr>
        <w:pStyle w:val="Texte"/>
        <w:spacing w:before="360" w:line="312" w:lineRule="auto"/>
        <w:jc w:val="both"/>
        <w:rPr>
          <w:rFonts w:ascii="Book Antiqua" w:hAnsi="Book Antiqua" w:eastAsia="Book Antiqua" w:cs="Book Antiqua"/>
          <w:b w:val="0"/>
          <w:bCs w:val="0"/>
          <w:i w:val="0"/>
          <w:iCs w:val="0"/>
          <w:caps w:val="0"/>
          <w:smallCaps w:val="0"/>
          <w:noProof w:val="0"/>
          <w:color w:val="000000" w:themeColor="text1" w:themeTint="FF" w:themeShade="FF"/>
          <w:sz w:val="22"/>
          <w:szCs w:val="22"/>
          <w:lang w:val="fr-FR"/>
        </w:rPr>
      </w:pPr>
      <w:r w:rsidRPr="18175F3D" w:rsidR="2F228DF9">
        <w:rPr>
          <w:rFonts w:ascii="Book Antiqua" w:hAnsi="Book Antiqua" w:eastAsia="Book Antiqua" w:cs="Book Antiqua"/>
          <w:b w:val="0"/>
          <w:bCs w:val="0"/>
          <w:i w:val="0"/>
          <w:iCs w:val="0"/>
          <w:caps w:val="0"/>
          <w:smallCaps w:val="0"/>
          <w:noProof w:val="0"/>
          <w:color w:val="000000" w:themeColor="text1" w:themeTint="FF" w:themeShade="FF"/>
          <w:sz w:val="22"/>
          <w:szCs w:val="22"/>
          <w:lang w:val="fr-FR"/>
        </w:rPr>
        <w:t>Le résultat net s’affiche en baisse à 89 M€ contre 145 M€ l’an dernier mais donne une vision en trompe l’œil puisque les années 2019 et 2020 avaient été portées par des dividendes exceptionnellement élevés par GHFP (provenant d’opérations de remontées de fonds propres non « créatrices de valeurs »), en 2021 le dividende est revenu à un niveau « normal », il reste néanmoins encore très largement dépendant des dividendes versés par GG Vie, Gan Assurances et la filiale italienne ayant encore besoin de leurs résultats pour renforcer leurs fonds propres.</w:t>
      </w:r>
    </w:p>
    <w:p w:rsidR="3A857121" w:rsidP="18175F3D" w:rsidRDefault="3A857121" w14:paraId="2210FFE6" w14:textId="30F84327">
      <w:pPr>
        <w:pStyle w:val="Texte"/>
        <w:spacing w:before="360" w:line="312" w:lineRule="auto"/>
        <w:jc w:val="both"/>
        <w:rPr>
          <w:rFonts w:ascii="Book Antiqua" w:hAnsi="Book Antiqua" w:eastAsia="Book Antiqua" w:cs="Book Antiqua"/>
          <w:b w:val="0"/>
          <w:bCs w:val="0"/>
          <w:i w:val="0"/>
          <w:iCs w:val="0"/>
          <w:caps w:val="0"/>
          <w:smallCaps w:val="0"/>
          <w:noProof w:val="0"/>
          <w:color w:val="000000" w:themeColor="text1" w:themeTint="FF" w:themeShade="FF"/>
          <w:sz w:val="22"/>
          <w:szCs w:val="22"/>
          <w:lang w:val="fr-FR"/>
        </w:rPr>
      </w:pPr>
      <w:r w:rsidRPr="18175F3D" w:rsidR="2F228DF9">
        <w:rPr>
          <w:rFonts w:ascii="Book Antiqua" w:hAnsi="Book Antiqua" w:eastAsia="Book Antiqua" w:cs="Book Antiqua"/>
          <w:b w:val="0"/>
          <w:bCs w:val="0"/>
          <w:i w:val="0"/>
          <w:iCs w:val="0"/>
          <w:caps w:val="0"/>
          <w:smallCaps w:val="0"/>
          <w:noProof w:val="0"/>
          <w:color w:val="000000" w:themeColor="text1" w:themeTint="FF" w:themeShade="FF"/>
          <w:sz w:val="22"/>
          <w:szCs w:val="22"/>
          <w:lang w:val="fr-FR"/>
        </w:rPr>
        <w:t>Alors que le CSE s’interrogeait l’année dernière sur le « devenir » de la participation dans Orange Bank, celle-ci a été cédée le 30 septembre avec une moins-value de cession de -32 M€ (pour une charge globale sur l’année de -54 M€). Même si l’accord de distribution de produits bancaires se poursuit jusqu’en 2028, la cession met fin à l’aventure bancaire entamée en 2002 avec la création de Groupama Banque, aventure qui aura coûté plusieurs centaines de millions d’euros au groupe. Même si le CSE considère que la décision de vendre la participation est une bonne chose, force est de constater que l’aventure avec Orange depuis 2016 est très loin d’avoir apporté tout ce qui avait été vanté par la direction lors de la création d’Orange Bank, et s’est soldée par un fiasco sur le plan financier (-234 M€ de Q/P de résultats d’Orange Bank entre 2016 et 2021 auxquels s’ajoute une moins-value de cession de -32 M€). Rappelons toutefois que GMA reste toujours sous « la menace » de pénalités à verser à Orange Bank, l’accord commercial étant en effet assorti d’obligations à respecter en termes de ventes de Desirio. Alors que le partenariat avec Renault/DIAC est en net retrait par rapport aux attentes, le CSE regrette que Groupama, à l’image d’Orange Bank, n’ait pas pu mettre en place des pénalités pour non-atteinte des objectifs.</w:t>
      </w:r>
    </w:p>
    <w:p w:rsidR="3A857121" w:rsidP="18175F3D" w:rsidRDefault="3A857121" w14:paraId="7872D01A" w14:textId="324E4C51">
      <w:pPr>
        <w:pStyle w:val="Texte"/>
        <w:spacing w:before="360" w:line="312" w:lineRule="auto"/>
        <w:jc w:val="both"/>
        <w:rPr>
          <w:rFonts w:ascii="Book Antiqua" w:hAnsi="Book Antiqua" w:eastAsia="Book Antiqua" w:cs="Book Antiqua"/>
          <w:b w:val="0"/>
          <w:bCs w:val="0"/>
          <w:i w:val="0"/>
          <w:iCs w:val="0"/>
          <w:caps w:val="0"/>
          <w:smallCaps w:val="0"/>
          <w:noProof w:val="0"/>
          <w:color w:val="000000" w:themeColor="text1" w:themeTint="FF" w:themeShade="FF"/>
          <w:sz w:val="22"/>
          <w:szCs w:val="22"/>
          <w:lang w:val="fr-FR"/>
        </w:rPr>
      </w:pPr>
      <w:r w:rsidRPr="18175F3D" w:rsidR="2F228DF9">
        <w:rPr>
          <w:rFonts w:ascii="Book Antiqua" w:hAnsi="Book Antiqua" w:eastAsia="Book Antiqua" w:cs="Book Antiqua"/>
          <w:b w:val="0"/>
          <w:bCs w:val="0"/>
          <w:i w:val="0"/>
          <w:iCs w:val="0"/>
          <w:caps w:val="0"/>
          <w:smallCaps w:val="0"/>
          <w:noProof w:val="0"/>
          <w:color w:val="000000" w:themeColor="text1" w:themeTint="FF" w:themeShade="FF"/>
          <w:sz w:val="22"/>
          <w:szCs w:val="22"/>
          <w:lang w:val="fr-FR"/>
        </w:rPr>
        <w:t xml:space="preserve">Cette gestion bien dispendieuse contraste avec la volonté réaffirmée de l’entreprise de ne pas revaloriser collectivement pour la 11ème année consécutive les salaires alors même que l’année 2021 avait commencé à voir l’émergence d’un rebond de l’inflation. Les frais généraux de GMA sont ainsi restés stables et très en retrait par rapport au budget (368 M€ vs 390 M€) dans un contexte de très légère progression des effectifs (en ETP moyen) mais qui peine à suivre le plan de charges important de GMA. A contrario, nous observons une nouvelle croissance soutenue des honoraires de prestations externes qui ont été multipliés par 2,5 en l’espace de 5 ans pour atteindre 54,5 M€ en 2021 et qui pose de nombreuses interrogations : quelle capacité de pilotage de ces prestataires par les équipes GMA ? quelle capitalisation/transmission de savoirs avec les équipes de GMA ? Les qualités de prestations sont-elles en adéquation avec le coût des missions ? Le CSE souhaiterait comprendre quels sont les procédures, contrôles et pilotage applicables au recours aux prestataires sur un sujet dont les informations restent souvent bien difficiles à obtenir et lorsqu’elles le sont, restent empreintes d’une certaine opacité. Plus globalement, le CSE réitère la demande faite il y a 2 ans dans son avis sur la situation économique et financière de l’entreprise et restée sans réponse à ce jour. Cette demande concernait </w:t>
      </w:r>
      <w:r w:rsidRPr="18175F3D" w:rsidR="2F228DF9">
        <w:rPr>
          <w:rFonts w:ascii="Book Antiqua" w:hAnsi="Book Antiqua" w:eastAsia="Book Antiqua" w:cs="Book Antiqua"/>
          <w:b w:val="1"/>
          <w:bCs w:val="1"/>
          <w:i w:val="0"/>
          <w:iCs w:val="0"/>
          <w:caps w:val="0"/>
          <w:smallCaps w:val="0"/>
          <w:noProof w:val="0"/>
          <w:color w:val="000000" w:themeColor="text1" w:themeTint="FF" w:themeShade="FF"/>
          <w:sz w:val="22"/>
          <w:szCs w:val="22"/>
          <w:lang w:val="fr-FR"/>
        </w:rPr>
        <w:t>le souhait du CSE d’avoir, pour chaque projet d’une envergure d’importance</w:t>
      </w:r>
      <w:r w:rsidRPr="18175F3D" w:rsidR="2F228DF9">
        <w:rPr>
          <w:rFonts w:ascii="Book Antiqua" w:hAnsi="Book Antiqua" w:eastAsia="Book Antiqua" w:cs="Book Antiqua"/>
          <w:b w:val="0"/>
          <w:bCs w:val="0"/>
          <w:i w:val="0"/>
          <w:iCs w:val="0"/>
          <w:caps w:val="0"/>
          <w:smallCaps w:val="0"/>
          <w:noProof w:val="0"/>
          <w:color w:val="000000" w:themeColor="text1" w:themeTint="FF" w:themeShade="FF"/>
          <w:sz w:val="22"/>
          <w:szCs w:val="22"/>
          <w:lang w:val="fr-FR"/>
        </w:rPr>
        <w:t xml:space="preserve"> (par exemple avec un budget IT &gt; 500 K€), </w:t>
      </w:r>
      <w:r w:rsidRPr="18175F3D" w:rsidR="2F228DF9">
        <w:rPr>
          <w:rFonts w:ascii="Book Antiqua" w:hAnsi="Book Antiqua" w:eastAsia="Book Antiqua" w:cs="Book Antiqua"/>
          <w:b w:val="1"/>
          <w:bCs w:val="1"/>
          <w:i w:val="0"/>
          <w:iCs w:val="0"/>
          <w:caps w:val="0"/>
          <w:smallCaps w:val="0"/>
          <w:noProof w:val="0"/>
          <w:color w:val="000000" w:themeColor="text1" w:themeTint="FF" w:themeShade="FF"/>
          <w:sz w:val="22"/>
          <w:szCs w:val="22"/>
          <w:lang w:val="fr-FR"/>
        </w:rPr>
        <w:t>une « fiche » présentant notamment ses objectifs, les attentes</w:t>
      </w:r>
      <w:r w:rsidRPr="18175F3D" w:rsidR="2F228DF9">
        <w:rPr>
          <w:rFonts w:ascii="Book Antiqua" w:hAnsi="Book Antiqua" w:eastAsia="Book Antiqua" w:cs="Book Antiqua"/>
          <w:b w:val="0"/>
          <w:bCs w:val="0"/>
          <w:i w:val="0"/>
          <w:iCs w:val="0"/>
          <w:caps w:val="0"/>
          <w:smallCaps w:val="0"/>
          <w:noProof w:val="0"/>
          <w:color w:val="000000" w:themeColor="text1" w:themeTint="FF" w:themeShade="FF"/>
          <w:sz w:val="22"/>
          <w:szCs w:val="22"/>
          <w:lang w:val="fr-FR"/>
        </w:rPr>
        <w:t xml:space="preserve"> (vision client / vision utilisateur…), </w:t>
      </w:r>
      <w:r w:rsidRPr="18175F3D" w:rsidR="2F228DF9">
        <w:rPr>
          <w:rFonts w:ascii="Book Antiqua" w:hAnsi="Book Antiqua" w:eastAsia="Book Antiqua" w:cs="Book Antiqua"/>
          <w:b w:val="1"/>
          <w:bCs w:val="1"/>
          <w:i w:val="0"/>
          <w:iCs w:val="0"/>
          <w:caps w:val="0"/>
          <w:smallCaps w:val="0"/>
          <w:noProof w:val="0"/>
          <w:color w:val="000000" w:themeColor="text1" w:themeTint="FF" w:themeShade="FF"/>
          <w:sz w:val="22"/>
          <w:szCs w:val="22"/>
          <w:lang w:val="fr-FR"/>
        </w:rPr>
        <w:t xml:space="preserve">son budget et ses ressources </w:t>
      </w:r>
      <w:r w:rsidRPr="18175F3D" w:rsidR="2F228DF9">
        <w:rPr>
          <w:rFonts w:ascii="Book Antiqua" w:hAnsi="Book Antiqua" w:eastAsia="Book Antiqua" w:cs="Book Antiqua"/>
          <w:b w:val="0"/>
          <w:bCs w:val="0"/>
          <w:i w:val="0"/>
          <w:iCs w:val="0"/>
          <w:caps w:val="0"/>
          <w:smallCaps w:val="0"/>
          <w:noProof w:val="0"/>
          <w:color w:val="000000" w:themeColor="text1" w:themeTint="FF" w:themeShade="FF"/>
          <w:sz w:val="22"/>
          <w:szCs w:val="22"/>
          <w:lang w:val="fr-FR"/>
        </w:rPr>
        <w:t>(ressources GMA par direction, ressources G2S, prestataires externes…). Cela permettrait aux élus du CSE d’avoir une meilleure évaluation des ressources GMA ainsi qu’une meilleure anticipation et de « mesurer » l’intensité de l’activité au sein de GMA. Bien évidemment, cette « fiche » devra être actualisée jusqu’à la fin du projet et clôturée par un bilan (qualitatif et quantitatif) lorsque le projet aura été livré.</w:t>
      </w:r>
    </w:p>
    <w:p w:rsidR="3A857121" w:rsidP="18175F3D" w:rsidRDefault="3A857121" w14:paraId="79079945" w14:textId="482B4F1C">
      <w:pPr>
        <w:spacing w:before="360" w:line="312" w:lineRule="auto"/>
        <w:ind w:left="0"/>
        <w:jc w:val="both"/>
        <w:rPr>
          <w:rFonts w:ascii="Book Antiqua" w:hAnsi="Book Antiqua" w:eastAsia="Book Antiqua" w:cs="Book Antiqua"/>
          <w:b w:val="0"/>
          <w:bCs w:val="0"/>
          <w:i w:val="0"/>
          <w:iCs w:val="0"/>
          <w:caps w:val="0"/>
          <w:smallCaps w:val="0"/>
          <w:noProof w:val="0"/>
          <w:color w:val="000000" w:themeColor="text1" w:themeTint="FF" w:themeShade="FF"/>
          <w:sz w:val="22"/>
          <w:szCs w:val="22"/>
          <w:lang w:val="fr-FR"/>
        </w:rPr>
      </w:pPr>
    </w:p>
    <w:p w:rsidR="3A857121" w:rsidP="18175F3D" w:rsidRDefault="3A857121" w14:paraId="269A1F4A" w14:textId="5596AFAB">
      <w:pPr>
        <w:pStyle w:val="Texte"/>
        <w:spacing w:before="360" w:line="312" w:lineRule="auto"/>
        <w:ind w:left="360"/>
        <w:jc w:val="both"/>
        <w:rPr>
          <w:rFonts w:ascii="Book Antiqua" w:hAnsi="Book Antiqua" w:eastAsia="Book Antiqua" w:cs="Book Antiqua"/>
          <w:b w:val="0"/>
          <w:bCs w:val="0"/>
          <w:i w:val="0"/>
          <w:iCs w:val="0"/>
          <w:caps w:val="0"/>
          <w:smallCaps w:val="0"/>
          <w:noProof w:val="0"/>
          <w:color w:val="000000" w:themeColor="text1" w:themeTint="FF" w:themeShade="FF"/>
          <w:sz w:val="22"/>
          <w:szCs w:val="22"/>
          <w:lang w:val="fr-FR"/>
        </w:rPr>
      </w:pPr>
      <w:r w:rsidRPr="18175F3D" w:rsidR="2F228DF9">
        <w:rPr>
          <w:rFonts w:ascii="Book Antiqua" w:hAnsi="Book Antiqua" w:eastAsia="Book Antiqua" w:cs="Book Antiqua"/>
          <w:b w:val="0"/>
          <w:bCs w:val="0"/>
          <w:i w:val="0"/>
          <w:iCs w:val="0"/>
          <w:caps w:val="0"/>
          <w:smallCaps w:val="0"/>
          <w:noProof w:val="0"/>
          <w:color w:val="000000" w:themeColor="text1" w:themeTint="FF" w:themeShade="FF"/>
          <w:sz w:val="22"/>
          <w:szCs w:val="22"/>
          <w:lang w:val="fr-FR"/>
        </w:rPr>
        <w:t>Enfin comme nous le soulignions l’année dernière, la crise Covid avait bousculé l’organisation de l’entreprise qui avait su répondre présent avec l’ensemble de son plan de charges qui avait été exécuté avec à la clé, des gains de productivité importants. A cette nouvelle organisation hybride, l’année 2021 a vu s’ajouter le déploiement du flex-office pour les salariés. Outre de nouveaux efforts d’adaptation demandés aux salariés, ce sont de nouveaux gains récurrents de frais généraux générés avec la réduction de la surface des locaux loués. A ces économies, s’ajoutent les mesures gouvernementales favorables aux entreprises (baisse de la CVAE (représentant 15/20 M€ d’économies pour Groupama en 2021), baisse de l’impôt sur les sociétés, primes incitatives pour les alternants…). Alors que l’inflation connaît des niveaux jamais atteints depuis des décennies, le CSE demande que GMA s’assure du maintien du pouvoir d’achat de ses salariés en qualité d’employeur responsable et pour être au niveau de l’engagement sans faille des salariés ces dernières années.</w:t>
      </w:r>
    </w:p>
    <w:p w:rsidR="3A857121" w:rsidP="18175F3D" w:rsidRDefault="3A857121" w14:paraId="44FE8214" w14:textId="415A0198">
      <w:pPr>
        <w:pStyle w:val="Texte"/>
        <w:spacing w:before="360" w:line="312" w:lineRule="auto"/>
        <w:ind w:left="0"/>
        <w:jc w:val="both"/>
        <w:rPr>
          <w:rFonts w:ascii="Book Antiqua" w:hAnsi="Book Antiqua" w:eastAsia="Book Antiqua" w:cs="Book Antiqua"/>
          <w:b w:val="0"/>
          <w:bCs w:val="0"/>
          <w:i w:val="0"/>
          <w:iCs w:val="0"/>
          <w:caps w:val="0"/>
          <w:smallCaps w:val="0"/>
          <w:noProof w:val="0"/>
          <w:color w:val="000000" w:themeColor="text1" w:themeTint="FF" w:themeShade="FF"/>
          <w:sz w:val="22"/>
          <w:szCs w:val="22"/>
          <w:lang w:val="fr-FR"/>
        </w:rPr>
      </w:pPr>
      <w:r w:rsidRPr="18175F3D" w:rsidR="2F228DF9">
        <w:rPr>
          <w:rFonts w:ascii="Book Antiqua" w:hAnsi="Book Antiqua" w:eastAsia="Book Antiqua" w:cs="Book Antiqua"/>
          <w:b w:val="0"/>
          <w:bCs w:val="0"/>
          <w:i w:val="0"/>
          <w:iCs w:val="0"/>
          <w:caps w:val="0"/>
          <w:smallCaps w:val="0"/>
          <w:noProof w:val="0"/>
          <w:color w:val="000000" w:themeColor="text1" w:themeTint="FF" w:themeShade="FF"/>
          <w:sz w:val="22"/>
          <w:szCs w:val="22"/>
          <w:lang w:val="fr-FR"/>
        </w:rPr>
        <w:t xml:space="preserve">La commission économique propose </w:t>
      </w:r>
      <w:r w:rsidRPr="18175F3D" w:rsidR="2F228DF9">
        <w:rPr>
          <w:rFonts w:ascii="Segoe UI" w:hAnsi="Segoe UI" w:eastAsia="Segoe UI" w:cs="Segoe UI"/>
          <w:b w:val="0"/>
          <w:bCs w:val="0"/>
          <w:i w:val="0"/>
          <w:iCs w:val="0"/>
          <w:caps w:val="0"/>
          <w:smallCaps w:val="0"/>
          <w:noProof w:val="0"/>
          <w:color w:val="000000" w:themeColor="text1" w:themeTint="FF" w:themeShade="FF"/>
          <w:sz w:val="22"/>
          <w:szCs w:val="22"/>
          <w:lang w:val="fr-FR"/>
        </w:rPr>
        <w:t xml:space="preserve">à la majorité </w:t>
      </w:r>
      <w:r w:rsidRPr="18175F3D" w:rsidR="2F228DF9">
        <w:rPr>
          <w:rFonts w:ascii="Book Antiqua" w:hAnsi="Book Antiqua" w:eastAsia="Book Antiqua" w:cs="Book Antiqua"/>
          <w:b w:val="0"/>
          <w:bCs w:val="0"/>
          <w:i w:val="0"/>
          <w:iCs w:val="0"/>
          <w:caps w:val="0"/>
          <w:smallCaps w:val="0"/>
          <w:noProof w:val="0"/>
          <w:color w:val="000000" w:themeColor="text1" w:themeTint="FF" w:themeShade="FF"/>
          <w:sz w:val="22"/>
          <w:szCs w:val="22"/>
          <w:lang w:val="fr-FR"/>
        </w:rPr>
        <w:t xml:space="preserve">de rendre un avis positif sur la situation économique et financière de l’entreprise sur la situation 2021 mais regrette que </w:t>
      </w:r>
      <w:r w:rsidRPr="18175F3D" w:rsidR="2F228DF9">
        <w:rPr>
          <w:rFonts w:ascii="Book Antiqua" w:hAnsi="Book Antiqua" w:eastAsia="Book Antiqua" w:cs="Book Antiqua"/>
          <w:b w:val="1"/>
          <w:bCs w:val="1"/>
          <w:i w:val="0"/>
          <w:iCs w:val="0"/>
          <w:caps w:val="0"/>
          <w:smallCaps w:val="0"/>
          <w:noProof w:val="0"/>
          <w:color w:val="000000" w:themeColor="text1" w:themeTint="FF" w:themeShade="FF"/>
          <w:sz w:val="22"/>
          <w:szCs w:val="22"/>
          <w:lang w:val="fr-FR"/>
        </w:rPr>
        <w:t>rien n’ait été fait pour qu’elle puisse suivre l</w:t>
      </w:r>
      <w:r w:rsidRPr="18175F3D" w:rsidR="2F228DF9">
        <w:rPr>
          <w:rFonts w:ascii="Segoe UI" w:hAnsi="Segoe UI" w:eastAsia="Segoe UI" w:cs="Segoe UI"/>
          <w:b w:val="1"/>
          <w:bCs w:val="1"/>
          <w:i w:val="0"/>
          <w:iCs w:val="0"/>
          <w:caps w:val="0"/>
          <w:smallCaps w:val="0"/>
          <w:noProof w:val="0"/>
          <w:color w:val="000000" w:themeColor="text1" w:themeTint="FF" w:themeShade="FF"/>
          <w:sz w:val="22"/>
          <w:szCs w:val="22"/>
          <w:lang w:val="fr-FR"/>
        </w:rPr>
        <w:t>’évolution des budgets par projet d’envergure.</w:t>
      </w:r>
      <w:r w:rsidRPr="18175F3D" w:rsidR="2F228DF9">
        <w:rPr>
          <w:rFonts w:ascii="Book Antiqua" w:hAnsi="Book Antiqua" w:eastAsia="Book Antiqua" w:cs="Book Antiqua"/>
          <w:b w:val="0"/>
          <w:bCs w:val="0"/>
          <w:i w:val="0"/>
          <w:iCs w:val="0"/>
          <w:caps w:val="0"/>
          <w:smallCaps w:val="0"/>
          <w:noProof w:val="0"/>
          <w:color w:val="000000" w:themeColor="text1" w:themeTint="FF" w:themeShade="FF"/>
          <w:sz w:val="22"/>
          <w:szCs w:val="22"/>
          <w:lang w:val="fr-FR"/>
        </w:rPr>
        <w:t xml:space="preserve"> De plus, elle </w:t>
      </w:r>
      <w:r w:rsidRPr="18175F3D" w:rsidR="2F228DF9">
        <w:rPr>
          <w:rFonts w:ascii="Book Antiqua" w:hAnsi="Book Antiqua" w:eastAsia="Book Antiqua" w:cs="Book Antiqua"/>
          <w:b w:val="1"/>
          <w:bCs w:val="1"/>
          <w:i w:val="0"/>
          <w:iCs w:val="0"/>
          <w:caps w:val="0"/>
          <w:smallCaps w:val="0"/>
          <w:noProof w:val="0"/>
          <w:color w:val="000000" w:themeColor="text1" w:themeTint="FF" w:themeShade="FF"/>
          <w:sz w:val="22"/>
          <w:szCs w:val="22"/>
          <w:lang w:val="fr-FR"/>
        </w:rPr>
        <w:t>s’inquiète de l’évolution des risques climatiques dans le Groupe</w:t>
      </w:r>
      <w:r w:rsidRPr="18175F3D" w:rsidR="2F228DF9">
        <w:rPr>
          <w:rFonts w:ascii="Book Antiqua" w:hAnsi="Book Antiqua" w:eastAsia="Book Antiqua" w:cs="Book Antiqua"/>
          <w:b w:val="0"/>
          <w:bCs w:val="0"/>
          <w:i w:val="0"/>
          <w:iCs w:val="0"/>
          <w:caps w:val="0"/>
          <w:smallCaps w:val="0"/>
          <w:noProof w:val="0"/>
          <w:color w:val="000000" w:themeColor="text1" w:themeTint="FF" w:themeShade="FF"/>
          <w:sz w:val="22"/>
          <w:szCs w:val="22"/>
          <w:lang w:val="fr-FR"/>
        </w:rPr>
        <w:t xml:space="preserve"> et de ses conséquences futures sur les résultats de l’entreprise d'autant plus que la répercussion sur les tarifs ne sera pas forcément possible </w:t>
      </w:r>
      <w:r w:rsidRPr="18175F3D" w:rsidR="2F228DF9">
        <w:rPr>
          <w:rFonts w:ascii="Segoe UI" w:hAnsi="Segoe UI" w:eastAsia="Segoe UI" w:cs="Segoe UI"/>
          <w:b w:val="0"/>
          <w:bCs w:val="0"/>
          <w:i w:val="0"/>
          <w:iCs w:val="0"/>
          <w:caps w:val="0"/>
          <w:smallCaps w:val="0"/>
          <w:noProof w:val="0"/>
          <w:color w:val="000000" w:themeColor="text1" w:themeTint="FF" w:themeShade="FF"/>
          <w:sz w:val="22"/>
          <w:szCs w:val="22"/>
          <w:lang w:val="fr-FR"/>
        </w:rPr>
        <w:t>à l’avenir</w:t>
      </w:r>
      <w:r w:rsidRPr="18175F3D" w:rsidR="2F228DF9">
        <w:rPr>
          <w:rFonts w:ascii="Book Antiqua" w:hAnsi="Book Antiqua" w:eastAsia="Book Antiqua" w:cs="Book Antiqua"/>
          <w:b w:val="0"/>
          <w:bCs w:val="0"/>
          <w:i w:val="0"/>
          <w:iCs w:val="0"/>
          <w:caps w:val="0"/>
          <w:smallCaps w:val="0"/>
          <w:noProof w:val="0"/>
          <w:color w:val="000000" w:themeColor="text1" w:themeTint="FF" w:themeShade="FF"/>
          <w:sz w:val="22"/>
          <w:szCs w:val="22"/>
          <w:lang w:val="fr-FR"/>
        </w:rPr>
        <w:t xml:space="preserve">. </w:t>
      </w:r>
    </w:p>
    <w:p w:rsidR="3A857121" w:rsidRDefault="3A857121" w14:paraId="44D92F5D" w14:textId="286172B0">
      <w:r>
        <w:br w:type="page"/>
      </w:r>
    </w:p>
    <w:p w:rsidR="3A857121" w:rsidP="18175F3D" w:rsidRDefault="3A857121" w14:paraId="0C0D6C1C" w14:textId="6E1D3315">
      <w:pPr>
        <w:spacing w:before="360" w:line="312" w:lineRule="auto"/>
        <w:ind w:left="0"/>
        <w:jc w:val="both"/>
        <w:rPr>
          <w:rFonts w:ascii="Book Antiqua" w:hAnsi="Book Antiqua" w:eastAsia="Book Antiqua" w:cs="Book Antiqua"/>
          <w:b w:val="0"/>
          <w:bCs w:val="0"/>
          <w:i w:val="0"/>
          <w:iCs w:val="0"/>
          <w:caps w:val="0"/>
          <w:smallCaps w:val="0"/>
          <w:noProof w:val="0"/>
          <w:color w:val="000000" w:themeColor="text1" w:themeTint="FF" w:themeShade="FF"/>
          <w:sz w:val="22"/>
          <w:szCs w:val="22"/>
          <w:lang w:val="fr-FR"/>
        </w:rPr>
      </w:pPr>
    </w:p>
    <w:p w:rsidR="3A857121" w:rsidP="18175F3D" w:rsidRDefault="3A857121" w14:paraId="42F02777" w14:textId="125B18E8">
      <w:pPr>
        <w:spacing w:before="360" w:line="312" w:lineRule="auto"/>
        <w:jc w:val="both"/>
        <w:rPr>
          <w:rFonts w:ascii="Calibri" w:hAnsi="Calibri" w:eastAsia="Calibri" w:cs="Calibri"/>
          <w:b w:val="0"/>
          <w:bCs w:val="0"/>
          <w:i w:val="0"/>
          <w:iCs w:val="0"/>
          <w:caps w:val="0"/>
          <w:smallCaps w:val="0"/>
          <w:noProof w:val="0"/>
          <w:color w:val="201F1E"/>
          <w:sz w:val="24"/>
          <w:szCs w:val="24"/>
          <w:lang w:val="fr-FR"/>
        </w:rPr>
      </w:pPr>
      <w:r w:rsidRPr="18175F3D" w:rsidR="2F228DF9">
        <w:rPr>
          <w:rFonts w:ascii="Calibri" w:hAnsi="Calibri" w:eastAsia="Calibri" w:cs="Calibri"/>
          <w:b w:val="1"/>
          <w:bCs w:val="1"/>
          <w:i w:val="0"/>
          <w:iCs w:val="0"/>
          <w:caps w:val="0"/>
          <w:smallCaps w:val="0"/>
          <w:strike w:val="0"/>
          <w:dstrike w:val="0"/>
          <w:noProof w:val="0"/>
          <w:color w:val="201F1E"/>
          <w:sz w:val="24"/>
          <w:szCs w:val="24"/>
          <w:u w:val="single"/>
          <w:lang w:val="fr-FR"/>
        </w:rPr>
        <w:t>Déclaration complémentaire CFDT et CGT de Groupama Assurances Mutuelles complétant l’avis</w:t>
      </w:r>
    </w:p>
    <w:p w:rsidR="3A857121" w:rsidP="18175F3D" w:rsidRDefault="3A857121" w14:paraId="464CF08A" w14:textId="47666B48">
      <w:pPr>
        <w:spacing w:before="360" w:line="312" w:lineRule="auto"/>
        <w:jc w:val="both"/>
        <w:rPr>
          <w:rFonts w:ascii="Calibri" w:hAnsi="Calibri" w:eastAsia="Calibri" w:cs="Calibri"/>
          <w:b w:val="0"/>
          <w:bCs w:val="0"/>
          <w:i w:val="0"/>
          <w:iCs w:val="0"/>
          <w:caps w:val="0"/>
          <w:smallCaps w:val="0"/>
          <w:noProof w:val="0"/>
          <w:color w:val="201F1E"/>
          <w:sz w:val="24"/>
          <w:szCs w:val="24"/>
          <w:lang w:val="fr-FR"/>
        </w:rPr>
      </w:pPr>
      <w:r w:rsidRPr="18175F3D" w:rsidR="2F228DF9">
        <w:rPr>
          <w:rFonts w:ascii="Calibri" w:hAnsi="Calibri" w:eastAsia="Calibri" w:cs="Calibri"/>
          <w:b w:val="0"/>
          <w:bCs w:val="0"/>
          <w:i w:val="0"/>
          <w:iCs w:val="0"/>
          <w:caps w:val="0"/>
          <w:smallCaps w:val="0"/>
          <w:noProof w:val="0"/>
          <w:color w:val="201F1E"/>
          <w:sz w:val="24"/>
          <w:szCs w:val="24"/>
          <w:lang w:val="fr-FR"/>
        </w:rPr>
        <w:t xml:space="preserve"> </w:t>
      </w:r>
    </w:p>
    <w:p w:rsidR="3A857121" w:rsidP="18175F3D" w:rsidRDefault="3A857121" w14:paraId="58D47465" w14:textId="305DFFAA">
      <w:pPr>
        <w:spacing w:before="360" w:line="312" w:lineRule="auto"/>
        <w:jc w:val="both"/>
        <w:rPr>
          <w:rFonts w:ascii="Calibri" w:hAnsi="Calibri" w:eastAsia="Calibri" w:cs="Calibri"/>
          <w:b w:val="0"/>
          <w:bCs w:val="0"/>
          <w:i w:val="0"/>
          <w:iCs w:val="0"/>
          <w:caps w:val="0"/>
          <w:smallCaps w:val="0"/>
          <w:noProof w:val="0"/>
          <w:color w:val="201F1E"/>
          <w:sz w:val="24"/>
          <w:szCs w:val="24"/>
          <w:lang w:val="fr-FR"/>
        </w:rPr>
      </w:pPr>
      <w:r w:rsidRPr="18175F3D" w:rsidR="2F228DF9">
        <w:rPr>
          <w:rFonts w:ascii="Calibri" w:hAnsi="Calibri" w:eastAsia="Calibri" w:cs="Calibri"/>
          <w:b w:val="0"/>
          <w:bCs w:val="0"/>
          <w:i w:val="0"/>
          <w:iCs w:val="0"/>
          <w:caps w:val="0"/>
          <w:smallCaps w:val="0"/>
          <w:noProof w:val="0"/>
          <w:color w:val="201F1E"/>
          <w:sz w:val="24"/>
          <w:szCs w:val="24"/>
          <w:lang w:val="fr-FR"/>
        </w:rPr>
        <w:t xml:space="preserve">L’avis lu est le résultat du travail de la commission économique et de l’expert SECAFI. Pour les élus CFDT et CGT, seule la conclusion est différente   </w:t>
      </w:r>
    </w:p>
    <w:p w:rsidR="3A857121" w:rsidP="18175F3D" w:rsidRDefault="3A857121" w14:paraId="6A633AC7" w14:textId="685E3A82">
      <w:pPr>
        <w:spacing w:before="360" w:line="312" w:lineRule="auto"/>
        <w:jc w:val="both"/>
        <w:rPr>
          <w:rFonts w:ascii="Calibri" w:hAnsi="Calibri" w:eastAsia="Calibri" w:cs="Calibri"/>
          <w:b w:val="0"/>
          <w:bCs w:val="0"/>
          <w:i w:val="0"/>
          <w:iCs w:val="0"/>
          <w:caps w:val="0"/>
          <w:smallCaps w:val="0"/>
          <w:noProof w:val="0"/>
          <w:color w:val="201F1E"/>
          <w:sz w:val="24"/>
          <w:szCs w:val="24"/>
          <w:lang w:val="fr-FR"/>
        </w:rPr>
      </w:pPr>
      <w:r w:rsidRPr="18175F3D" w:rsidR="2F228DF9">
        <w:rPr>
          <w:rFonts w:ascii="Calibri" w:hAnsi="Calibri" w:eastAsia="Calibri" w:cs="Calibri"/>
          <w:b w:val="0"/>
          <w:bCs w:val="0"/>
          <w:i w:val="0"/>
          <w:iCs w:val="0"/>
          <w:caps w:val="0"/>
          <w:smallCaps w:val="0"/>
          <w:noProof w:val="0"/>
          <w:color w:val="201F1E"/>
          <w:sz w:val="24"/>
          <w:szCs w:val="24"/>
          <w:lang w:val="fr-FR"/>
        </w:rPr>
        <w:t>Les résultats très honorables de 2021 sont le fruit de l'investissement de tous les salariés du Groupe. L'intéressement GMA dégagé par ses résultats en est le reflet. Toutefois, ce résultat opérationnel économique masque certaines approches fatalistes de la part du conseil d’administration de GMA, générant des pertes financières significatives (Orange Bank). D’importants gains financiers ont été réalisés au détriment des conditions de travail des salariés avec un maintien des positions dogmatiques de la direction sur le refus d’étendre à 3 jours le télétravail, d’accorder des titres restaurant à tous les télétravailleurs et de rétablir des augmentations collectives. Les élus CFDT et CGT s’inquiètent de cet immobilisme qui n’est pas sans conséquences sur les recrutements et sur le maintien d’un niveau élevé d’engagement du collectif de travail. Pour ces raisons les élus CFDT et CGT émettront un avis défavorable.</w:t>
      </w:r>
    </w:p>
    <w:p w:rsidR="3A857121" w:rsidP="18175F3D" w:rsidRDefault="3A857121" w14:paraId="019EA4FC" w14:textId="6CD4F8A9">
      <w:pPr>
        <w:pStyle w:val="Normal"/>
      </w:pPr>
    </w:p>
    <w:p w:rsidR="3A857121" w:rsidP="3A857121" w:rsidRDefault="3A857121" w14:paraId="5DFF438D" w14:textId="640DD48C">
      <w:pPr>
        <w:pStyle w:val="Normal"/>
      </w:pPr>
    </w:p>
    <w:p w:rsidR="3A857121" w:rsidP="3A857121" w:rsidRDefault="3A857121" w14:paraId="625C0FB0" w14:textId="70EF461F">
      <w:pPr>
        <w:pStyle w:val="Normal"/>
      </w:pPr>
    </w:p>
    <w:p w:rsidR="3A857121" w:rsidP="3A857121" w:rsidRDefault="3A857121" w14:paraId="05DD2D8F" w14:textId="41A5027B">
      <w:pPr>
        <w:pStyle w:val="Normal"/>
      </w:pPr>
    </w:p>
    <w:p w:rsidR="3A857121" w:rsidP="3A857121" w:rsidRDefault="3A857121" w14:paraId="4128C488" w14:textId="46B7F5AE">
      <w:pPr>
        <w:pStyle w:val="Normal"/>
      </w:pPr>
    </w:p>
    <w:p w:rsidR="3A857121" w:rsidP="3A857121" w:rsidRDefault="3A857121" w14:paraId="6EA6D26C" w14:textId="0C374C62">
      <w:pPr>
        <w:pStyle w:val="Normal"/>
      </w:pPr>
    </w:p>
    <w:p w:rsidR="3A857121" w:rsidP="3A857121" w:rsidRDefault="3A857121" w14:paraId="7514B30F" w14:textId="4CFF807F">
      <w:pPr>
        <w:pStyle w:val="Normal"/>
      </w:pPr>
    </w:p>
    <w:p w:rsidR="3A857121" w:rsidRDefault="3A857121" w14:paraId="1A87E1F4" w14:textId="11750B4D"/>
    <w:p w:rsidR="3A857121" w:rsidRDefault="3A857121" w14:paraId="69CFCA4F" w14:textId="12611EF5"/>
    <w:p w:rsidR="3A857121" w:rsidRDefault="3A857121" w14:paraId="251C1B52" w14:textId="2E817C55"/>
    <w:p w:rsidR="3A857121" w:rsidRDefault="3A857121" w14:paraId="63EFF162" w14:textId="6F6EC355"/>
    <w:p w:rsidR="3A857121" w:rsidRDefault="3A857121" w14:paraId="2402975B" w14:textId="28B881FB"/>
    <w:p w:rsidR="3A857121" w:rsidRDefault="3A857121" w14:paraId="43E65AFF" w14:textId="1E11DE63">
      <w:r>
        <w:br w:type="page"/>
      </w:r>
    </w:p>
    <w:p xmlns:wp14="http://schemas.microsoft.com/office/word/2010/wordml" w:rsidRPr="00BE3C49" w:rsidR="001F1AD9" w:rsidP="179D6B47" w:rsidRDefault="001F1AD9" w14:paraId="5B718A87" wp14:textId="4B67583E">
      <w:pPr>
        <w:pStyle w:val="Normal"/>
        <w:ind w:left="142"/>
        <w:jc w:val="both"/>
        <w:rPr>
          <w:rFonts w:ascii="Arial" w:hAnsi="Arial" w:cs="Arial"/>
          <w:sz w:val="20"/>
          <w:szCs w:val="20"/>
        </w:rPr>
      </w:pPr>
      <w:r w:rsidR="795969A4">
        <w:drawing>
          <wp:inline xmlns:wp14="http://schemas.microsoft.com/office/word/2010/wordprocessingDrawing" wp14:editId="0E4AEC18" wp14:anchorId="0260ED85">
            <wp:extent cx="1400175" cy="1304925"/>
            <wp:effectExtent l="0" t="0" r="0" b="0"/>
            <wp:docPr id="1508313780" name="" title=""/>
            <wp:cNvGraphicFramePr>
              <a:graphicFrameLocks noChangeAspect="1"/>
            </wp:cNvGraphicFramePr>
            <a:graphic>
              <a:graphicData uri="http://schemas.openxmlformats.org/drawingml/2006/picture">
                <pic:pic>
                  <pic:nvPicPr>
                    <pic:cNvPr id="0" name=""/>
                    <pic:cNvPicPr/>
                  </pic:nvPicPr>
                  <pic:blipFill>
                    <a:blip r:embed="R5c074691e1a648e6">
                      <a:extLst>
                        <a:ext xmlns:a="http://schemas.openxmlformats.org/drawingml/2006/main" uri="{28A0092B-C50C-407E-A947-70E740481C1C}">
                          <a14:useLocalDpi val="0"/>
                        </a:ext>
                      </a:extLst>
                    </a:blip>
                    <a:stretch>
                      <a:fillRect/>
                    </a:stretch>
                  </pic:blipFill>
                  <pic:spPr>
                    <a:xfrm>
                      <a:off x="0" y="0"/>
                      <a:ext cx="1400175" cy="1304925"/>
                    </a:xfrm>
                    <a:prstGeom prst="rect">
                      <a:avLst/>
                    </a:prstGeom>
                  </pic:spPr>
                </pic:pic>
              </a:graphicData>
            </a:graphic>
          </wp:inline>
        </w:drawing>
      </w:r>
      <w:r>
        <w:tab/>
      </w:r>
      <w:r>
        <w:tab/>
      </w:r>
      <w:r>
        <w:tab/>
      </w:r>
      <w:r>
        <w:tab/>
      </w:r>
      <w:r>
        <w:tab/>
      </w:r>
      <w:r>
        <w:tab/>
      </w:r>
      <w:r>
        <w:tab/>
      </w:r>
      <w:r>
        <w:tab/>
      </w:r>
      <w:r w:rsidRPr="179D6B47" w:rsidR="001F1AD9">
        <w:rPr>
          <w:rFonts w:ascii="Arial" w:hAnsi="Arial" w:cs="Arial"/>
          <w:sz w:val="20"/>
          <w:szCs w:val="20"/>
        </w:rPr>
        <w:t xml:space="preserve">Le </w:t>
      </w:r>
      <w:r w:rsidRPr="179D6B47" w:rsidR="384AF8AE">
        <w:rPr>
          <w:rFonts w:ascii="Arial" w:hAnsi="Arial" w:cs="Arial"/>
          <w:sz w:val="20"/>
          <w:szCs w:val="20"/>
        </w:rPr>
        <w:t>27 septembre</w:t>
      </w:r>
      <w:r w:rsidRPr="179D6B47" w:rsidR="1D15436C">
        <w:rPr>
          <w:rFonts w:ascii="Arial" w:hAnsi="Arial" w:cs="Arial"/>
          <w:sz w:val="20"/>
          <w:szCs w:val="20"/>
        </w:rPr>
        <w:t xml:space="preserve"> </w:t>
      </w:r>
      <w:r w:rsidRPr="179D6B47" w:rsidR="00817399">
        <w:rPr>
          <w:rFonts w:ascii="Arial" w:hAnsi="Arial" w:cs="Arial"/>
          <w:sz w:val="20"/>
          <w:szCs w:val="20"/>
        </w:rPr>
        <w:t>202</w:t>
      </w:r>
      <w:r w:rsidRPr="179D6B47" w:rsidR="5AAC36D5">
        <w:rPr>
          <w:rFonts w:ascii="Arial" w:hAnsi="Arial" w:cs="Arial"/>
          <w:sz w:val="20"/>
          <w:szCs w:val="20"/>
        </w:rPr>
        <w:t>2</w:t>
      </w:r>
    </w:p>
    <w:p w:rsidR="00EE642B" w:rsidP="18175F3D" w:rsidRDefault="00EE642B" w14:paraId="285D3AC6" w14:textId="2B750E8A">
      <w:pPr>
        <w:pStyle w:val="Normal"/>
        <w:bidi w:val="0"/>
        <w:spacing w:before="0" w:beforeAutospacing="off" w:after="0" w:afterAutospacing="off" w:line="276" w:lineRule="auto"/>
        <w:ind/>
        <w:jc w:val="center"/>
        <w:rPr>
          <w:rFonts w:ascii="Arial" w:hAnsi="Arial" w:eastAsia="Calibri" w:cs="Arial"/>
          <w:b w:val="1"/>
          <w:bCs w:val="1"/>
          <w:noProof w:val="0"/>
          <w:sz w:val="24"/>
          <w:szCs w:val="24"/>
          <w:lang w:val="fr-FR"/>
        </w:rPr>
      </w:pPr>
      <w:r w:rsidRPr="18175F3D" w:rsidR="002062C6">
        <w:rPr>
          <w:rFonts w:ascii="Arial" w:hAnsi="Arial" w:cs="Arial"/>
          <w:b w:val="1"/>
          <w:bCs w:val="1"/>
          <w:sz w:val="24"/>
          <w:szCs w:val="24"/>
        </w:rPr>
        <w:t>Avis sur</w:t>
      </w:r>
      <w:r w:rsidRPr="18175F3D" w:rsidR="001F1AD9">
        <w:rPr>
          <w:rFonts w:ascii="Arial" w:hAnsi="Arial" w:eastAsia="Calibri" w:cs="Arial"/>
          <w:b w:val="1"/>
          <w:bCs w:val="1"/>
          <w:sz w:val="24"/>
          <w:szCs w:val="24"/>
        </w:rPr>
        <w:t xml:space="preserve"> </w:t>
      </w:r>
      <w:r w:rsidRPr="18175F3D" w:rsidR="7A19A350">
        <w:rPr>
          <w:rFonts w:ascii="Arial" w:hAnsi="Arial" w:eastAsia="Calibri" w:cs="Arial"/>
          <w:b w:val="1"/>
          <w:bCs w:val="1"/>
          <w:noProof w:val="0"/>
          <w:sz w:val="24"/>
          <w:szCs w:val="24"/>
          <w:lang w:val="fr-FR"/>
        </w:rPr>
        <w:t xml:space="preserve">la situation économique et financière de </w:t>
      </w:r>
      <w:r>
        <w:br/>
      </w:r>
      <w:r w:rsidRPr="18175F3D" w:rsidR="7A19A350">
        <w:rPr>
          <w:rFonts w:ascii="Arial" w:hAnsi="Arial" w:eastAsia="Calibri" w:cs="Arial"/>
          <w:b w:val="1"/>
          <w:bCs w:val="1"/>
          <w:noProof w:val="0"/>
          <w:sz w:val="24"/>
          <w:szCs w:val="24"/>
          <w:lang w:val="fr-FR"/>
        </w:rPr>
        <w:t>Groupama Assurances Mutuelles</w:t>
      </w:r>
      <w:r w:rsidRPr="18175F3D" w:rsidR="742E098E">
        <w:rPr>
          <w:rFonts w:ascii="Arial" w:hAnsi="Arial" w:eastAsia="Calibri" w:cs="Arial" w:asciiTheme="minorAscii" w:hAnsiTheme="minorAscii"/>
          <w:b w:val="1"/>
          <w:bCs w:val="1"/>
          <w:noProof w:val="0"/>
          <w:sz w:val="24"/>
          <w:szCs w:val="24"/>
          <w:lang w:val="fr-FR" w:eastAsia="en-US"/>
        </w:rPr>
        <w:t xml:space="preserve"> à fin 2021 </w:t>
      </w:r>
    </w:p>
    <w:p xmlns:wp14="http://schemas.microsoft.com/office/word/2010/wordml" w:rsidRPr="00BE3C49" w:rsidR="001F1AD9" w:rsidP="001F1AD9" w:rsidRDefault="001F1AD9" w14:paraId="5E890987" wp14:textId="77777777">
      <w:pPr>
        <w:spacing w:before="240" w:after="120"/>
        <w:rPr>
          <w:rFonts w:ascii="Arial" w:hAnsi="Arial" w:cs="Arial"/>
          <w:b/>
          <w:sz w:val="24"/>
          <w:szCs w:val="24"/>
        </w:rPr>
      </w:pPr>
      <w:bookmarkStart w:name="_Toc287003853" w:id="1"/>
      <w:r w:rsidRPr="00BE3C49">
        <w:rPr>
          <w:rFonts w:ascii="Wingdings" w:hAnsi="Wingdings" w:cs="Arial"/>
          <w:b/>
          <w:sz w:val="24"/>
          <w:szCs w:val="24"/>
        </w:rPr>
        <w:t></w:t>
      </w:r>
      <w:r w:rsidRPr="00BE3C49">
        <w:rPr>
          <w:rFonts w:ascii="Arial" w:hAnsi="Arial" w:cs="Arial"/>
          <w:b/>
          <w:sz w:val="24"/>
          <w:szCs w:val="24"/>
        </w:rPr>
        <w:t>Délibération</w:t>
      </w:r>
    </w:p>
    <w:bookmarkEnd w:id="1"/>
    <w:p xmlns:wp14="http://schemas.microsoft.com/office/word/2010/wordml" w:rsidRPr="00BE3C49" w:rsidR="001F1AD9" w:rsidP="00BE3C49" w:rsidRDefault="001F1AD9" w14:paraId="29F041A3" wp14:textId="77777777">
      <w:pPr>
        <w:spacing w:before="120" w:after="120"/>
        <w:rPr>
          <w:rFonts w:ascii="Arial" w:hAnsi="Arial" w:cs="Arial"/>
          <w:sz w:val="18"/>
          <w:szCs w:val="18"/>
        </w:rPr>
      </w:pPr>
      <w:r w:rsidRPr="00BE3C49">
        <w:rPr>
          <w:rFonts w:ascii="Arial" w:hAnsi="Arial" w:cs="Arial"/>
          <w:sz w:val="18"/>
          <w:szCs w:val="18"/>
        </w:rPr>
        <w:t>1.- Le président ne prend pas part au vote.</w:t>
      </w:r>
    </w:p>
    <w:p xmlns:wp14="http://schemas.microsoft.com/office/word/2010/wordml" w:rsidRPr="00BE3C49" w:rsidR="001F1AD9" w:rsidP="00BE3C49" w:rsidRDefault="001F1AD9" w14:paraId="5B91ACF8" wp14:textId="77777777">
      <w:pPr>
        <w:spacing w:before="120" w:after="120"/>
        <w:rPr>
          <w:rFonts w:ascii="Arial" w:hAnsi="Arial" w:cs="Arial"/>
          <w:sz w:val="18"/>
          <w:szCs w:val="18"/>
        </w:rPr>
      </w:pPr>
      <w:r w:rsidRPr="179D6B47" w:rsidR="001F1AD9">
        <w:rPr>
          <w:rFonts w:ascii="Arial" w:hAnsi="Arial" w:cs="Arial"/>
          <w:sz w:val="18"/>
          <w:szCs w:val="18"/>
        </w:rPr>
        <w:t>2.- Membres élus</w:t>
      </w:r>
    </w:p>
    <w:tbl>
      <w:tblPr>
        <w:tblStyle w:val="TableauNormal"/>
        <w:tblW w:w="0" w:type="auto"/>
        <w:tblLayout w:type="fixed"/>
        <w:tblLook w:val="0000" w:firstRow="0" w:lastRow="0" w:firstColumn="0" w:lastColumn="0" w:noHBand="0" w:noVBand="0"/>
      </w:tblPr>
      <w:tblGrid>
        <w:gridCol w:w="1560"/>
        <w:gridCol w:w="1695"/>
        <w:gridCol w:w="1335"/>
        <w:gridCol w:w="1395"/>
        <w:gridCol w:w="2385"/>
      </w:tblGrid>
      <w:tr w:rsidR="179D6B47" w:rsidTr="2844D780" w14:paraId="77380801">
        <w:tc>
          <w:tcPr>
            <w:tcW w:w="1560" w:type="dxa"/>
            <w:tcBorders>
              <w:top w:val="single" w:sz="12"/>
              <w:left w:val="single" w:sz="12"/>
              <w:bottom w:val="single" w:sz="12"/>
              <w:right w:val="single" w:sz="12"/>
            </w:tcBorders>
            <w:tcMar/>
            <w:vAlign w:val="top"/>
          </w:tcPr>
          <w:p w:rsidR="179D6B47" w:rsidP="179D6B47" w:rsidRDefault="179D6B47" w14:paraId="11D23B67" w14:textId="02C39857">
            <w:pPr>
              <w:spacing w:after="200" w:line="276" w:lineRule="auto"/>
              <w:rPr>
                <w:rFonts w:ascii="Arial" w:hAnsi="Arial" w:eastAsia="Arial" w:cs="Arial"/>
                <w:b w:val="0"/>
                <w:bCs w:val="0"/>
                <w:i w:val="0"/>
                <w:iCs w:val="0"/>
                <w:caps w:val="0"/>
                <w:smallCaps w:val="0"/>
                <w:color w:val="000000" w:themeColor="text1" w:themeTint="FF" w:themeShade="FF"/>
                <w:sz w:val="20"/>
                <w:szCs w:val="20"/>
              </w:rPr>
            </w:pPr>
            <w:r w:rsidRPr="179D6B47" w:rsidR="179D6B47">
              <w:rPr>
                <w:rFonts w:ascii="Arial" w:hAnsi="Arial" w:eastAsia="Arial" w:cs="Arial"/>
                <w:b w:val="0"/>
                <w:bCs w:val="0"/>
                <w:i w:val="0"/>
                <w:iCs w:val="0"/>
                <w:caps w:val="0"/>
                <w:smallCaps w:val="0"/>
                <w:color w:val="000000" w:themeColor="text1" w:themeTint="FF" w:themeShade="FF"/>
                <w:sz w:val="20"/>
                <w:szCs w:val="20"/>
                <w:lang w:val="fr-FR"/>
              </w:rPr>
              <w:t>COLLEGE</w:t>
            </w:r>
          </w:p>
        </w:tc>
        <w:tc>
          <w:tcPr>
            <w:tcW w:w="1695" w:type="dxa"/>
            <w:tcBorders>
              <w:top w:val="single" w:sz="12"/>
              <w:bottom w:val="single" w:sz="12"/>
            </w:tcBorders>
            <w:tcMar/>
            <w:vAlign w:val="top"/>
          </w:tcPr>
          <w:p w:rsidR="179D6B47" w:rsidP="179D6B47" w:rsidRDefault="179D6B47" w14:paraId="774B1E11" w14:textId="31C7B89F">
            <w:pPr>
              <w:spacing w:after="200" w:line="276" w:lineRule="auto"/>
              <w:rPr>
                <w:rFonts w:ascii="Arial" w:hAnsi="Arial" w:eastAsia="Arial" w:cs="Arial"/>
                <w:b w:val="0"/>
                <w:bCs w:val="0"/>
                <w:i w:val="0"/>
                <w:iCs w:val="0"/>
                <w:caps w:val="0"/>
                <w:smallCaps w:val="0"/>
                <w:color w:val="000000" w:themeColor="text1" w:themeTint="FF" w:themeShade="FF"/>
                <w:sz w:val="20"/>
                <w:szCs w:val="20"/>
              </w:rPr>
            </w:pPr>
            <w:r w:rsidRPr="179D6B47" w:rsidR="179D6B47">
              <w:rPr>
                <w:rFonts w:ascii="Arial" w:hAnsi="Arial" w:eastAsia="Arial" w:cs="Arial"/>
                <w:b w:val="0"/>
                <w:bCs w:val="0"/>
                <w:i w:val="0"/>
                <w:iCs w:val="0"/>
                <w:caps w:val="0"/>
                <w:smallCaps w:val="0"/>
                <w:color w:val="000000" w:themeColor="text1" w:themeTint="FF" w:themeShade="FF"/>
                <w:sz w:val="20"/>
                <w:szCs w:val="20"/>
                <w:lang w:val="fr-FR"/>
              </w:rPr>
              <w:t>NOM</w:t>
            </w:r>
          </w:p>
        </w:tc>
        <w:tc>
          <w:tcPr>
            <w:tcW w:w="1335" w:type="dxa"/>
            <w:tcBorders>
              <w:top w:val="single" w:sz="12"/>
              <w:bottom w:val="single" w:sz="12"/>
            </w:tcBorders>
            <w:tcMar/>
            <w:vAlign w:val="top"/>
          </w:tcPr>
          <w:p w:rsidR="179D6B47" w:rsidP="179D6B47" w:rsidRDefault="179D6B47" w14:paraId="6A782CC3" w14:textId="379410FA">
            <w:pPr>
              <w:spacing w:after="200" w:line="276" w:lineRule="auto"/>
              <w:rPr>
                <w:rFonts w:ascii="Arial" w:hAnsi="Arial" w:eastAsia="Arial" w:cs="Arial"/>
                <w:b w:val="0"/>
                <w:bCs w:val="0"/>
                <w:i w:val="0"/>
                <w:iCs w:val="0"/>
                <w:caps w:val="0"/>
                <w:smallCaps w:val="0"/>
                <w:color w:val="000000" w:themeColor="text1" w:themeTint="FF" w:themeShade="FF"/>
                <w:sz w:val="20"/>
                <w:szCs w:val="20"/>
              </w:rPr>
            </w:pPr>
            <w:r w:rsidRPr="179D6B47" w:rsidR="179D6B47">
              <w:rPr>
                <w:rFonts w:ascii="Arial" w:hAnsi="Arial" w:eastAsia="Arial" w:cs="Arial"/>
                <w:b w:val="0"/>
                <w:bCs w:val="0"/>
                <w:i w:val="0"/>
                <w:iCs w:val="0"/>
                <w:caps w:val="0"/>
                <w:smallCaps w:val="0"/>
                <w:color w:val="000000" w:themeColor="text1" w:themeTint="FF" w:themeShade="FF"/>
                <w:sz w:val="20"/>
                <w:szCs w:val="20"/>
                <w:lang w:val="fr-FR"/>
              </w:rPr>
              <w:t>PRENOM</w:t>
            </w:r>
          </w:p>
        </w:tc>
        <w:tc>
          <w:tcPr>
            <w:tcW w:w="1395" w:type="dxa"/>
            <w:tcBorders>
              <w:top w:val="single" w:sz="12"/>
              <w:left w:val="single" w:sz="6"/>
              <w:bottom w:val="single" w:sz="12"/>
              <w:right w:val="single" w:sz="6"/>
            </w:tcBorders>
            <w:tcMar/>
            <w:vAlign w:val="top"/>
          </w:tcPr>
          <w:p w:rsidR="179D6B47" w:rsidP="179D6B47" w:rsidRDefault="179D6B47" w14:paraId="380133DA" w14:textId="2A128EEB">
            <w:pPr>
              <w:tabs>
                <w:tab w:val="left" w:leader="none" w:pos="709"/>
              </w:tabs>
              <w:spacing w:after="200" w:line="276" w:lineRule="auto"/>
              <w:ind w:right="161"/>
              <w:rPr>
                <w:rFonts w:ascii="Arial" w:hAnsi="Arial" w:eastAsia="Arial" w:cs="Arial"/>
                <w:b w:val="0"/>
                <w:bCs w:val="0"/>
                <w:i w:val="0"/>
                <w:iCs w:val="0"/>
                <w:caps w:val="0"/>
                <w:smallCaps w:val="0"/>
                <w:color w:val="000000" w:themeColor="text1" w:themeTint="FF" w:themeShade="FF"/>
                <w:sz w:val="20"/>
                <w:szCs w:val="20"/>
              </w:rPr>
            </w:pPr>
            <w:r w:rsidRPr="179D6B47" w:rsidR="179D6B47">
              <w:rPr>
                <w:rFonts w:ascii="Arial" w:hAnsi="Arial" w:eastAsia="Arial" w:cs="Arial"/>
                <w:b w:val="0"/>
                <w:bCs w:val="0"/>
                <w:i w:val="0"/>
                <w:iCs w:val="0"/>
                <w:caps w:val="0"/>
                <w:smallCaps w:val="0"/>
                <w:color w:val="000000" w:themeColor="text1" w:themeTint="FF" w:themeShade="FF"/>
                <w:sz w:val="20"/>
                <w:szCs w:val="20"/>
                <w:lang w:val="fr-FR"/>
              </w:rPr>
              <w:t>LISTE</w:t>
            </w:r>
          </w:p>
        </w:tc>
        <w:tc>
          <w:tcPr>
            <w:tcW w:w="2385" w:type="dxa"/>
            <w:tcBorders>
              <w:top w:val="single" w:sz="12"/>
              <w:bottom w:val="single" w:sz="12"/>
              <w:right w:val="single" w:sz="12"/>
            </w:tcBorders>
            <w:tcMar/>
            <w:vAlign w:val="top"/>
          </w:tcPr>
          <w:p w:rsidR="179D6B47" w:rsidP="179D6B47" w:rsidRDefault="179D6B47" w14:paraId="5FB965A3" w14:textId="31F92E9F">
            <w:pPr>
              <w:spacing w:after="200" w:line="276" w:lineRule="auto"/>
              <w:ind w:left="-142"/>
              <w:jc w:val="center"/>
              <w:rPr>
                <w:rFonts w:ascii="Arial" w:hAnsi="Arial" w:eastAsia="Arial" w:cs="Arial"/>
                <w:b w:val="0"/>
                <w:bCs w:val="0"/>
                <w:i w:val="0"/>
                <w:iCs w:val="0"/>
                <w:caps w:val="0"/>
                <w:smallCaps w:val="0"/>
                <w:color w:val="000000" w:themeColor="text1" w:themeTint="FF" w:themeShade="FF"/>
                <w:sz w:val="20"/>
                <w:szCs w:val="20"/>
              </w:rPr>
            </w:pPr>
            <w:r w:rsidRPr="179D6B47" w:rsidR="179D6B47">
              <w:rPr>
                <w:rFonts w:ascii="Arial" w:hAnsi="Arial" w:eastAsia="Arial" w:cs="Arial"/>
                <w:b w:val="0"/>
                <w:bCs w:val="0"/>
                <w:i w:val="0"/>
                <w:iCs w:val="0"/>
                <w:caps w:val="0"/>
                <w:smallCaps w:val="0"/>
                <w:color w:val="000000" w:themeColor="text1" w:themeTint="FF" w:themeShade="FF"/>
                <w:sz w:val="20"/>
                <w:szCs w:val="20"/>
                <w:lang w:val="fr-FR"/>
              </w:rPr>
              <w:t>VOTE</w:t>
            </w:r>
          </w:p>
        </w:tc>
      </w:tr>
      <w:tr w:rsidR="179D6B47" w:rsidTr="2844D780" w14:paraId="6823105D">
        <w:tc>
          <w:tcPr>
            <w:tcW w:w="1560" w:type="dxa"/>
            <w:tcBorders>
              <w:left w:val="single" w:sz="12"/>
              <w:right w:val="single" w:sz="12"/>
            </w:tcBorders>
            <w:tcMar/>
            <w:vAlign w:val="top"/>
          </w:tcPr>
          <w:p w:rsidR="179D6B47" w:rsidP="2844D780" w:rsidRDefault="179D6B47" w14:paraId="34D74A45" w14:textId="53EF2332">
            <w:pPr>
              <w:spacing w:after="200" w:line="276" w:lineRule="auto"/>
              <w:rPr>
                <w:rFonts w:ascii="Arial" w:hAnsi="Arial" w:eastAsia="Arial" w:cs="Arial"/>
                <w:b w:val="0"/>
                <w:bCs w:val="0"/>
                <w:i w:val="0"/>
                <w:iCs w:val="0"/>
                <w:caps w:val="0"/>
                <w:smallCaps w:val="0"/>
                <w:color w:val="000000" w:themeColor="text1" w:themeTint="FF" w:themeShade="FF"/>
                <w:sz w:val="20"/>
                <w:szCs w:val="20"/>
              </w:rPr>
            </w:pPr>
            <w:r w:rsidRPr="2844D780" w:rsidR="23B2CCF8">
              <w:rPr>
                <w:rFonts w:ascii="Arial" w:hAnsi="Arial" w:eastAsia="Arial" w:cs="Arial"/>
                <w:b w:val="0"/>
                <w:bCs w:val="0"/>
                <w:i w:val="0"/>
                <w:iCs w:val="0"/>
                <w:caps w:val="0"/>
                <w:smallCaps w:val="0"/>
                <w:color w:val="000000" w:themeColor="text1" w:themeTint="FF" w:themeShade="FF"/>
                <w:sz w:val="20"/>
                <w:szCs w:val="20"/>
                <w:lang w:val="fr-FR"/>
              </w:rPr>
              <w:t>1-cadres</w:t>
            </w:r>
          </w:p>
        </w:tc>
        <w:tc>
          <w:tcPr>
            <w:tcW w:w="1695" w:type="dxa"/>
            <w:tcBorders>
              <w:top w:val="single" w:sz="6"/>
              <w:bottom w:val="single" w:sz="6"/>
            </w:tcBorders>
            <w:tcMar/>
            <w:vAlign w:val="top"/>
          </w:tcPr>
          <w:p w:rsidR="179D6B47" w:rsidP="179D6B47" w:rsidRDefault="179D6B47" w14:paraId="4F913943" w14:textId="3CCE9815">
            <w:pPr>
              <w:spacing w:after="140" w:afterAutospacing="off" w:line="276" w:lineRule="auto"/>
              <w:rPr>
                <w:rFonts w:ascii="Arial" w:hAnsi="Arial" w:eastAsia="Arial" w:cs="Arial"/>
                <w:b w:val="0"/>
                <w:bCs w:val="0"/>
                <w:i w:val="0"/>
                <w:iCs w:val="0"/>
                <w:caps w:val="0"/>
                <w:smallCaps w:val="0"/>
                <w:color w:val="000000" w:themeColor="text1" w:themeTint="FF" w:themeShade="FF"/>
                <w:sz w:val="20"/>
                <w:szCs w:val="20"/>
              </w:rPr>
            </w:pPr>
            <w:r w:rsidRPr="179D6B47" w:rsidR="179D6B47">
              <w:rPr>
                <w:rFonts w:ascii="Arial" w:hAnsi="Arial" w:eastAsia="Arial" w:cs="Arial"/>
                <w:b w:val="0"/>
                <w:bCs w:val="0"/>
                <w:i w:val="0"/>
                <w:iCs w:val="0"/>
                <w:caps w:val="0"/>
                <w:smallCaps w:val="0"/>
                <w:color w:val="000000" w:themeColor="text1" w:themeTint="FF" w:themeShade="FF"/>
                <w:sz w:val="20"/>
                <w:szCs w:val="20"/>
                <w:lang w:val="fr-FR"/>
              </w:rPr>
              <w:t>Guibert</w:t>
            </w:r>
          </w:p>
        </w:tc>
        <w:tc>
          <w:tcPr>
            <w:tcW w:w="1335" w:type="dxa"/>
            <w:tcBorders>
              <w:top w:val="single" w:sz="6"/>
              <w:bottom w:val="single" w:sz="6"/>
              <w:right w:val="single" w:sz="6"/>
            </w:tcBorders>
            <w:tcMar/>
            <w:vAlign w:val="top"/>
          </w:tcPr>
          <w:p w:rsidR="179D6B47" w:rsidP="179D6B47" w:rsidRDefault="179D6B47" w14:paraId="162F2421" w14:textId="50B1EB45">
            <w:pPr>
              <w:spacing w:after="140" w:afterAutospacing="off" w:line="276" w:lineRule="auto"/>
              <w:rPr>
                <w:rFonts w:ascii="Arial" w:hAnsi="Arial" w:eastAsia="Arial" w:cs="Arial"/>
                <w:b w:val="0"/>
                <w:bCs w:val="0"/>
                <w:i w:val="0"/>
                <w:iCs w:val="0"/>
                <w:caps w:val="0"/>
                <w:smallCaps w:val="0"/>
                <w:color w:val="000000" w:themeColor="text1" w:themeTint="FF" w:themeShade="FF"/>
                <w:sz w:val="20"/>
                <w:szCs w:val="20"/>
              </w:rPr>
            </w:pPr>
            <w:r w:rsidRPr="179D6B47" w:rsidR="179D6B47">
              <w:rPr>
                <w:rFonts w:ascii="Arial" w:hAnsi="Arial" w:eastAsia="Arial" w:cs="Arial"/>
                <w:b w:val="0"/>
                <w:bCs w:val="0"/>
                <w:i w:val="0"/>
                <w:iCs w:val="0"/>
                <w:caps w:val="0"/>
                <w:smallCaps w:val="0"/>
                <w:color w:val="000000" w:themeColor="text1" w:themeTint="FF" w:themeShade="FF"/>
                <w:sz w:val="20"/>
                <w:szCs w:val="20"/>
                <w:lang w:val="fr-FR"/>
              </w:rPr>
              <w:t>Catherine</w:t>
            </w:r>
          </w:p>
        </w:tc>
        <w:tc>
          <w:tcPr>
            <w:tcW w:w="1395" w:type="dxa"/>
            <w:tcBorders>
              <w:top w:val="single" w:sz="6"/>
              <w:left w:val="single" w:sz="6"/>
              <w:bottom w:val="single" w:sz="6"/>
              <w:right w:val="single" w:sz="6"/>
            </w:tcBorders>
            <w:tcMar/>
            <w:vAlign w:val="top"/>
          </w:tcPr>
          <w:p w:rsidR="179D6B47" w:rsidP="179D6B47" w:rsidRDefault="179D6B47" w14:paraId="418F25BB" w14:textId="4B52F360">
            <w:pPr>
              <w:spacing w:after="140" w:afterAutospacing="off" w:line="276" w:lineRule="auto"/>
              <w:rPr>
                <w:rFonts w:ascii="Arial" w:hAnsi="Arial" w:eastAsia="Arial" w:cs="Arial"/>
                <w:b w:val="0"/>
                <w:bCs w:val="0"/>
                <w:i w:val="0"/>
                <w:iCs w:val="0"/>
                <w:caps w:val="0"/>
                <w:smallCaps w:val="0"/>
                <w:color w:val="000000" w:themeColor="text1" w:themeTint="FF" w:themeShade="FF"/>
                <w:sz w:val="20"/>
                <w:szCs w:val="20"/>
              </w:rPr>
            </w:pPr>
            <w:r w:rsidRPr="179D6B47" w:rsidR="179D6B47">
              <w:rPr>
                <w:rFonts w:ascii="Arial" w:hAnsi="Arial" w:eastAsia="Arial" w:cs="Arial"/>
                <w:b w:val="0"/>
                <w:bCs w:val="0"/>
                <w:i w:val="0"/>
                <w:iCs w:val="0"/>
                <w:caps w:val="0"/>
                <w:smallCaps w:val="0"/>
                <w:color w:val="000000" w:themeColor="text1" w:themeTint="FF" w:themeShade="FF"/>
                <w:sz w:val="20"/>
                <w:szCs w:val="20"/>
                <w:lang w:val="fr-FR"/>
              </w:rPr>
              <w:t>CFE-CGC</w:t>
            </w:r>
          </w:p>
        </w:tc>
        <w:tc>
          <w:tcPr>
            <w:tcW w:w="2385" w:type="dxa"/>
            <w:tcBorders>
              <w:top w:val="single" w:sz="6"/>
              <w:left w:val="single" w:sz="6"/>
              <w:bottom w:val="single" w:sz="6"/>
              <w:right w:val="single" w:sz="12"/>
            </w:tcBorders>
            <w:tcMar/>
            <w:vAlign w:val="top"/>
          </w:tcPr>
          <w:p w:rsidR="179D6B47" w:rsidP="18175F3D" w:rsidRDefault="179D6B47" w14:paraId="4B51DC05" w14:textId="7C7494C6">
            <w:pPr>
              <w:spacing w:after="140" w:afterAutospacing="off" w:line="276" w:lineRule="auto"/>
              <w:rPr>
                <w:rFonts w:ascii="Arial" w:hAnsi="Arial" w:eastAsia="Arial" w:cs="Arial"/>
                <w:b w:val="0"/>
                <w:bCs w:val="0"/>
                <w:i w:val="0"/>
                <w:iCs w:val="0"/>
                <w:caps w:val="0"/>
                <w:smallCaps w:val="0"/>
                <w:color w:val="000000" w:themeColor="text1" w:themeTint="FF" w:themeShade="FF"/>
                <w:sz w:val="19"/>
                <w:szCs w:val="19"/>
              </w:rPr>
            </w:pPr>
            <w:r w:rsidRPr="18175F3D" w:rsidR="00619ABD">
              <w:rPr>
                <w:rFonts w:ascii="Arial" w:hAnsi="Arial" w:eastAsia="Arial" w:cs="Arial"/>
                <w:b w:val="0"/>
                <w:bCs w:val="0"/>
                <w:i w:val="0"/>
                <w:iCs w:val="0"/>
                <w:caps w:val="0"/>
                <w:smallCaps w:val="0"/>
                <w:color w:val="000000" w:themeColor="text1" w:themeTint="FF" w:themeShade="FF"/>
                <w:sz w:val="19"/>
                <w:szCs w:val="19"/>
              </w:rPr>
              <w:t>Favorable</w:t>
            </w:r>
          </w:p>
        </w:tc>
      </w:tr>
      <w:tr w:rsidR="179D6B47" w:rsidTr="2844D780" w14:paraId="12D5C8AE">
        <w:tc>
          <w:tcPr>
            <w:tcW w:w="1560" w:type="dxa"/>
            <w:tcBorders>
              <w:left w:val="single" w:sz="12"/>
              <w:right w:val="single" w:sz="12"/>
            </w:tcBorders>
            <w:tcMar/>
            <w:vAlign w:val="top"/>
          </w:tcPr>
          <w:p w:rsidR="179D6B47" w:rsidP="179D6B47" w:rsidRDefault="179D6B47" w14:paraId="73D320E6" w14:textId="2864E37A">
            <w:pPr>
              <w:spacing w:after="200" w:line="276" w:lineRule="auto"/>
              <w:rPr>
                <w:rFonts w:ascii="Arial" w:hAnsi="Arial" w:eastAsia="Arial" w:cs="Arial"/>
                <w:b w:val="0"/>
                <w:bCs w:val="0"/>
                <w:i w:val="0"/>
                <w:iCs w:val="0"/>
                <w:caps w:val="0"/>
                <w:smallCaps w:val="0"/>
                <w:color w:val="000000" w:themeColor="text1" w:themeTint="FF" w:themeShade="FF"/>
                <w:sz w:val="20"/>
                <w:szCs w:val="20"/>
              </w:rPr>
            </w:pPr>
          </w:p>
        </w:tc>
        <w:tc>
          <w:tcPr>
            <w:tcW w:w="1695" w:type="dxa"/>
            <w:tcBorders>
              <w:top w:val="single" w:sz="6"/>
              <w:bottom w:val="single" w:sz="6"/>
            </w:tcBorders>
            <w:tcMar/>
            <w:vAlign w:val="top"/>
          </w:tcPr>
          <w:p w:rsidR="179D6B47" w:rsidP="179D6B47" w:rsidRDefault="179D6B47" w14:paraId="5E389366" w14:textId="2FBAD680">
            <w:pPr>
              <w:spacing w:after="140" w:afterAutospacing="off" w:line="276" w:lineRule="auto"/>
              <w:rPr>
                <w:rFonts w:ascii="Arial" w:hAnsi="Arial" w:eastAsia="Arial" w:cs="Arial"/>
                <w:b w:val="0"/>
                <w:bCs w:val="0"/>
                <w:i w:val="0"/>
                <w:iCs w:val="0"/>
                <w:caps w:val="0"/>
                <w:smallCaps w:val="0"/>
                <w:color w:val="000000" w:themeColor="text1" w:themeTint="FF" w:themeShade="FF"/>
                <w:sz w:val="20"/>
                <w:szCs w:val="20"/>
              </w:rPr>
            </w:pPr>
            <w:r w:rsidRPr="179D6B47" w:rsidR="179D6B47">
              <w:rPr>
                <w:rFonts w:ascii="Arial" w:hAnsi="Arial" w:eastAsia="Arial" w:cs="Arial"/>
                <w:b w:val="0"/>
                <w:bCs w:val="0"/>
                <w:i w:val="0"/>
                <w:iCs w:val="0"/>
                <w:caps w:val="0"/>
                <w:smallCaps w:val="0"/>
                <w:color w:val="000000" w:themeColor="text1" w:themeTint="FF" w:themeShade="FF"/>
                <w:sz w:val="20"/>
                <w:szCs w:val="20"/>
                <w:lang w:val="fr-FR"/>
              </w:rPr>
              <w:t>Franc</w:t>
            </w:r>
          </w:p>
        </w:tc>
        <w:tc>
          <w:tcPr>
            <w:tcW w:w="1335" w:type="dxa"/>
            <w:tcBorders>
              <w:top w:val="single" w:sz="6"/>
              <w:bottom w:val="single" w:sz="6"/>
              <w:right w:val="single" w:sz="6"/>
            </w:tcBorders>
            <w:tcMar/>
            <w:vAlign w:val="top"/>
          </w:tcPr>
          <w:p w:rsidR="179D6B47" w:rsidP="179D6B47" w:rsidRDefault="179D6B47" w14:paraId="3D9D1FAF" w14:textId="128791ED">
            <w:pPr>
              <w:spacing w:after="140" w:afterAutospacing="off" w:line="276" w:lineRule="auto"/>
              <w:rPr>
                <w:rFonts w:ascii="Arial" w:hAnsi="Arial" w:eastAsia="Arial" w:cs="Arial"/>
                <w:b w:val="0"/>
                <w:bCs w:val="0"/>
                <w:i w:val="0"/>
                <w:iCs w:val="0"/>
                <w:caps w:val="0"/>
                <w:smallCaps w:val="0"/>
                <w:color w:val="000000" w:themeColor="text1" w:themeTint="FF" w:themeShade="FF"/>
                <w:sz w:val="20"/>
                <w:szCs w:val="20"/>
              </w:rPr>
            </w:pPr>
            <w:r w:rsidRPr="179D6B47" w:rsidR="179D6B47">
              <w:rPr>
                <w:rFonts w:ascii="Arial" w:hAnsi="Arial" w:eastAsia="Arial" w:cs="Arial"/>
                <w:b w:val="0"/>
                <w:bCs w:val="0"/>
                <w:i w:val="0"/>
                <w:iCs w:val="0"/>
                <w:caps w:val="0"/>
                <w:smallCaps w:val="0"/>
                <w:color w:val="000000" w:themeColor="text1" w:themeTint="FF" w:themeShade="FF"/>
                <w:sz w:val="20"/>
                <w:szCs w:val="20"/>
                <w:lang w:val="fr-FR"/>
              </w:rPr>
              <w:t>Alain</w:t>
            </w:r>
          </w:p>
        </w:tc>
        <w:tc>
          <w:tcPr>
            <w:tcW w:w="1395" w:type="dxa"/>
            <w:tcBorders>
              <w:top w:val="single" w:sz="6"/>
              <w:left w:val="single" w:sz="6"/>
              <w:bottom w:val="single" w:sz="6"/>
              <w:right w:val="single" w:sz="6"/>
            </w:tcBorders>
            <w:tcMar/>
            <w:vAlign w:val="top"/>
          </w:tcPr>
          <w:p w:rsidR="179D6B47" w:rsidP="179D6B47" w:rsidRDefault="179D6B47" w14:paraId="388F0DBD" w14:textId="269C6E38">
            <w:pPr>
              <w:spacing w:after="140" w:afterAutospacing="off" w:line="276" w:lineRule="auto"/>
              <w:rPr>
                <w:rFonts w:ascii="Arial" w:hAnsi="Arial" w:eastAsia="Arial" w:cs="Arial"/>
                <w:b w:val="0"/>
                <w:bCs w:val="0"/>
                <w:i w:val="0"/>
                <w:iCs w:val="0"/>
                <w:caps w:val="0"/>
                <w:smallCaps w:val="0"/>
                <w:color w:val="000000" w:themeColor="text1" w:themeTint="FF" w:themeShade="FF"/>
                <w:sz w:val="20"/>
                <w:szCs w:val="20"/>
              </w:rPr>
            </w:pPr>
            <w:r w:rsidRPr="179D6B47" w:rsidR="179D6B47">
              <w:rPr>
                <w:rFonts w:ascii="Arial" w:hAnsi="Arial" w:eastAsia="Arial" w:cs="Arial"/>
                <w:b w:val="0"/>
                <w:bCs w:val="0"/>
                <w:i w:val="0"/>
                <w:iCs w:val="0"/>
                <w:caps w:val="0"/>
                <w:smallCaps w:val="0"/>
                <w:color w:val="000000" w:themeColor="text1" w:themeTint="FF" w:themeShade="FF"/>
                <w:sz w:val="20"/>
                <w:szCs w:val="20"/>
                <w:lang w:val="fr-FR"/>
              </w:rPr>
              <w:t>CFE-CGC</w:t>
            </w:r>
          </w:p>
        </w:tc>
        <w:tc>
          <w:tcPr>
            <w:tcW w:w="2385" w:type="dxa"/>
            <w:tcBorders>
              <w:top w:val="single" w:sz="6"/>
              <w:left w:val="single" w:sz="6"/>
              <w:bottom w:val="single" w:sz="6"/>
              <w:right w:val="single" w:sz="12"/>
            </w:tcBorders>
            <w:tcMar/>
            <w:vAlign w:val="top"/>
          </w:tcPr>
          <w:p w:rsidR="179D6B47" w:rsidP="18175F3D" w:rsidRDefault="179D6B47" w14:paraId="21104FA4" w14:textId="6EE9FC97">
            <w:pPr>
              <w:pStyle w:val="Normal"/>
              <w:spacing w:after="140" w:afterAutospacing="off" w:line="276" w:lineRule="auto"/>
              <w:rPr>
                <w:rFonts w:ascii="Arial" w:hAnsi="Arial" w:eastAsia="Arial" w:cs="Arial"/>
                <w:b w:val="0"/>
                <w:bCs w:val="0"/>
                <w:i w:val="0"/>
                <w:iCs w:val="0"/>
                <w:caps w:val="0"/>
                <w:smallCaps w:val="0"/>
                <w:color w:val="000000" w:themeColor="text1" w:themeTint="FF" w:themeShade="FF"/>
                <w:sz w:val="19"/>
                <w:szCs w:val="19"/>
              </w:rPr>
            </w:pPr>
            <w:r w:rsidRPr="18175F3D" w:rsidR="53807C27">
              <w:rPr>
                <w:rFonts w:ascii="Arial" w:hAnsi="Arial" w:eastAsia="Arial" w:cs="Arial"/>
                <w:b w:val="0"/>
                <w:bCs w:val="0"/>
                <w:i w:val="0"/>
                <w:iCs w:val="0"/>
                <w:caps w:val="0"/>
                <w:smallCaps w:val="0"/>
                <w:color w:val="000000" w:themeColor="text1" w:themeTint="FF" w:themeShade="FF"/>
                <w:sz w:val="19"/>
                <w:szCs w:val="19"/>
              </w:rPr>
              <w:t>Favorable</w:t>
            </w:r>
          </w:p>
        </w:tc>
      </w:tr>
      <w:tr w:rsidR="179D6B47" w:rsidTr="2844D780" w14:paraId="2A61B1A1">
        <w:tc>
          <w:tcPr>
            <w:tcW w:w="1560" w:type="dxa"/>
            <w:tcBorders>
              <w:left w:val="single" w:sz="12"/>
              <w:right w:val="single" w:sz="12"/>
            </w:tcBorders>
            <w:tcMar/>
            <w:vAlign w:val="top"/>
          </w:tcPr>
          <w:p w:rsidR="179D6B47" w:rsidP="179D6B47" w:rsidRDefault="179D6B47" w14:paraId="511CD08C" w14:textId="4613EC32">
            <w:pPr>
              <w:spacing w:after="200" w:line="276" w:lineRule="auto"/>
              <w:rPr>
                <w:rFonts w:ascii="Arial" w:hAnsi="Arial" w:eastAsia="Arial" w:cs="Arial"/>
                <w:b w:val="0"/>
                <w:bCs w:val="0"/>
                <w:i w:val="0"/>
                <w:iCs w:val="0"/>
                <w:caps w:val="0"/>
                <w:smallCaps w:val="0"/>
                <w:color w:val="000000" w:themeColor="text1" w:themeTint="FF" w:themeShade="FF"/>
                <w:sz w:val="20"/>
                <w:szCs w:val="20"/>
              </w:rPr>
            </w:pPr>
          </w:p>
        </w:tc>
        <w:tc>
          <w:tcPr>
            <w:tcW w:w="1695" w:type="dxa"/>
            <w:tcBorders>
              <w:top w:val="single" w:sz="6"/>
              <w:bottom w:val="single" w:sz="6"/>
            </w:tcBorders>
            <w:tcMar/>
            <w:vAlign w:val="top"/>
          </w:tcPr>
          <w:p w:rsidR="179D6B47" w:rsidP="179D6B47" w:rsidRDefault="179D6B47" w14:paraId="54D5CB92" w14:textId="0E959FF1">
            <w:pPr>
              <w:spacing w:before="0" w:beforeAutospacing="off" w:after="140" w:afterAutospacing="off" w:line="276" w:lineRule="auto"/>
              <w:ind w:left="0" w:right="0"/>
              <w:jc w:val="left"/>
              <w:rPr>
                <w:rFonts w:ascii="Arial" w:hAnsi="Arial" w:eastAsia="Arial" w:cs="Arial"/>
                <w:b w:val="0"/>
                <w:bCs w:val="0"/>
                <w:i w:val="0"/>
                <w:iCs w:val="0"/>
                <w:caps w:val="0"/>
                <w:smallCaps w:val="0"/>
                <w:color w:val="000000" w:themeColor="text1" w:themeTint="FF" w:themeShade="FF"/>
                <w:sz w:val="20"/>
                <w:szCs w:val="20"/>
              </w:rPr>
            </w:pPr>
            <w:r w:rsidRPr="179D6B47" w:rsidR="179D6B47">
              <w:rPr>
                <w:rFonts w:ascii="Arial" w:hAnsi="Arial" w:eastAsia="Arial" w:cs="Arial"/>
                <w:b w:val="0"/>
                <w:bCs w:val="0"/>
                <w:i w:val="0"/>
                <w:iCs w:val="0"/>
                <w:caps w:val="0"/>
                <w:smallCaps w:val="0"/>
                <w:color w:val="000000" w:themeColor="text1" w:themeTint="FF" w:themeShade="FF"/>
                <w:sz w:val="20"/>
                <w:szCs w:val="20"/>
                <w:lang w:val="fr-FR"/>
              </w:rPr>
              <w:t>Cuvelier</w:t>
            </w:r>
          </w:p>
        </w:tc>
        <w:tc>
          <w:tcPr>
            <w:tcW w:w="1335" w:type="dxa"/>
            <w:tcBorders>
              <w:top w:val="single" w:sz="6"/>
              <w:bottom w:val="single" w:sz="6"/>
              <w:right w:val="single" w:sz="6"/>
            </w:tcBorders>
            <w:tcMar/>
            <w:vAlign w:val="top"/>
          </w:tcPr>
          <w:p w:rsidR="179D6B47" w:rsidP="179D6B47" w:rsidRDefault="179D6B47" w14:paraId="4CD00E24" w14:textId="1D23174C">
            <w:pPr>
              <w:spacing w:before="0" w:beforeAutospacing="off" w:after="140" w:afterAutospacing="off" w:line="276" w:lineRule="auto"/>
              <w:ind w:left="0" w:right="0"/>
              <w:jc w:val="left"/>
              <w:rPr>
                <w:rFonts w:ascii="Arial" w:hAnsi="Arial" w:eastAsia="Arial" w:cs="Arial"/>
                <w:b w:val="0"/>
                <w:bCs w:val="0"/>
                <w:i w:val="0"/>
                <w:iCs w:val="0"/>
                <w:caps w:val="0"/>
                <w:smallCaps w:val="0"/>
                <w:color w:val="000000" w:themeColor="text1" w:themeTint="FF" w:themeShade="FF"/>
                <w:sz w:val="20"/>
                <w:szCs w:val="20"/>
              </w:rPr>
            </w:pPr>
            <w:r w:rsidRPr="179D6B47" w:rsidR="179D6B47">
              <w:rPr>
                <w:rFonts w:ascii="Arial" w:hAnsi="Arial" w:eastAsia="Arial" w:cs="Arial"/>
                <w:b w:val="0"/>
                <w:bCs w:val="0"/>
                <w:i w:val="0"/>
                <w:iCs w:val="0"/>
                <w:caps w:val="0"/>
                <w:smallCaps w:val="0"/>
                <w:color w:val="000000" w:themeColor="text1" w:themeTint="FF" w:themeShade="FF"/>
                <w:sz w:val="20"/>
                <w:szCs w:val="20"/>
                <w:lang w:val="fr-FR"/>
              </w:rPr>
              <w:t>Bénédicte</w:t>
            </w:r>
          </w:p>
        </w:tc>
        <w:tc>
          <w:tcPr>
            <w:tcW w:w="1395" w:type="dxa"/>
            <w:tcBorders>
              <w:top w:val="single" w:sz="6"/>
              <w:left w:val="single" w:sz="6"/>
              <w:bottom w:val="single" w:sz="6"/>
              <w:right w:val="single" w:sz="6"/>
            </w:tcBorders>
            <w:tcMar/>
            <w:vAlign w:val="top"/>
          </w:tcPr>
          <w:p w:rsidR="179D6B47" w:rsidP="179D6B47" w:rsidRDefault="179D6B47" w14:paraId="49036584" w14:textId="60E5D40D">
            <w:pPr>
              <w:spacing w:after="140" w:afterAutospacing="off" w:line="276" w:lineRule="auto"/>
              <w:rPr>
                <w:rFonts w:ascii="Arial" w:hAnsi="Arial" w:eastAsia="Arial" w:cs="Arial"/>
                <w:b w:val="0"/>
                <w:bCs w:val="0"/>
                <w:i w:val="0"/>
                <w:iCs w:val="0"/>
                <w:caps w:val="0"/>
                <w:smallCaps w:val="0"/>
                <w:color w:val="000000" w:themeColor="text1" w:themeTint="FF" w:themeShade="FF"/>
                <w:sz w:val="20"/>
                <w:szCs w:val="20"/>
              </w:rPr>
            </w:pPr>
            <w:r w:rsidRPr="179D6B47" w:rsidR="179D6B47">
              <w:rPr>
                <w:rFonts w:ascii="Arial" w:hAnsi="Arial" w:eastAsia="Arial" w:cs="Arial"/>
                <w:b w:val="0"/>
                <w:bCs w:val="0"/>
                <w:i w:val="0"/>
                <w:iCs w:val="0"/>
                <w:caps w:val="0"/>
                <w:smallCaps w:val="0"/>
                <w:color w:val="000000" w:themeColor="text1" w:themeTint="FF" w:themeShade="FF"/>
                <w:sz w:val="20"/>
                <w:szCs w:val="20"/>
                <w:lang w:val="fr-FR"/>
              </w:rPr>
              <w:t>CFE-CGC</w:t>
            </w:r>
          </w:p>
        </w:tc>
        <w:tc>
          <w:tcPr>
            <w:tcW w:w="2385" w:type="dxa"/>
            <w:tcBorders>
              <w:top w:val="single" w:sz="6"/>
              <w:left w:val="single" w:sz="6"/>
              <w:bottom w:val="single" w:sz="6"/>
              <w:right w:val="single" w:sz="12"/>
            </w:tcBorders>
            <w:tcMar/>
            <w:vAlign w:val="top"/>
          </w:tcPr>
          <w:p w:rsidR="179D6B47" w:rsidP="18175F3D" w:rsidRDefault="179D6B47" w14:paraId="0D9130B4" w14:textId="3EB8271C">
            <w:pPr>
              <w:pStyle w:val="Normal"/>
              <w:spacing w:after="140" w:afterAutospacing="off" w:line="276" w:lineRule="auto"/>
              <w:rPr>
                <w:rFonts w:ascii="Arial" w:hAnsi="Arial" w:eastAsia="Arial" w:cs="Arial"/>
                <w:b w:val="0"/>
                <w:bCs w:val="0"/>
                <w:i w:val="0"/>
                <w:iCs w:val="0"/>
                <w:caps w:val="0"/>
                <w:smallCaps w:val="0"/>
                <w:color w:val="000000" w:themeColor="text1" w:themeTint="FF" w:themeShade="FF"/>
                <w:sz w:val="19"/>
                <w:szCs w:val="19"/>
              </w:rPr>
            </w:pPr>
            <w:r w:rsidRPr="18175F3D" w:rsidR="71E4E515">
              <w:rPr>
                <w:rFonts w:ascii="Arial" w:hAnsi="Arial" w:eastAsia="Arial" w:cs="Arial"/>
                <w:b w:val="0"/>
                <w:bCs w:val="0"/>
                <w:i w:val="0"/>
                <w:iCs w:val="0"/>
                <w:caps w:val="0"/>
                <w:smallCaps w:val="0"/>
                <w:color w:val="000000" w:themeColor="text1" w:themeTint="FF" w:themeShade="FF"/>
                <w:sz w:val="19"/>
                <w:szCs w:val="19"/>
              </w:rPr>
              <w:t>Favorable</w:t>
            </w:r>
          </w:p>
        </w:tc>
      </w:tr>
      <w:tr w:rsidR="179D6B47" w:rsidTr="2844D780" w14:paraId="225A1A36">
        <w:tc>
          <w:tcPr>
            <w:tcW w:w="1560" w:type="dxa"/>
            <w:tcBorders>
              <w:left w:val="single" w:sz="12"/>
              <w:right w:val="single" w:sz="12"/>
            </w:tcBorders>
            <w:tcMar/>
            <w:vAlign w:val="top"/>
          </w:tcPr>
          <w:p w:rsidR="179D6B47" w:rsidP="179D6B47" w:rsidRDefault="179D6B47" w14:paraId="10A86D90" w14:textId="22EDBC82">
            <w:pPr>
              <w:spacing w:after="200" w:line="276" w:lineRule="auto"/>
              <w:rPr>
                <w:rFonts w:ascii="Arial" w:hAnsi="Arial" w:eastAsia="Arial" w:cs="Arial"/>
                <w:b w:val="0"/>
                <w:bCs w:val="0"/>
                <w:i w:val="0"/>
                <w:iCs w:val="0"/>
                <w:caps w:val="0"/>
                <w:smallCaps w:val="0"/>
                <w:color w:val="000000" w:themeColor="text1" w:themeTint="FF" w:themeShade="FF"/>
                <w:sz w:val="20"/>
                <w:szCs w:val="20"/>
              </w:rPr>
            </w:pPr>
          </w:p>
        </w:tc>
        <w:tc>
          <w:tcPr>
            <w:tcW w:w="1695" w:type="dxa"/>
            <w:tcBorders>
              <w:top w:val="single" w:sz="6"/>
              <w:bottom w:val="single" w:sz="6"/>
            </w:tcBorders>
            <w:tcMar/>
            <w:vAlign w:val="top"/>
          </w:tcPr>
          <w:p w:rsidR="179D6B47" w:rsidP="18175F3D" w:rsidRDefault="179D6B47" w14:paraId="001D2D70" w14:textId="6DFCFF45">
            <w:pPr>
              <w:spacing w:after="140" w:afterAutospacing="off" w:line="276" w:lineRule="auto"/>
              <w:rPr>
                <w:rFonts w:ascii="Arial" w:hAnsi="Arial" w:eastAsia="Arial" w:cs="Arial"/>
                <w:b w:val="0"/>
                <w:bCs w:val="0"/>
                <w:i w:val="0"/>
                <w:iCs w:val="0"/>
                <w:caps w:val="0"/>
                <w:smallCaps w:val="0"/>
                <w:color w:val="000000" w:themeColor="text1" w:themeTint="FF" w:themeShade="FF"/>
                <w:sz w:val="20"/>
                <w:szCs w:val="20"/>
              </w:rPr>
            </w:pPr>
            <w:r w:rsidRPr="18175F3D" w:rsidR="2689F41A">
              <w:rPr>
                <w:rFonts w:ascii="Arial" w:hAnsi="Arial" w:eastAsia="Arial" w:cs="Arial"/>
                <w:b w:val="0"/>
                <w:bCs w:val="0"/>
                <w:i w:val="0"/>
                <w:iCs w:val="0"/>
                <w:caps w:val="0"/>
                <w:smallCaps w:val="0"/>
                <w:color w:val="000000" w:themeColor="text1" w:themeTint="FF" w:themeShade="FF"/>
                <w:sz w:val="20"/>
                <w:szCs w:val="20"/>
                <w:lang w:val="fr-FR"/>
              </w:rPr>
              <w:t>Le Grand</w:t>
            </w:r>
          </w:p>
        </w:tc>
        <w:tc>
          <w:tcPr>
            <w:tcW w:w="1335" w:type="dxa"/>
            <w:tcBorders>
              <w:top w:val="single" w:sz="6"/>
              <w:bottom w:val="single" w:sz="6"/>
              <w:right w:val="single" w:sz="6"/>
            </w:tcBorders>
            <w:tcMar/>
            <w:vAlign w:val="top"/>
          </w:tcPr>
          <w:p w:rsidR="179D6B47" w:rsidP="18175F3D" w:rsidRDefault="179D6B47" w14:paraId="075B63D4" w14:textId="1AB71427">
            <w:pPr>
              <w:pStyle w:val="Normal"/>
              <w:bidi w:val="0"/>
              <w:spacing w:before="0" w:beforeAutospacing="off" w:after="140" w:afterAutospacing="off" w:line="276" w:lineRule="auto"/>
              <w:ind w:left="0" w:right="0"/>
              <w:jc w:val="left"/>
            </w:pPr>
            <w:r w:rsidRPr="18175F3D" w:rsidR="2689F41A">
              <w:rPr>
                <w:rFonts w:ascii="Arial" w:hAnsi="Arial" w:eastAsia="Arial" w:cs="Arial"/>
                <w:b w:val="0"/>
                <w:bCs w:val="0"/>
                <w:i w:val="0"/>
                <w:iCs w:val="0"/>
                <w:caps w:val="0"/>
                <w:smallCaps w:val="0"/>
                <w:color w:val="000000" w:themeColor="text1" w:themeTint="FF" w:themeShade="FF"/>
                <w:sz w:val="20"/>
                <w:szCs w:val="20"/>
                <w:lang w:val="fr-FR"/>
              </w:rPr>
              <w:t>Dominique</w:t>
            </w:r>
          </w:p>
        </w:tc>
        <w:tc>
          <w:tcPr>
            <w:tcW w:w="1395" w:type="dxa"/>
            <w:tcBorders>
              <w:top w:val="single" w:sz="6"/>
              <w:bottom w:val="single" w:sz="6"/>
              <w:right w:val="single" w:sz="6"/>
            </w:tcBorders>
            <w:tcMar/>
            <w:vAlign w:val="top"/>
          </w:tcPr>
          <w:p w:rsidR="179D6B47" w:rsidP="179D6B47" w:rsidRDefault="179D6B47" w14:paraId="39B07FFD" w14:textId="4C3CB822">
            <w:pPr>
              <w:spacing w:after="140" w:afterAutospacing="off" w:line="276" w:lineRule="auto"/>
              <w:rPr>
                <w:rFonts w:ascii="Arial" w:hAnsi="Arial" w:eastAsia="Arial" w:cs="Arial"/>
                <w:b w:val="0"/>
                <w:bCs w:val="0"/>
                <w:i w:val="0"/>
                <w:iCs w:val="0"/>
                <w:caps w:val="0"/>
                <w:smallCaps w:val="0"/>
                <w:color w:val="000000" w:themeColor="text1" w:themeTint="FF" w:themeShade="FF"/>
                <w:sz w:val="20"/>
                <w:szCs w:val="20"/>
              </w:rPr>
            </w:pPr>
            <w:r w:rsidRPr="179D6B47" w:rsidR="179D6B47">
              <w:rPr>
                <w:rFonts w:ascii="Arial" w:hAnsi="Arial" w:eastAsia="Arial" w:cs="Arial"/>
                <w:b w:val="0"/>
                <w:bCs w:val="0"/>
                <w:i w:val="0"/>
                <w:iCs w:val="0"/>
                <w:caps w:val="0"/>
                <w:smallCaps w:val="0"/>
                <w:color w:val="000000" w:themeColor="text1" w:themeTint="FF" w:themeShade="FF"/>
                <w:sz w:val="20"/>
                <w:szCs w:val="20"/>
                <w:lang w:val="fr-FR"/>
              </w:rPr>
              <w:t>CFE-CGC</w:t>
            </w:r>
          </w:p>
        </w:tc>
        <w:tc>
          <w:tcPr>
            <w:tcW w:w="2385" w:type="dxa"/>
            <w:tcBorders>
              <w:top w:val="single" w:sz="6"/>
              <w:bottom w:val="single" w:sz="6"/>
              <w:right w:val="single" w:sz="12"/>
            </w:tcBorders>
            <w:tcMar/>
            <w:vAlign w:val="top"/>
          </w:tcPr>
          <w:p w:rsidR="179D6B47" w:rsidP="18175F3D" w:rsidRDefault="179D6B47" w14:paraId="065CC6F6" w14:textId="17B76A08">
            <w:pPr>
              <w:pStyle w:val="Normal"/>
              <w:spacing w:after="140" w:afterAutospacing="off" w:line="276" w:lineRule="auto"/>
              <w:rPr>
                <w:rFonts w:ascii="Arial" w:hAnsi="Arial" w:eastAsia="Arial" w:cs="Arial"/>
                <w:b w:val="0"/>
                <w:bCs w:val="0"/>
                <w:i w:val="0"/>
                <w:iCs w:val="0"/>
                <w:caps w:val="0"/>
                <w:smallCaps w:val="0"/>
                <w:color w:val="000000" w:themeColor="text1" w:themeTint="FF" w:themeShade="FF"/>
                <w:sz w:val="19"/>
                <w:szCs w:val="19"/>
              </w:rPr>
            </w:pPr>
            <w:r w:rsidRPr="18175F3D" w:rsidR="5E1978CE">
              <w:rPr>
                <w:rFonts w:ascii="Arial" w:hAnsi="Arial" w:eastAsia="Arial" w:cs="Arial"/>
                <w:b w:val="0"/>
                <w:bCs w:val="0"/>
                <w:i w:val="0"/>
                <w:iCs w:val="0"/>
                <w:caps w:val="0"/>
                <w:smallCaps w:val="0"/>
                <w:color w:val="000000" w:themeColor="text1" w:themeTint="FF" w:themeShade="FF"/>
                <w:sz w:val="19"/>
                <w:szCs w:val="19"/>
              </w:rPr>
              <w:t>Favorable</w:t>
            </w:r>
          </w:p>
        </w:tc>
      </w:tr>
      <w:tr w:rsidR="179D6B47" w:rsidTr="2844D780" w14:paraId="7EE8E7ED">
        <w:tc>
          <w:tcPr>
            <w:tcW w:w="1560" w:type="dxa"/>
            <w:tcBorders>
              <w:left w:val="single" w:sz="12"/>
              <w:right w:val="single" w:sz="12"/>
            </w:tcBorders>
            <w:tcMar/>
            <w:vAlign w:val="top"/>
          </w:tcPr>
          <w:p w:rsidR="179D6B47" w:rsidP="179D6B47" w:rsidRDefault="179D6B47" w14:paraId="3EDCEA6A" w14:textId="07BD5BA5">
            <w:pPr>
              <w:spacing w:after="200" w:line="276" w:lineRule="auto"/>
              <w:rPr>
                <w:rFonts w:ascii="Arial" w:hAnsi="Arial" w:eastAsia="Arial" w:cs="Arial"/>
                <w:b w:val="0"/>
                <w:bCs w:val="0"/>
                <w:i w:val="0"/>
                <w:iCs w:val="0"/>
                <w:caps w:val="0"/>
                <w:smallCaps w:val="0"/>
                <w:color w:val="000000" w:themeColor="text1" w:themeTint="FF" w:themeShade="FF"/>
                <w:sz w:val="20"/>
                <w:szCs w:val="20"/>
              </w:rPr>
            </w:pPr>
          </w:p>
        </w:tc>
        <w:tc>
          <w:tcPr>
            <w:tcW w:w="1695" w:type="dxa"/>
            <w:tcBorders>
              <w:top w:val="single" w:sz="6"/>
              <w:bottom w:val="single" w:sz="6"/>
            </w:tcBorders>
            <w:tcMar/>
            <w:vAlign w:val="top"/>
          </w:tcPr>
          <w:p w:rsidR="179D6B47" w:rsidP="179D6B47" w:rsidRDefault="179D6B47" w14:paraId="00F37D45" w14:textId="4B4CF188">
            <w:pPr>
              <w:spacing w:after="140" w:afterAutospacing="off" w:line="276" w:lineRule="auto"/>
              <w:rPr>
                <w:rFonts w:ascii="Arial" w:hAnsi="Arial" w:eastAsia="Arial" w:cs="Arial"/>
                <w:b w:val="0"/>
                <w:bCs w:val="0"/>
                <w:i w:val="0"/>
                <w:iCs w:val="0"/>
                <w:caps w:val="0"/>
                <w:smallCaps w:val="0"/>
                <w:color w:val="000000" w:themeColor="text1" w:themeTint="FF" w:themeShade="FF"/>
                <w:sz w:val="20"/>
                <w:szCs w:val="20"/>
              </w:rPr>
            </w:pPr>
            <w:r w:rsidRPr="179D6B47" w:rsidR="179D6B47">
              <w:rPr>
                <w:rFonts w:ascii="Arial" w:hAnsi="Arial" w:eastAsia="Arial" w:cs="Arial"/>
                <w:b w:val="0"/>
                <w:bCs w:val="0"/>
                <w:i w:val="0"/>
                <w:iCs w:val="0"/>
                <w:caps w:val="0"/>
                <w:smallCaps w:val="0"/>
                <w:color w:val="000000" w:themeColor="text1" w:themeTint="FF" w:themeShade="FF"/>
                <w:sz w:val="20"/>
                <w:szCs w:val="20"/>
                <w:lang w:val="fr-FR"/>
              </w:rPr>
              <w:t>Bourdet</w:t>
            </w:r>
          </w:p>
        </w:tc>
        <w:tc>
          <w:tcPr>
            <w:tcW w:w="1335" w:type="dxa"/>
            <w:tcBorders>
              <w:top w:val="single" w:sz="6"/>
              <w:bottom w:val="single" w:sz="6"/>
              <w:right w:val="single" w:sz="6"/>
            </w:tcBorders>
            <w:tcMar/>
            <w:vAlign w:val="top"/>
          </w:tcPr>
          <w:p w:rsidR="179D6B47" w:rsidP="179D6B47" w:rsidRDefault="179D6B47" w14:paraId="2E37B6F5" w14:textId="5712F9D4">
            <w:pPr>
              <w:spacing w:after="140" w:afterAutospacing="off" w:line="276" w:lineRule="auto"/>
              <w:rPr>
                <w:rFonts w:ascii="Arial" w:hAnsi="Arial" w:eastAsia="Arial" w:cs="Arial"/>
                <w:b w:val="0"/>
                <w:bCs w:val="0"/>
                <w:i w:val="0"/>
                <w:iCs w:val="0"/>
                <w:caps w:val="0"/>
                <w:smallCaps w:val="0"/>
                <w:color w:val="000000" w:themeColor="text1" w:themeTint="FF" w:themeShade="FF"/>
                <w:sz w:val="20"/>
                <w:szCs w:val="20"/>
              </w:rPr>
            </w:pPr>
            <w:r w:rsidRPr="179D6B47" w:rsidR="179D6B47">
              <w:rPr>
                <w:rFonts w:ascii="Arial" w:hAnsi="Arial" w:eastAsia="Arial" w:cs="Arial"/>
                <w:b w:val="0"/>
                <w:bCs w:val="0"/>
                <w:i w:val="0"/>
                <w:iCs w:val="0"/>
                <w:caps w:val="0"/>
                <w:smallCaps w:val="0"/>
                <w:color w:val="000000" w:themeColor="text1" w:themeTint="FF" w:themeShade="FF"/>
                <w:sz w:val="20"/>
                <w:szCs w:val="20"/>
                <w:lang w:val="fr-FR"/>
              </w:rPr>
              <w:t>Nathalie</w:t>
            </w:r>
          </w:p>
        </w:tc>
        <w:tc>
          <w:tcPr>
            <w:tcW w:w="1395" w:type="dxa"/>
            <w:tcBorders>
              <w:top w:val="single" w:sz="6"/>
              <w:bottom w:val="single" w:sz="6"/>
              <w:right w:val="single" w:sz="6"/>
            </w:tcBorders>
            <w:tcMar/>
            <w:vAlign w:val="top"/>
          </w:tcPr>
          <w:p w:rsidR="179D6B47" w:rsidP="179D6B47" w:rsidRDefault="179D6B47" w14:paraId="252692CC" w14:textId="37B690B5">
            <w:pPr>
              <w:spacing w:after="140" w:afterAutospacing="off" w:line="276" w:lineRule="auto"/>
              <w:rPr>
                <w:rFonts w:ascii="Arial" w:hAnsi="Arial" w:eastAsia="Arial" w:cs="Arial"/>
                <w:b w:val="0"/>
                <w:bCs w:val="0"/>
                <w:i w:val="0"/>
                <w:iCs w:val="0"/>
                <w:caps w:val="0"/>
                <w:smallCaps w:val="0"/>
                <w:color w:val="000000" w:themeColor="text1" w:themeTint="FF" w:themeShade="FF"/>
                <w:sz w:val="20"/>
                <w:szCs w:val="20"/>
              </w:rPr>
            </w:pPr>
            <w:r w:rsidRPr="179D6B47" w:rsidR="179D6B47">
              <w:rPr>
                <w:rFonts w:ascii="Arial" w:hAnsi="Arial" w:eastAsia="Arial" w:cs="Arial"/>
                <w:b w:val="0"/>
                <w:bCs w:val="0"/>
                <w:i w:val="0"/>
                <w:iCs w:val="0"/>
                <w:caps w:val="0"/>
                <w:smallCaps w:val="0"/>
                <w:color w:val="000000" w:themeColor="text1" w:themeTint="FF" w:themeShade="FF"/>
                <w:sz w:val="20"/>
                <w:szCs w:val="20"/>
                <w:lang w:val="fr-FR"/>
              </w:rPr>
              <w:t>CFE-CGC</w:t>
            </w:r>
          </w:p>
        </w:tc>
        <w:tc>
          <w:tcPr>
            <w:tcW w:w="2385" w:type="dxa"/>
            <w:tcBorders>
              <w:top w:val="single" w:sz="6"/>
              <w:bottom w:val="single" w:sz="6"/>
              <w:right w:val="single" w:sz="12"/>
            </w:tcBorders>
            <w:tcMar/>
            <w:vAlign w:val="top"/>
          </w:tcPr>
          <w:p w:rsidR="179D6B47" w:rsidP="18175F3D" w:rsidRDefault="179D6B47" w14:paraId="385AF4E2" w14:textId="1F072A35">
            <w:pPr>
              <w:pStyle w:val="Normal"/>
              <w:spacing w:after="140" w:afterAutospacing="off" w:line="276" w:lineRule="auto"/>
              <w:rPr>
                <w:rFonts w:ascii="Arial" w:hAnsi="Arial" w:eastAsia="Arial" w:cs="Arial"/>
                <w:b w:val="0"/>
                <w:bCs w:val="0"/>
                <w:i w:val="0"/>
                <w:iCs w:val="0"/>
                <w:caps w:val="0"/>
                <w:smallCaps w:val="0"/>
                <w:color w:val="000000" w:themeColor="text1" w:themeTint="FF" w:themeShade="FF"/>
                <w:sz w:val="19"/>
                <w:szCs w:val="19"/>
              </w:rPr>
            </w:pPr>
            <w:r w:rsidRPr="18175F3D" w:rsidR="3E333F86">
              <w:rPr>
                <w:rFonts w:ascii="Arial" w:hAnsi="Arial" w:eastAsia="Arial" w:cs="Arial"/>
                <w:b w:val="0"/>
                <w:bCs w:val="0"/>
                <w:i w:val="0"/>
                <w:iCs w:val="0"/>
                <w:caps w:val="0"/>
                <w:smallCaps w:val="0"/>
                <w:color w:val="000000" w:themeColor="text1" w:themeTint="FF" w:themeShade="FF"/>
                <w:sz w:val="19"/>
                <w:szCs w:val="19"/>
              </w:rPr>
              <w:t>Favorable</w:t>
            </w:r>
          </w:p>
        </w:tc>
      </w:tr>
      <w:tr w:rsidR="179D6B47" w:rsidTr="2844D780" w14:paraId="3B287FCF">
        <w:tc>
          <w:tcPr>
            <w:tcW w:w="1560" w:type="dxa"/>
            <w:tcBorders>
              <w:left w:val="single" w:sz="12"/>
              <w:right w:val="single" w:sz="12"/>
            </w:tcBorders>
            <w:tcMar/>
            <w:vAlign w:val="top"/>
          </w:tcPr>
          <w:p w:rsidR="179D6B47" w:rsidP="179D6B47" w:rsidRDefault="179D6B47" w14:paraId="2E4857A4" w14:textId="17496F30">
            <w:pPr>
              <w:spacing w:after="200" w:line="276" w:lineRule="auto"/>
              <w:rPr>
                <w:rFonts w:ascii="Arial" w:hAnsi="Arial" w:eastAsia="Arial" w:cs="Arial"/>
                <w:b w:val="0"/>
                <w:bCs w:val="0"/>
                <w:i w:val="0"/>
                <w:iCs w:val="0"/>
                <w:caps w:val="0"/>
                <w:smallCaps w:val="0"/>
                <w:color w:val="000000" w:themeColor="text1" w:themeTint="FF" w:themeShade="FF"/>
                <w:sz w:val="20"/>
                <w:szCs w:val="20"/>
              </w:rPr>
            </w:pPr>
          </w:p>
        </w:tc>
        <w:tc>
          <w:tcPr>
            <w:tcW w:w="1695" w:type="dxa"/>
            <w:tcBorders>
              <w:top w:val="single" w:sz="6"/>
              <w:bottom w:val="single" w:sz="6"/>
            </w:tcBorders>
            <w:tcMar/>
            <w:vAlign w:val="top"/>
          </w:tcPr>
          <w:p w:rsidR="179D6B47" w:rsidP="18175F3D" w:rsidRDefault="179D6B47" w14:paraId="3B696D3E" w14:textId="1D093601">
            <w:pPr>
              <w:spacing w:after="140" w:afterAutospacing="off" w:line="276" w:lineRule="auto"/>
              <w:rPr>
                <w:rFonts w:ascii="Arial" w:hAnsi="Arial" w:eastAsia="Arial" w:cs="Arial"/>
                <w:b w:val="0"/>
                <w:bCs w:val="0"/>
                <w:i w:val="0"/>
                <w:iCs w:val="0"/>
                <w:caps w:val="0"/>
                <w:smallCaps w:val="0"/>
                <w:color w:val="000000" w:themeColor="text1" w:themeTint="FF" w:themeShade="FF"/>
                <w:sz w:val="20"/>
                <w:szCs w:val="20"/>
              </w:rPr>
            </w:pPr>
            <w:r w:rsidRPr="18175F3D" w:rsidR="5ED22E56">
              <w:rPr>
                <w:rFonts w:ascii="Arial" w:hAnsi="Arial" w:eastAsia="Arial" w:cs="Arial"/>
                <w:b w:val="0"/>
                <w:bCs w:val="0"/>
                <w:i w:val="0"/>
                <w:iCs w:val="0"/>
                <w:caps w:val="0"/>
                <w:smallCaps w:val="0"/>
                <w:color w:val="000000" w:themeColor="text1" w:themeTint="FF" w:themeShade="FF"/>
                <w:sz w:val="20"/>
                <w:szCs w:val="20"/>
                <w:lang w:val="fr-FR"/>
              </w:rPr>
              <w:t>Chaléat</w:t>
            </w:r>
          </w:p>
        </w:tc>
        <w:tc>
          <w:tcPr>
            <w:tcW w:w="1335" w:type="dxa"/>
            <w:tcBorders>
              <w:top w:val="single" w:sz="6"/>
              <w:bottom w:val="single" w:sz="6"/>
              <w:right w:val="single" w:sz="6"/>
            </w:tcBorders>
            <w:tcMar/>
            <w:vAlign w:val="top"/>
          </w:tcPr>
          <w:p w:rsidR="179D6B47" w:rsidP="18175F3D" w:rsidRDefault="179D6B47" w14:paraId="7FC470F5" w14:textId="3D0165BD">
            <w:pPr>
              <w:pStyle w:val="Normal"/>
              <w:bidi w:val="0"/>
              <w:spacing w:before="0" w:beforeAutospacing="off" w:after="140" w:afterAutospacing="off" w:line="276" w:lineRule="auto"/>
              <w:ind w:left="0" w:right="0"/>
              <w:jc w:val="left"/>
            </w:pPr>
            <w:r w:rsidRPr="18175F3D" w:rsidR="5ED22E56">
              <w:rPr>
                <w:rFonts w:ascii="Arial" w:hAnsi="Arial" w:eastAsia="Arial" w:cs="Arial"/>
                <w:b w:val="0"/>
                <w:bCs w:val="0"/>
                <w:i w:val="0"/>
                <w:iCs w:val="0"/>
                <w:caps w:val="0"/>
                <w:smallCaps w:val="0"/>
                <w:color w:val="000000" w:themeColor="text1" w:themeTint="FF" w:themeShade="FF"/>
                <w:sz w:val="20"/>
                <w:szCs w:val="20"/>
                <w:lang w:val="fr-FR"/>
              </w:rPr>
              <w:t>Christelle</w:t>
            </w:r>
          </w:p>
        </w:tc>
        <w:tc>
          <w:tcPr>
            <w:tcW w:w="1395" w:type="dxa"/>
            <w:tcBorders>
              <w:top w:val="single" w:sz="6"/>
              <w:bottom w:val="single" w:sz="6"/>
              <w:right w:val="single" w:sz="6"/>
            </w:tcBorders>
            <w:tcMar/>
            <w:vAlign w:val="top"/>
          </w:tcPr>
          <w:p w:rsidR="179D6B47" w:rsidP="179D6B47" w:rsidRDefault="179D6B47" w14:paraId="37D4FF23" w14:textId="663D94A6">
            <w:pPr>
              <w:spacing w:after="140" w:afterAutospacing="off" w:line="276" w:lineRule="auto"/>
              <w:rPr>
                <w:rFonts w:ascii="Arial" w:hAnsi="Arial" w:eastAsia="Arial" w:cs="Arial"/>
                <w:b w:val="0"/>
                <w:bCs w:val="0"/>
                <w:i w:val="0"/>
                <w:iCs w:val="0"/>
                <w:caps w:val="0"/>
                <w:smallCaps w:val="0"/>
                <w:color w:val="000000" w:themeColor="text1" w:themeTint="FF" w:themeShade="FF"/>
                <w:sz w:val="20"/>
                <w:szCs w:val="20"/>
              </w:rPr>
            </w:pPr>
            <w:r w:rsidRPr="179D6B47" w:rsidR="179D6B47">
              <w:rPr>
                <w:rFonts w:ascii="Arial" w:hAnsi="Arial" w:eastAsia="Arial" w:cs="Arial"/>
                <w:b w:val="0"/>
                <w:bCs w:val="0"/>
                <w:i w:val="0"/>
                <w:iCs w:val="0"/>
                <w:caps w:val="0"/>
                <w:smallCaps w:val="0"/>
                <w:color w:val="000000" w:themeColor="text1" w:themeTint="FF" w:themeShade="FF"/>
                <w:sz w:val="20"/>
                <w:szCs w:val="20"/>
                <w:lang w:val="fr-FR"/>
              </w:rPr>
              <w:t>CFE-CGC</w:t>
            </w:r>
          </w:p>
        </w:tc>
        <w:tc>
          <w:tcPr>
            <w:tcW w:w="2385" w:type="dxa"/>
            <w:tcBorders>
              <w:top w:val="single" w:sz="6"/>
              <w:bottom w:val="single" w:sz="6"/>
              <w:right w:val="single" w:sz="12"/>
            </w:tcBorders>
            <w:tcMar/>
            <w:vAlign w:val="top"/>
          </w:tcPr>
          <w:p w:rsidR="179D6B47" w:rsidP="18175F3D" w:rsidRDefault="179D6B47" w14:paraId="06ABF48D" w14:textId="4D66E825">
            <w:pPr>
              <w:pStyle w:val="Normal"/>
              <w:spacing w:after="140" w:afterAutospacing="off" w:line="276" w:lineRule="auto"/>
              <w:rPr>
                <w:rFonts w:ascii="Arial" w:hAnsi="Arial" w:eastAsia="Arial" w:cs="Arial"/>
                <w:b w:val="0"/>
                <w:bCs w:val="0"/>
                <w:i w:val="0"/>
                <w:iCs w:val="0"/>
                <w:caps w:val="0"/>
                <w:smallCaps w:val="0"/>
                <w:color w:val="000000" w:themeColor="text1" w:themeTint="FF" w:themeShade="FF"/>
                <w:sz w:val="19"/>
                <w:szCs w:val="19"/>
              </w:rPr>
            </w:pPr>
            <w:r w:rsidRPr="18175F3D" w:rsidR="7C91D737">
              <w:rPr>
                <w:rFonts w:ascii="Arial" w:hAnsi="Arial" w:eastAsia="Arial" w:cs="Arial"/>
                <w:b w:val="0"/>
                <w:bCs w:val="0"/>
                <w:i w:val="0"/>
                <w:iCs w:val="0"/>
                <w:caps w:val="0"/>
                <w:smallCaps w:val="0"/>
                <w:color w:val="000000" w:themeColor="text1" w:themeTint="FF" w:themeShade="FF"/>
                <w:sz w:val="19"/>
                <w:szCs w:val="19"/>
              </w:rPr>
              <w:t>Favorable</w:t>
            </w:r>
          </w:p>
        </w:tc>
      </w:tr>
      <w:tr w:rsidR="179D6B47" w:rsidTr="2844D780" w14:paraId="41632209">
        <w:tc>
          <w:tcPr>
            <w:tcW w:w="1560" w:type="dxa"/>
            <w:tcBorders>
              <w:left w:val="single" w:sz="12"/>
              <w:right w:val="single" w:sz="12"/>
            </w:tcBorders>
            <w:tcMar/>
            <w:vAlign w:val="top"/>
          </w:tcPr>
          <w:p w:rsidR="179D6B47" w:rsidP="179D6B47" w:rsidRDefault="179D6B47" w14:paraId="66E26273" w14:textId="6AC1130B">
            <w:pPr>
              <w:spacing w:after="200" w:line="276" w:lineRule="auto"/>
              <w:rPr>
                <w:rFonts w:ascii="Arial" w:hAnsi="Arial" w:eastAsia="Arial" w:cs="Arial"/>
                <w:b w:val="0"/>
                <w:bCs w:val="0"/>
                <w:i w:val="0"/>
                <w:iCs w:val="0"/>
                <w:caps w:val="0"/>
                <w:smallCaps w:val="0"/>
                <w:color w:val="000000" w:themeColor="text1" w:themeTint="FF" w:themeShade="FF"/>
                <w:sz w:val="20"/>
                <w:szCs w:val="20"/>
              </w:rPr>
            </w:pPr>
          </w:p>
        </w:tc>
        <w:tc>
          <w:tcPr>
            <w:tcW w:w="1695" w:type="dxa"/>
            <w:tcBorders>
              <w:bottom w:val="single" w:sz="6"/>
            </w:tcBorders>
            <w:tcMar/>
            <w:vAlign w:val="top"/>
          </w:tcPr>
          <w:p w:rsidR="179D6B47" w:rsidP="179D6B47" w:rsidRDefault="179D6B47" w14:paraId="7C9F530C" w14:textId="1AED2AD1">
            <w:pPr>
              <w:spacing w:before="0" w:beforeAutospacing="off" w:after="140" w:afterAutospacing="off" w:line="276" w:lineRule="auto"/>
              <w:ind w:left="0" w:right="0"/>
              <w:jc w:val="left"/>
              <w:rPr>
                <w:rFonts w:ascii="Arial" w:hAnsi="Arial" w:eastAsia="Arial" w:cs="Arial"/>
                <w:b w:val="0"/>
                <w:bCs w:val="0"/>
                <w:i w:val="0"/>
                <w:iCs w:val="0"/>
                <w:caps w:val="0"/>
                <w:smallCaps w:val="0"/>
                <w:color w:val="000000" w:themeColor="text1" w:themeTint="FF" w:themeShade="FF"/>
                <w:sz w:val="20"/>
                <w:szCs w:val="20"/>
              </w:rPr>
            </w:pPr>
            <w:r w:rsidRPr="179D6B47" w:rsidR="179D6B47">
              <w:rPr>
                <w:rFonts w:ascii="Arial" w:hAnsi="Arial" w:eastAsia="Arial" w:cs="Arial"/>
                <w:b w:val="0"/>
                <w:bCs w:val="0"/>
                <w:i w:val="0"/>
                <w:iCs w:val="0"/>
                <w:caps w:val="0"/>
                <w:smallCaps w:val="0"/>
                <w:color w:val="000000" w:themeColor="text1" w:themeTint="FF" w:themeShade="FF"/>
                <w:sz w:val="20"/>
                <w:szCs w:val="20"/>
                <w:lang w:val="fr-FR"/>
              </w:rPr>
              <w:t>Caraco</w:t>
            </w:r>
          </w:p>
        </w:tc>
        <w:tc>
          <w:tcPr>
            <w:tcW w:w="1335" w:type="dxa"/>
            <w:tcBorders>
              <w:bottom w:val="single" w:sz="6"/>
              <w:right w:val="single" w:sz="6"/>
            </w:tcBorders>
            <w:tcMar/>
            <w:vAlign w:val="top"/>
          </w:tcPr>
          <w:p w:rsidR="179D6B47" w:rsidP="179D6B47" w:rsidRDefault="179D6B47" w14:paraId="30E6BE0A" w14:textId="6DB88E5A">
            <w:pPr>
              <w:spacing w:before="0" w:beforeAutospacing="off" w:after="140" w:afterAutospacing="off" w:line="276" w:lineRule="auto"/>
              <w:ind w:left="0" w:right="0"/>
              <w:jc w:val="left"/>
              <w:rPr>
                <w:rFonts w:ascii="Arial" w:hAnsi="Arial" w:eastAsia="Arial" w:cs="Arial"/>
                <w:b w:val="0"/>
                <w:bCs w:val="0"/>
                <w:i w:val="0"/>
                <w:iCs w:val="0"/>
                <w:caps w:val="0"/>
                <w:smallCaps w:val="0"/>
                <w:color w:val="000000" w:themeColor="text1" w:themeTint="FF" w:themeShade="FF"/>
                <w:sz w:val="20"/>
                <w:szCs w:val="20"/>
              </w:rPr>
            </w:pPr>
            <w:r w:rsidRPr="179D6B47" w:rsidR="179D6B47">
              <w:rPr>
                <w:rFonts w:ascii="Arial" w:hAnsi="Arial" w:eastAsia="Arial" w:cs="Arial"/>
                <w:b w:val="0"/>
                <w:bCs w:val="0"/>
                <w:i w:val="0"/>
                <w:iCs w:val="0"/>
                <w:caps w:val="0"/>
                <w:smallCaps w:val="0"/>
                <w:color w:val="000000" w:themeColor="text1" w:themeTint="FF" w:themeShade="FF"/>
                <w:sz w:val="20"/>
                <w:szCs w:val="20"/>
                <w:lang w:val="fr-FR"/>
              </w:rPr>
              <w:t>Richard</w:t>
            </w:r>
          </w:p>
        </w:tc>
        <w:tc>
          <w:tcPr>
            <w:tcW w:w="1395" w:type="dxa"/>
            <w:tcBorders>
              <w:bottom w:val="single" w:sz="6"/>
              <w:right w:val="single" w:sz="6"/>
            </w:tcBorders>
            <w:tcMar/>
            <w:vAlign w:val="top"/>
          </w:tcPr>
          <w:p w:rsidR="179D6B47" w:rsidP="179D6B47" w:rsidRDefault="179D6B47" w14:paraId="3F478889" w14:textId="2357DABD">
            <w:pPr>
              <w:spacing w:after="140" w:afterAutospacing="off" w:line="276" w:lineRule="auto"/>
              <w:rPr>
                <w:rFonts w:ascii="Arial" w:hAnsi="Arial" w:eastAsia="Arial" w:cs="Arial"/>
                <w:b w:val="0"/>
                <w:bCs w:val="0"/>
                <w:i w:val="0"/>
                <w:iCs w:val="0"/>
                <w:caps w:val="0"/>
                <w:smallCaps w:val="0"/>
                <w:color w:val="000000" w:themeColor="text1" w:themeTint="FF" w:themeShade="FF"/>
                <w:sz w:val="20"/>
                <w:szCs w:val="20"/>
              </w:rPr>
            </w:pPr>
            <w:r w:rsidRPr="179D6B47" w:rsidR="179D6B47">
              <w:rPr>
                <w:rFonts w:ascii="Arial" w:hAnsi="Arial" w:eastAsia="Arial" w:cs="Arial"/>
                <w:b w:val="0"/>
                <w:bCs w:val="0"/>
                <w:i w:val="0"/>
                <w:iCs w:val="0"/>
                <w:caps w:val="0"/>
                <w:smallCaps w:val="0"/>
                <w:color w:val="000000" w:themeColor="text1" w:themeTint="FF" w:themeShade="FF"/>
                <w:sz w:val="20"/>
                <w:szCs w:val="20"/>
                <w:lang w:val="fr-FR"/>
              </w:rPr>
              <w:t>CFE-CGC</w:t>
            </w:r>
          </w:p>
        </w:tc>
        <w:tc>
          <w:tcPr>
            <w:tcW w:w="2385" w:type="dxa"/>
            <w:tcBorders>
              <w:bottom w:val="single" w:sz="6"/>
              <w:right w:val="single" w:sz="12"/>
            </w:tcBorders>
            <w:tcMar/>
            <w:vAlign w:val="top"/>
          </w:tcPr>
          <w:p w:rsidR="179D6B47" w:rsidP="18175F3D" w:rsidRDefault="179D6B47" w14:paraId="727C81D8" w14:textId="52E300A2">
            <w:pPr>
              <w:pStyle w:val="Normal"/>
              <w:spacing w:after="140" w:afterAutospacing="off" w:line="276" w:lineRule="auto"/>
              <w:rPr>
                <w:rFonts w:ascii="Arial" w:hAnsi="Arial" w:eastAsia="Arial" w:cs="Arial"/>
                <w:b w:val="0"/>
                <w:bCs w:val="0"/>
                <w:i w:val="0"/>
                <w:iCs w:val="0"/>
                <w:caps w:val="0"/>
                <w:smallCaps w:val="0"/>
                <w:color w:val="000000" w:themeColor="text1" w:themeTint="FF" w:themeShade="FF"/>
                <w:sz w:val="19"/>
                <w:szCs w:val="19"/>
              </w:rPr>
            </w:pPr>
            <w:r w:rsidRPr="18175F3D" w:rsidR="51F9FA7A">
              <w:rPr>
                <w:rFonts w:ascii="Arial" w:hAnsi="Arial" w:eastAsia="Arial" w:cs="Arial"/>
                <w:b w:val="0"/>
                <w:bCs w:val="0"/>
                <w:i w:val="0"/>
                <w:iCs w:val="0"/>
                <w:caps w:val="0"/>
                <w:smallCaps w:val="0"/>
                <w:color w:val="000000" w:themeColor="text1" w:themeTint="FF" w:themeShade="FF"/>
                <w:sz w:val="19"/>
                <w:szCs w:val="19"/>
              </w:rPr>
              <w:t>Favorable</w:t>
            </w:r>
          </w:p>
        </w:tc>
      </w:tr>
      <w:tr w:rsidR="179D6B47" w:rsidTr="2844D780" w14:paraId="1A26CCC1">
        <w:tc>
          <w:tcPr>
            <w:tcW w:w="1560" w:type="dxa"/>
            <w:tcBorders>
              <w:left w:val="single" w:sz="12"/>
              <w:right w:val="single" w:sz="12"/>
            </w:tcBorders>
            <w:tcMar/>
            <w:vAlign w:val="top"/>
          </w:tcPr>
          <w:p w:rsidR="179D6B47" w:rsidP="179D6B47" w:rsidRDefault="179D6B47" w14:paraId="70566F9A" w14:textId="58F4BBBA">
            <w:pPr>
              <w:spacing w:after="200" w:line="276" w:lineRule="auto"/>
              <w:rPr>
                <w:rFonts w:ascii="Arial" w:hAnsi="Arial" w:eastAsia="Arial" w:cs="Arial"/>
                <w:b w:val="0"/>
                <w:bCs w:val="0"/>
                <w:i w:val="0"/>
                <w:iCs w:val="0"/>
                <w:caps w:val="0"/>
                <w:smallCaps w:val="0"/>
                <w:color w:val="000000" w:themeColor="text1" w:themeTint="FF" w:themeShade="FF"/>
                <w:sz w:val="20"/>
                <w:szCs w:val="20"/>
              </w:rPr>
            </w:pPr>
          </w:p>
        </w:tc>
        <w:tc>
          <w:tcPr>
            <w:tcW w:w="1695" w:type="dxa"/>
            <w:tcBorders>
              <w:bottom w:val="single" w:sz="6"/>
            </w:tcBorders>
            <w:tcMar/>
            <w:vAlign w:val="top"/>
          </w:tcPr>
          <w:p w:rsidR="179D6B47" w:rsidP="179D6B47" w:rsidRDefault="179D6B47" w14:paraId="677EE366" w14:textId="3E404EF8">
            <w:pPr>
              <w:spacing w:after="140" w:afterAutospacing="off" w:line="276" w:lineRule="auto"/>
              <w:rPr>
                <w:rFonts w:ascii="Arial" w:hAnsi="Arial" w:eastAsia="Arial" w:cs="Arial"/>
                <w:b w:val="0"/>
                <w:bCs w:val="0"/>
                <w:i w:val="0"/>
                <w:iCs w:val="0"/>
                <w:caps w:val="0"/>
                <w:smallCaps w:val="0"/>
                <w:color w:val="000000" w:themeColor="text1" w:themeTint="FF" w:themeShade="FF"/>
                <w:sz w:val="20"/>
                <w:szCs w:val="20"/>
              </w:rPr>
            </w:pPr>
            <w:r w:rsidRPr="179D6B47" w:rsidR="179D6B47">
              <w:rPr>
                <w:rFonts w:ascii="Arial" w:hAnsi="Arial" w:eastAsia="Arial" w:cs="Arial"/>
                <w:b w:val="0"/>
                <w:bCs w:val="0"/>
                <w:i w:val="0"/>
                <w:iCs w:val="0"/>
                <w:caps w:val="0"/>
                <w:smallCaps w:val="0"/>
                <w:color w:val="000000" w:themeColor="text1" w:themeTint="FF" w:themeShade="FF"/>
                <w:sz w:val="20"/>
                <w:szCs w:val="20"/>
                <w:lang w:val="fr-FR"/>
              </w:rPr>
              <w:t>Andlauer</w:t>
            </w:r>
          </w:p>
        </w:tc>
        <w:tc>
          <w:tcPr>
            <w:tcW w:w="1335" w:type="dxa"/>
            <w:tcBorders>
              <w:bottom w:val="single" w:sz="6"/>
              <w:right w:val="single" w:sz="6"/>
            </w:tcBorders>
            <w:tcMar/>
            <w:vAlign w:val="top"/>
          </w:tcPr>
          <w:p w:rsidR="179D6B47" w:rsidP="179D6B47" w:rsidRDefault="179D6B47" w14:paraId="4A54C9E9" w14:textId="0EF9D742">
            <w:pPr>
              <w:spacing w:after="140" w:afterAutospacing="off" w:line="276" w:lineRule="auto"/>
              <w:rPr>
                <w:rFonts w:ascii="Arial" w:hAnsi="Arial" w:eastAsia="Arial" w:cs="Arial"/>
                <w:b w:val="0"/>
                <w:bCs w:val="0"/>
                <w:i w:val="0"/>
                <w:iCs w:val="0"/>
                <w:caps w:val="0"/>
                <w:smallCaps w:val="0"/>
                <w:color w:val="000000" w:themeColor="text1" w:themeTint="FF" w:themeShade="FF"/>
                <w:sz w:val="20"/>
                <w:szCs w:val="20"/>
              </w:rPr>
            </w:pPr>
            <w:r w:rsidRPr="179D6B47" w:rsidR="179D6B47">
              <w:rPr>
                <w:rFonts w:ascii="Arial" w:hAnsi="Arial" w:eastAsia="Arial" w:cs="Arial"/>
                <w:b w:val="0"/>
                <w:bCs w:val="0"/>
                <w:i w:val="0"/>
                <w:iCs w:val="0"/>
                <w:caps w:val="0"/>
                <w:smallCaps w:val="0"/>
                <w:color w:val="000000" w:themeColor="text1" w:themeTint="FF" w:themeShade="FF"/>
                <w:sz w:val="20"/>
                <w:szCs w:val="20"/>
                <w:lang w:val="fr-FR"/>
              </w:rPr>
              <w:t>Stéphane</w:t>
            </w:r>
          </w:p>
        </w:tc>
        <w:tc>
          <w:tcPr>
            <w:tcW w:w="1395" w:type="dxa"/>
            <w:tcBorders>
              <w:bottom w:val="single" w:sz="6"/>
              <w:right w:val="single" w:sz="6"/>
            </w:tcBorders>
            <w:tcMar/>
            <w:vAlign w:val="top"/>
          </w:tcPr>
          <w:p w:rsidR="179D6B47" w:rsidP="179D6B47" w:rsidRDefault="179D6B47" w14:paraId="51006A17" w14:textId="429F5B1C">
            <w:pPr>
              <w:spacing w:after="140" w:afterAutospacing="off" w:line="276" w:lineRule="auto"/>
              <w:rPr>
                <w:rFonts w:ascii="Arial" w:hAnsi="Arial" w:eastAsia="Arial" w:cs="Arial"/>
                <w:b w:val="0"/>
                <w:bCs w:val="0"/>
                <w:i w:val="0"/>
                <w:iCs w:val="0"/>
                <w:caps w:val="0"/>
                <w:smallCaps w:val="0"/>
                <w:color w:val="000000" w:themeColor="text1" w:themeTint="FF" w:themeShade="FF"/>
                <w:sz w:val="20"/>
                <w:szCs w:val="20"/>
              </w:rPr>
            </w:pPr>
            <w:r w:rsidRPr="179D6B47" w:rsidR="179D6B47">
              <w:rPr>
                <w:rFonts w:ascii="Arial" w:hAnsi="Arial" w:eastAsia="Arial" w:cs="Arial"/>
                <w:b w:val="0"/>
                <w:bCs w:val="0"/>
                <w:i w:val="0"/>
                <w:iCs w:val="0"/>
                <w:caps w:val="0"/>
                <w:smallCaps w:val="0"/>
                <w:color w:val="000000" w:themeColor="text1" w:themeTint="FF" w:themeShade="FF"/>
                <w:sz w:val="20"/>
                <w:szCs w:val="20"/>
                <w:lang w:val="fr-FR"/>
              </w:rPr>
              <w:t>CFE-CGC</w:t>
            </w:r>
          </w:p>
        </w:tc>
        <w:tc>
          <w:tcPr>
            <w:tcW w:w="2385" w:type="dxa"/>
            <w:tcBorders>
              <w:bottom w:val="single" w:sz="6"/>
              <w:right w:val="single" w:sz="12"/>
            </w:tcBorders>
            <w:tcMar/>
            <w:vAlign w:val="top"/>
          </w:tcPr>
          <w:p w:rsidR="179D6B47" w:rsidP="18175F3D" w:rsidRDefault="179D6B47" w14:paraId="417DCB60" w14:textId="7EC67204">
            <w:pPr>
              <w:pStyle w:val="Normal"/>
              <w:spacing w:after="140" w:afterAutospacing="off" w:line="276" w:lineRule="auto"/>
              <w:rPr>
                <w:rFonts w:ascii="Arial" w:hAnsi="Arial" w:eastAsia="Arial" w:cs="Arial"/>
                <w:b w:val="0"/>
                <w:bCs w:val="0"/>
                <w:i w:val="0"/>
                <w:iCs w:val="0"/>
                <w:caps w:val="0"/>
                <w:smallCaps w:val="0"/>
                <w:color w:val="000000" w:themeColor="text1" w:themeTint="FF" w:themeShade="FF"/>
                <w:sz w:val="19"/>
                <w:szCs w:val="19"/>
              </w:rPr>
            </w:pPr>
            <w:r w:rsidRPr="18175F3D" w:rsidR="57834747">
              <w:rPr>
                <w:rFonts w:ascii="Arial" w:hAnsi="Arial" w:eastAsia="Arial" w:cs="Arial"/>
                <w:b w:val="0"/>
                <w:bCs w:val="0"/>
                <w:i w:val="0"/>
                <w:iCs w:val="0"/>
                <w:caps w:val="0"/>
                <w:smallCaps w:val="0"/>
                <w:color w:val="000000" w:themeColor="text1" w:themeTint="FF" w:themeShade="FF"/>
                <w:sz w:val="19"/>
                <w:szCs w:val="19"/>
              </w:rPr>
              <w:t>Favorable</w:t>
            </w:r>
          </w:p>
        </w:tc>
      </w:tr>
      <w:tr w:rsidR="179D6B47" w:rsidTr="2844D780" w14:paraId="643ED57F">
        <w:tc>
          <w:tcPr>
            <w:tcW w:w="1560" w:type="dxa"/>
            <w:tcBorders>
              <w:left w:val="single" w:sz="12"/>
              <w:right w:val="single" w:sz="12"/>
            </w:tcBorders>
            <w:tcMar/>
            <w:vAlign w:val="top"/>
          </w:tcPr>
          <w:p w:rsidR="179D6B47" w:rsidP="179D6B47" w:rsidRDefault="179D6B47" w14:paraId="03EB267E" w14:textId="7CA2A532">
            <w:pPr>
              <w:spacing w:after="200" w:line="276" w:lineRule="auto"/>
              <w:rPr>
                <w:rFonts w:ascii="Arial" w:hAnsi="Arial" w:eastAsia="Arial" w:cs="Arial"/>
                <w:b w:val="0"/>
                <w:bCs w:val="0"/>
                <w:i w:val="0"/>
                <w:iCs w:val="0"/>
                <w:caps w:val="0"/>
                <w:smallCaps w:val="0"/>
                <w:color w:val="000000" w:themeColor="text1" w:themeTint="FF" w:themeShade="FF"/>
                <w:sz w:val="20"/>
                <w:szCs w:val="20"/>
              </w:rPr>
            </w:pPr>
          </w:p>
        </w:tc>
        <w:tc>
          <w:tcPr>
            <w:tcW w:w="1695" w:type="dxa"/>
            <w:tcBorders>
              <w:bottom w:val="single" w:sz="6"/>
            </w:tcBorders>
            <w:tcMar/>
            <w:vAlign w:val="top"/>
          </w:tcPr>
          <w:p w:rsidR="179D6B47" w:rsidP="179D6B47" w:rsidRDefault="179D6B47" w14:paraId="52E48D06" w14:textId="04468870">
            <w:pPr>
              <w:spacing w:after="140" w:afterAutospacing="off" w:line="276" w:lineRule="auto"/>
              <w:rPr>
                <w:rFonts w:ascii="Arial" w:hAnsi="Arial" w:eastAsia="Arial" w:cs="Arial"/>
                <w:b w:val="0"/>
                <w:bCs w:val="0"/>
                <w:i w:val="0"/>
                <w:iCs w:val="0"/>
                <w:caps w:val="0"/>
                <w:smallCaps w:val="0"/>
                <w:color w:val="000000" w:themeColor="text1" w:themeTint="FF" w:themeShade="FF"/>
                <w:sz w:val="20"/>
                <w:szCs w:val="20"/>
              </w:rPr>
            </w:pPr>
            <w:r w:rsidRPr="179D6B47" w:rsidR="179D6B47">
              <w:rPr>
                <w:rFonts w:ascii="Arial" w:hAnsi="Arial" w:eastAsia="Arial" w:cs="Arial"/>
                <w:b w:val="0"/>
                <w:bCs w:val="0"/>
                <w:i w:val="0"/>
                <w:iCs w:val="0"/>
                <w:caps w:val="0"/>
                <w:smallCaps w:val="0"/>
                <w:color w:val="000000" w:themeColor="text1" w:themeTint="FF" w:themeShade="FF"/>
                <w:sz w:val="20"/>
                <w:szCs w:val="20"/>
                <w:lang w:val="fr-FR"/>
              </w:rPr>
              <w:t>Questroy</w:t>
            </w:r>
          </w:p>
        </w:tc>
        <w:tc>
          <w:tcPr>
            <w:tcW w:w="1335" w:type="dxa"/>
            <w:tcBorders>
              <w:bottom w:val="single" w:sz="6"/>
              <w:right w:val="single" w:sz="6"/>
            </w:tcBorders>
            <w:tcMar/>
            <w:vAlign w:val="top"/>
          </w:tcPr>
          <w:p w:rsidR="179D6B47" w:rsidP="179D6B47" w:rsidRDefault="179D6B47" w14:paraId="7B5242BB" w14:textId="66012E0F">
            <w:pPr>
              <w:spacing w:after="140" w:afterAutospacing="off" w:line="276" w:lineRule="auto"/>
              <w:rPr>
                <w:rFonts w:ascii="Arial" w:hAnsi="Arial" w:eastAsia="Arial" w:cs="Arial"/>
                <w:b w:val="0"/>
                <w:bCs w:val="0"/>
                <w:i w:val="0"/>
                <w:iCs w:val="0"/>
                <w:caps w:val="0"/>
                <w:smallCaps w:val="0"/>
                <w:color w:val="000000" w:themeColor="text1" w:themeTint="FF" w:themeShade="FF"/>
                <w:sz w:val="20"/>
                <w:szCs w:val="20"/>
              </w:rPr>
            </w:pPr>
            <w:r w:rsidRPr="179D6B47" w:rsidR="179D6B47">
              <w:rPr>
                <w:rFonts w:ascii="Arial" w:hAnsi="Arial" w:eastAsia="Arial" w:cs="Arial"/>
                <w:b w:val="0"/>
                <w:bCs w:val="0"/>
                <w:i w:val="0"/>
                <w:iCs w:val="0"/>
                <w:caps w:val="0"/>
                <w:smallCaps w:val="0"/>
                <w:color w:val="000000" w:themeColor="text1" w:themeTint="FF" w:themeShade="FF"/>
                <w:sz w:val="20"/>
                <w:szCs w:val="20"/>
                <w:lang w:val="fr-FR"/>
              </w:rPr>
              <w:t>Virginie</w:t>
            </w:r>
          </w:p>
        </w:tc>
        <w:tc>
          <w:tcPr>
            <w:tcW w:w="1395" w:type="dxa"/>
            <w:tcBorders>
              <w:bottom w:val="single" w:sz="6"/>
              <w:right w:val="single" w:sz="6"/>
            </w:tcBorders>
            <w:tcMar/>
            <w:vAlign w:val="top"/>
          </w:tcPr>
          <w:p w:rsidR="179D6B47" w:rsidP="179D6B47" w:rsidRDefault="179D6B47" w14:paraId="4ED494F8" w14:textId="773FE704">
            <w:pPr>
              <w:spacing w:after="140" w:afterAutospacing="off" w:line="276" w:lineRule="auto"/>
              <w:rPr>
                <w:rFonts w:ascii="Arial" w:hAnsi="Arial" w:eastAsia="Arial" w:cs="Arial"/>
                <w:b w:val="0"/>
                <w:bCs w:val="0"/>
                <w:i w:val="0"/>
                <w:iCs w:val="0"/>
                <w:caps w:val="0"/>
                <w:smallCaps w:val="0"/>
                <w:color w:val="000000" w:themeColor="text1" w:themeTint="FF" w:themeShade="FF"/>
                <w:sz w:val="20"/>
                <w:szCs w:val="20"/>
              </w:rPr>
            </w:pPr>
            <w:r w:rsidRPr="179D6B47" w:rsidR="179D6B47">
              <w:rPr>
                <w:rFonts w:ascii="Arial" w:hAnsi="Arial" w:eastAsia="Arial" w:cs="Arial"/>
                <w:b w:val="0"/>
                <w:bCs w:val="0"/>
                <w:i w:val="0"/>
                <w:iCs w:val="0"/>
                <w:caps w:val="0"/>
                <w:smallCaps w:val="0"/>
                <w:color w:val="000000" w:themeColor="text1" w:themeTint="FF" w:themeShade="FF"/>
                <w:sz w:val="20"/>
                <w:szCs w:val="20"/>
                <w:lang w:val="fr-FR"/>
              </w:rPr>
              <w:t>CFE-CGC</w:t>
            </w:r>
          </w:p>
        </w:tc>
        <w:tc>
          <w:tcPr>
            <w:tcW w:w="2385" w:type="dxa"/>
            <w:tcBorders>
              <w:bottom w:val="single" w:sz="6"/>
              <w:right w:val="single" w:sz="12"/>
            </w:tcBorders>
            <w:tcMar/>
            <w:vAlign w:val="top"/>
          </w:tcPr>
          <w:p w:rsidR="179D6B47" w:rsidP="18175F3D" w:rsidRDefault="179D6B47" w14:paraId="29D9AAE8" w14:textId="5D9FE5B2">
            <w:pPr>
              <w:pStyle w:val="Normal"/>
              <w:spacing w:after="140" w:afterAutospacing="off" w:line="276" w:lineRule="auto"/>
              <w:rPr>
                <w:rFonts w:ascii="Arial" w:hAnsi="Arial" w:eastAsia="Arial" w:cs="Arial"/>
                <w:b w:val="0"/>
                <w:bCs w:val="0"/>
                <w:i w:val="0"/>
                <w:iCs w:val="0"/>
                <w:caps w:val="0"/>
                <w:smallCaps w:val="0"/>
                <w:color w:val="000000" w:themeColor="text1" w:themeTint="FF" w:themeShade="FF"/>
                <w:sz w:val="19"/>
                <w:szCs w:val="19"/>
              </w:rPr>
            </w:pPr>
            <w:r w:rsidRPr="18175F3D" w:rsidR="267A54DB">
              <w:rPr>
                <w:rFonts w:ascii="Arial" w:hAnsi="Arial" w:eastAsia="Arial" w:cs="Arial"/>
                <w:b w:val="0"/>
                <w:bCs w:val="0"/>
                <w:i w:val="0"/>
                <w:iCs w:val="0"/>
                <w:caps w:val="0"/>
                <w:smallCaps w:val="0"/>
                <w:color w:val="000000" w:themeColor="text1" w:themeTint="FF" w:themeShade="FF"/>
                <w:sz w:val="19"/>
                <w:szCs w:val="19"/>
              </w:rPr>
              <w:t>Favorable</w:t>
            </w:r>
          </w:p>
        </w:tc>
      </w:tr>
      <w:tr w:rsidR="179D6B47" w:rsidTr="2844D780" w14:paraId="39CABD92">
        <w:tc>
          <w:tcPr>
            <w:tcW w:w="1560" w:type="dxa"/>
            <w:tcBorders>
              <w:left w:val="single" w:sz="12"/>
              <w:bottom w:val="single" w:sz="12"/>
              <w:right w:val="single" w:sz="12"/>
            </w:tcBorders>
            <w:tcMar/>
            <w:vAlign w:val="top"/>
          </w:tcPr>
          <w:p w:rsidR="179D6B47" w:rsidP="179D6B47" w:rsidRDefault="179D6B47" w14:paraId="4AADB2A2" w14:textId="37639FCF">
            <w:pPr>
              <w:spacing w:after="200" w:line="276" w:lineRule="auto"/>
              <w:rPr>
                <w:rFonts w:ascii="Arial" w:hAnsi="Arial" w:eastAsia="Arial" w:cs="Arial"/>
                <w:b w:val="0"/>
                <w:bCs w:val="0"/>
                <w:i w:val="0"/>
                <w:iCs w:val="0"/>
                <w:caps w:val="0"/>
                <w:smallCaps w:val="0"/>
                <w:color w:val="000000" w:themeColor="text1" w:themeTint="FF" w:themeShade="FF"/>
                <w:sz w:val="20"/>
                <w:szCs w:val="20"/>
              </w:rPr>
            </w:pPr>
            <w:r w:rsidRPr="179D6B47" w:rsidR="179D6B47">
              <w:rPr>
                <w:rFonts w:ascii="Arial" w:hAnsi="Arial" w:eastAsia="Arial" w:cs="Arial"/>
                <w:b w:val="0"/>
                <w:bCs w:val="0"/>
                <w:i w:val="0"/>
                <w:iCs w:val="0"/>
                <w:caps w:val="0"/>
                <w:smallCaps w:val="0"/>
                <w:color w:val="000000" w:themeColor="text1" w:themeTint="FF" w:themeShade="FF"/>
                <w:sz w:val="20"/>
                <w:szCs w:val="20"/>
                <w:lang w:val="fr-FR"/>
              </w:rPr>
              <w:t>1-non-cadres</w:t>
            </w:r>
          </w:p>
        </w:tc>
        <w:tc>
          <w:tcPr>
            <w:tcW w:w="1695" w:type="dxa"/>
            <w:tcBorders>
              <w:top w:val="single" w:sz="6"/>
              <w:bottom w:val="single" w:sz="12"/>
            </w:tcBorders>
            <w:tcMar/>
            <w:vAlign w:val="top"/>
          </w:tcPr>
          <w:p w:rsidR="179D6B47" w:rsidP="179D6B47" w:rsidRDefault="179D6B47" w14:paraId="7EAA68FB" w14:textId="40F9C046">
            <w:pPr>
              <w:spacing w:after="200" w:line="276" w:lineRule="auto"/>
              <w:rPr>
                <w:rFonts w:ascii="Arial" w:hAnsi="Arial" w:eastAsia="Arial" w:cs="Arial"/>
                <w:b w:val="0"/>
                <w:bCs w:val="0"/>
                <w:i w:val="0"/>
                <w:iCs w:val="0"/>
                <w:caps w:val="0"/>
                <w:smallCaps w:val="0"/>
                <w:color w:val="000000" w:themeColor="text1" w:themeTint="FF" w:themeShade="FF"/>
                <w:sz w:val="20"/>
                <w:szCs w:val="20"/>
              </w:rPr>
            </w:pPr>
            <w:r w:rsidRPr="179D6B47" w:rsidR="179D6B47">
              <w:rPr>
                <w:rFonts w:ascii="Arial" w:hAnsi="Arial" w:eastAsia="Arial" w:cs="Arial"/>
                <w:b w:val="0"/>
                <w:bCs w:val="0"/>
                <w:i w:val="0"/>
                <w:iCs w:val="0"/>
                <w:caps w:val="0"/>
                <w:smallCaps w:val="0"/>
                <w:color w:val="000000" w:themeColor="text1" w:themeTint="FF" w:themeShade="FF"/>
                <w:sz w:val="20"/>
                <w:szCs w:val="20"/>
                <w:lang w:val="fr-FR"/>
              </w:rPr>
              <w:t>Aldebert</w:t>
            </w:r>
          </w:p>
        </w:tc>
        <w:tc>
          <w:tcPr>
            <w:tcW w:w="1335" w:type="dxa"/>
            <w:tcBorders>
              <w:top w:val="single" w:sz="6"/>
              <w:bottom w:val="single" w:sz="12"/>
              <w:right w:val="single" w:sz="6"/>
            </w:tcBorders>
            <w:tcMar/>
            <w:vAlign w:val="top"/>
          </w:tcPr>
          <w:p w:rsidR="179D6B47" w:rsidP="179D6B47" w:rsidRDefault="179D6B47" w14:paraId="42A3AC71" w14:textId="17FFB035">
            <w:pPr>
              <w:spacing w:after="200" w:line="276" w:lineRule="auto"/>
              <w:rPr>
                <w:rFonts w:ascii="Arial" w:hAnsi="Arial" w:eastAsia="Arial" w:cs="Arial"/>
                <w:b w:val="0"/>
                <w:bCs w:val="0"/>
                <w:i w:val="0"/>
                <w:iCs w:val="0"/>
                <w:caps w:val="0"/>
                <w:smallCaps w:val="0"/>
                <w:color w:val="000000" w:themeColor="text1" w:themeTint="FF" w:themeShade="FF"/>
                <w:sz w:val="20"/>
                <w:szCs w:val="20"/>
              </w:rPr>
            </w:pPr>
            <w:r w:rsidRPr="179D6B47" w:rsidR="179D6B47">
              <w:rPr>
                <w:rFonts w:ascii="Arial" w:hAnsi="Arial" w:eastAsia="Arial" w:cs="Arial"/>
                <w:b w:val="0"/>
                <w:bCs w:val="0"/>
                <w:i w:val="0"/>
                <w:iCs w:val="0"/>
                <w:caps w:val="0"/>
                <w:smallCaps w:val="0"/>
                <w:color w:val="000000" w:themeColor="text1" w:themeTint="FF" w:themeShade="FF"/>
                <w:sz w:val="20"/>
                <w:szCs w:val="20"/>
                <w:lang w:val="fr-FR"/>
              </w:rPr>
              <w:t>Pierre</w:t>
            </w:r>
          </w:p>
        </w:tc>
        <w:tc>
          <w:tcPr>
            <w:tcW w:w="1395" w:type="dxa"/>
            <w:tcBorders>
              <w:top w:val="single" w:sz="6"/>
              <w:bottom w:val="single" w:sz="12"/>
              <w:right w:val="single" w:sz="6"/>
            </w:tcBorders>
            <w:tcMar/>
            <w:vAlign w:val="top"/>
          </w:tcPr>
          <w:p w:rsidR="179D6B47" w:rsidP="179D6B47" w:rsidRDefault="179D6B47" w14:paraId="279BA49C" w14:textId="4C5865A2">
            <w:pPr>
              <w:spacing w:after="200" w:line="276" w:lineRule="auto"/>
              <w:rPr>
                <w:rFonts w:ascii="Arial" w:hAnsi="Arial" w:eastAsia="Arial" w:cs="Arial"/>
                <w:b w:val="0"/>
                <w:bCs w:val="0"/>
                <w:i w:val="0"/>
                <w:iCs w:val="0"/>
                <w:caps w:val="0"/>
                <w:smallCaps w:val="0"/>
                <w:color w:val="000000" w:themeColor="text1" w:themeTint="FF" w:themeShade="FF"/>
                <w:sz w:val="20"/>
                <w:szCs w:val="20"/>
              </w:rPr>
            </w:pPr>
            <w:r w:rsidRPr="179D6B47" w:rsidR="179D6B47">
              <w:rPr>
                <w:rFonts w:ascii="Arial" w:hAnsi="Arial" w:eastAsia="Arial" w:cs="Arial"/>
                <w:b w:val="0"/>
                <w:bCs w:val="0"/>
                <w:i w:val="0"/>
                <w:iCs w:val="0"/>
                <w:caps w:val="0"/>
                <w:smallCaps w:val="0"/>
                <w:color w:val="000000" w:themeColor="text1" w:themeTint="FF" w:themeShade="FF"/>
                <w:sz w:val="20"/>
                <w:szCs w:val="20"/>
                <w:lang w:val="fr-FR"/>
              </w:rPr>
              <w:t>CFE-CGC</w:t>
            </w:r>
          </w:p>
        </w:tc>
        <w:tc>
          <w:tcPr>
            <w:tcW w:w="2385" w:type="dxa"/>
            <w:tcBorders>
              <w:top w:val="single" w:sz="6"/>
              <w:bottom w:val="single" w:sz="12"/>
              <w:right w:val="single" w:sz="12"/>
            </w:tcBorders>
            <w:tcMar/>
            <w:vAlign w:val="top"/>
          </w:tcPr>
          <w:p w:rsidR="179D6B47" w:rsidP="18175F3D" w:rsidRDefault="179D6B47" w14:paraId="70FEA997" w14:textId="47CA387F">
            <w:pPr>
              <w:pStyle w:val="Normal"/>
              <w:spacing w:after="200" w:line="276" w:lineRule="auto"/>
              <w:rPr>
                <w:rFonts w:ascii="Arial" w:hAnsi="Arial" w:eastAsia="Arial" w:cs="Arial"/>
                <w:b w:val="0"/>
                <w:bCs w:val="0"/>
                <w:i w:val="0"/>
                <w:iCs w:val="0"/>
                <w:caps w:val="0"/>
                <w:smallCaps w:val="0"/>
                <w:color w:val="000000" w:themeColor="text1" w:themeTint="FF" w:themeShade="FF"/>
                <w:sz w:val="19"/>
                <w:szCs w:val="19"/>
              </w:rPr>
            </w:pPr>
            <w:r w:rsidRPr="18175F3D" w:rsidR="0ADE0A90">
              <w:rPr>
                <w:rFonts w:ascii="Arial" w:hAnsi="Arial" w:eastAsia="Arial" w:cs="Arial"/>
                <w:b w:val="0"/>
                <w:bCs w:val="0"/>
                <w:i w:val="0"/>
                <w:iCs w:val="0"/>
                <w:caps w:val="0"/>
                <w:smallCaps w:val="0"/>
                <w:color w:val="000000" w:themeColor="text1" w:themeTint="FF" w:themeShade="FF"/>
                <w:sz w:val="19"/>
                <w:szCs w:val="19"/>
              </w:rPr>
              <w:t>Favorable</w:t>
            </w:r>
          </w:p>
        </w:tc>
      </w:tr>
    </w:tbl>
    <w:p xmlns:wp14="http://schemas.microsoft.com/office/word/2010/wordml" w:rsidRPr="00BE3C49" w:rsidR="00BE3C49" w:rsidP="36462772" w:rsidRDefault="00470DA2" w14:paraId="31346EE4" wp14:textId="674A3CAF">
      <w:pPr>
        <w:tabs>
          <w:tab w:val="left" w:pos="3119"/>
        </w:tabs>
        <w:spacing w:after="40" w:afterAutospacing="off"/>
        <w:ind w:left="1418"/>
        <w:rPr>
          <w:rFonts w:ascii="Arial" w:hAnsi="Arial" w:cs="Arial"/>
          <w:b w:val="1"/>
          <w:bCs w:val="1"/>
          <w:sz w:val="20"/>
          <w:szCs w:val="20"/>
        </w:rPr>
      </w:pPr>
      <w:r w:rsidRPr="2844D780" w:rsidR="001F1AD9">
        <w:rPr>
          <w:rFonts w:ascii="Arial" w:hAnsi="Arial" w:cs="Arial"/>
          <w:b w:val="1"/>
          <w:bCs w:val="1"/>
          <w:sz w:val="20"/>
          <w:szCs w:val="20"/>
        </w:rPr>
        <w:t xml:space="preserve">Nombre de votants :    </w:t>
      </w:r>
      <w:r w:rsidRPr="2844D780" w:rsidR="0C1D05E6">
        <w:rPr>
          <w:rFonts w:ascii="Arial" w:hAnsi="Arial" w:cs="Arial"/>
          <w:b w:val="1"/>
          <w:bCs w:val="1"/>
          <w:sz w:val="20"/>
          <w:szCs w:val="20"/>
        </w:rPr>
        <w:t>1</w:t>
      </w:r>
      <w:r w:rsidRPr="2844D780" w:rsidR="0CEE2C1E">
        <w:rPr>
          <w:rFonts w:ascii="Arial" w:hAnsi="Arial" w:cs="Arial"/>
          <w:b w:val="1"/>
          <w:bCs w:val="1"/>
          <w:sz w:val="20"/>
          <w:szCs w:val="20"/>
        </w:rPr>
        <w:t>0</w:t>
      </w:r>
    </w:p>
    <w:p w:rsidR="51BF782F" w:rsidP="51BF782F" w:rsidRDefault="51BF782F" w14:paraId="187CAD33" w14:textId="15E69872">
      <w:pPr>
        <w:pStyle w:val="Normal"/>
        <w:tabs>
          <w:tab w:val="left" w:leader="none" w:pos="3119"/>
        </w:tabs>
        <w:spacing w:after="40" w:afterAutospacing="off"/>
        <w:ind w:left="1418"/>
        <w:rPr>
          <w:rFonts w:ascii="Arial" w:hAnsi="Arial" w:cs="Arial"/>
          <w:b w:val="1"/>
          <w:bCs w:val="1"/>
          <w:sz w:val="20"/>
          <w:szCs w:val="20"/>
        </w:rPr>
      </w:pPr>
    </w:p>
    <w:p xmlns:wp14="http://schemas.microsoft.com/office/word/2010/wordml" w:rsidRPr="00BE3C49" w:rsidR="00BE3C49" w:rsidP="13346FB2" w:rsidRDefault="00470DA2" w14:paraId="28D8B881" wp14:textId="77777777">
      <w:pPr>
        <w:tabs>
          <w:tab w:val="left" w:pos="3119"/>
        </w:tabs>
        <w:spacing w:after="0" w:afterAutospacing="off"/>
        <w:ind w:left="1418"/>
        <w:rPr>
          <w:rFonts w:ascii="Arial" w:hAnsi="Arial" w:cs="Arial"/>
          <w:b w:val="1"/>
          <w:bCs w:val="1"/>
          <w:sz w:val="20"/>
          <w:szCs w:val="20"/>
        </w:rPr>
      </w:pPr>
      <w:r w:rsidRPr="13346FB2" w:rsidR="00BE3C49">
        <w:rPr>
          <w:rFonts w:ascii="Arial" w:hAnsi="Arial" w:cs="Arial"/>
          <w:b w:val="1"/>
          <w:bCs w:val="1"/>
          <w:sz w:val="20"/>
          <w:szCs w:val="20"/>
        </w:rPr>
        <w:t>Le projet recueille :</w:t>
      </w:r>
    </w:p>
    <w:p xmlns:wp14="http://schemas.microsoft.com/office/word/2010/wordml" w:rsidRPr="00BE3C49" w:rsidR="001F1AD9" w:rsidP="13346FB2" w:rsidRDefault="001F1AD9" w14:paraId="7582AD65" wp14:textId="4F9FD296">
      <w:pPr>
        <w:tabs>
          <w:tab w:val="left" w:pos="3119"/>
        </w:tabs>
        <w:spacing w:after="0" w:afterAutospacing="off"/>
        <w:ind w:left="1418"/>
        <w:rPr>
          <w:rFonts w:ascii="Arial" w:hAnsi="Arial" w:cs="Arial"/>
          <w:b w:val="1"/>
          <w:bCs w:val="1"/>
          <w:sz w:val="20"/>
          <w:szCs w:val="20"/>
        </w:rPr>
      </w:pPr>
      <w:r w:rsidRPr="2844D780" w:rsidR="001F1AD9">
        <w:rPr>
          <w:rFonts w:ascii="Arial" w:hAnsi="Arial" w:cs="Arial"/>
          <w:b w:val="1"/>
          <w:bCs w:val="1"/>
          <w:sz w:val="20"/>
          <w:szCs w:val="20"/>
        </w:rPr>
        <w:t xml:space="preserve">Pour : </w:t>
      </w:r>
      <w:r w:rsidRPr="2844D780" w:rsidR="2E179AC9">
        <w:rPr>
          <w:rFonts w:ascii="Arial" w:hAnsi="Arial" w:cs="Arial"/>
          <w:b w:val="1"/>
          <w:bCs w:val="1"/>
          <w:sz w:val="20"/>
          <w:szCs w:val="20"/>
        </w:rPr>
        <w:t>10</w:t>
      </w:r>
    </w:p>
    <w:p w:rsidR="001F1AD9" w:rsidP="0CB47172" w:rsidRDefault="001F1AD9" w14:paraId="75584B38" w14:textId="67851CDD">
      <w:pPr>
        <w:pStyle w:val="Normal"/>
        <w:bidi w:val="0"/>
        <w:spacing w:before="0" w:beforeAutospacing="off" w:after="0" w:afterAutospacing="off" w:line="276" w:lineRule="auto"/>
        <w:ind w:left="1418" w:right="0"/>
        <w:jc w:val="left"/>
        <w:rPr>
          <w:rFonts w:ascii="Arial" w:hAnsi="Arial" w:cs="Arial"/>
          <w:b w:val="1"/>
          <w:bCs w:val="1"/>
          <w:sz w:val="20"/>
          <w:szCs w:val="20"/>
        </w:rPr>
      </w:pPr>
      <w:r w:rsidRPr="2D752FC7" w:rsidR="001F1AD9">
        <w:rPr>
          <w:rFonts w:ascii="Arial" w:hAnsi="Arial" w:cs="Arial"/>
          <w:b w:val="1"/>
          <w:bCs w:val="1"/>
          <w:sz w:val="20"/>
          <w:szCs w:val="20"/>
        </w:rPr>
        <w:t xml:space="preserve">Contre : </w:t>
      </w:r>
      <w:r w:rsidRPr="2D752FC7" w:rsidR="4423EBF2">
        <w:rPr>
          <w:rFonts w:ascii="Arial" w:hAnsi="Arial" w:cs="Arial"/>
          <w:b w:val="1"/>
          <w:bCs w:val="1"/>
          <w:sz w:val="20"/>
          <w:szCs w:val="20"/>
        </w:rPr>
        <w:t>0</w:t>
      </w:r>
    </w:p>
    <w:p xmlns:wp14="http://schemas.microsoft.com/office/word/2010/wordml" w:rsidRPr="00BE3C49" w:rsidR="001F1AD9" w:rsidP="13346FB2" w:rsidRDefault="001F1AD9" w14:paraId="75BFBA93" wp14:textId="63B4B240">
      <w:pPr>
        <w:tabs>
          <w:tab w:val="left" w:pos="3119"/>
        </w:tabs>
        <w:spacing w:after="0" w:afterAutospacing="off"/>
        <w:ind w:left="1418"/>
        <w:rPr>
          <w:rFonts w:ascii="Arial" w:hAnsi="Arial" w:cs="Arial"/>
          <w:b w:val="1"/>
          <w:bCs w:val="1"/>
          <w:sz w:val="20"/>
          <w:szCs w:val="20"/>
        </w:rPr>
      </w:pPr>
      <w:r w:rsidRPr="688BE331" w:rsidR="001F1AD9">
        <w:rPr>
          <w:rFonts w:ascii="Arial" w:hAnsi="Arial" w:cs="Arial"/>
          <w:b w:val="1"/>
          <w:bCs w:val="1"/>
          <w:sz w:val="20"/>
          <w:szCs w:val="20"/>
        </w:rPr>
        <w:t>Abstentions : 0</w:t>
      </w:r>
    </w:p>
    <w:p w:rsidR="13346FB2" w:rsidP="13346FB2" w:rsidRDefault="13346FB2" w14:paraId="29932099" w14:textId="0C82E789">
      <w:pPr>
        <w:pStyle w:val="Normal"/>
        <w:spacing w:after="0" w:afterAutospacing="off"/>
        <w:ind w:left="1418"/>
        <w:rPr>
          <w:rFonts w:ascii="Arial" w:hAnsi="Arial" w:cs="Arial"/>
          <w:b w:val="1"/>
          <w:bCs w:val="1"/>
          <w:sz w:val="20"/>
          <w:szCs w:val="20"/>
        </w:rPr>
      </w:pPr>
    </w:p>
    <w:p w:rsidR="688BE331" w:rsidP="2844D780" w:rsidRDefault="688BE331" w14:paraId="4F12612D" w14:textId="5ECCE04E">
      <w:pPr>
        <w:pStyle w:val="Normal"/>
        <w:tabs>
          <w:tab w:val="left" w:leader="none" w:pos="3119"/>
        </w:tabs>
        <w:spacing w:before="0" w:beforeAutospacing="off" w:after="0" w:afterAutospacing="off" w:line="276" w:lineRule="auto"/>
        <w:ind w:left="0" w:right="0"/>
        <w:jc w:val="left"/>
        <w:rPr>
          <w:rFonts w:ascii="Arial" w:hAnsi="Arial" w:cs="Arial"/>
          <w:i w:val="1"/>
          <w:iCs w:val="1"/>
          <w:noProof w:val="0"/>
          <w:lang w:val="fr-FR"/>
        </w:rPr>
      </w:pPr>
      <w:r w:rsidRPr="2844D780" w:rsidR="00B16A6E">
        <w:rPr>
          <w:rFonts w:ascii="Arial" w:hAnsi="Arial" w:cs="Arial"/>
          <w:i w:val="1"/>
          <w:iCs w:val="1"/>
        </w:rPr>
        <w:t xml:space="preserve">Le Comité </w:t>
      </w:r>
      <w:r w:rsidRPr="2844D780" w:rsidR="00465AEC">
        <w:rPr>
          <w:rFonts w:ascii="Arial" w:hAnsi="Arial" w:cs="Arial"/>
          <w:i w:val="1"/>
          <w:iCs w:val="1"/>
        </w:rPr>
        <w:t>Social et Economique</w:t>
      </w:r>
      <w:r w:rsidRPr="2844D780" w:rsidR="00D02F40">
        <w:rPr>
          <w:rFonts w:ascii="Arial" w:hAnsi="Arial" w:cs="Arial"/>
          <w:i w:val="1"/>
          <w:iCs w:val="1"/>
        </w:rPr>
        <w:t xml:space="preserve"> rend un </w:t>
      </w:r>
      <w:r w:rsidRPr="2844D780" w:rsidR="00D02F40">
        <w:rPr>
          <w:rFonts w:ascii="Arial" w:hAnsi="Arial" w:cs="Arial"/>
          <w:b w:val="1"/>
          <w:bCs w:val="1"/>
          <w:i w:val="1"/>
          <w:iCs w:val="1"/>
        </w:rPr>
        <w:t xml:space="preserve">avis </w:t>
      </w:r>
      <w:r w:rsidRPr="2844D780" w:rsidR="59C35B22">
        <w:rPr>
          <w:rFonts w:ascii="Arial" w:hAnsi="Arial" w:cs="Arial"/>
          <w:b w:val="1"/>
          <w:bCs w:val="1"/>
          <w:i w:val="1"/>
          <w:iCs w:val="1"/>
        </w:rPr>
        <w:t>favorable</w:t>
      </w:r>
      <w:r w:rsidRPr="2844D780" w:rsidR="1D5B8B1D">
        <w:rPr>
          <w:rFonts w:ascii="Arial" w:hAnsi="Arial" w:cs="Arial"/>
          <w:b w:val="1"/>
          <w:bCs w:val="1"/>
          <w:i w:val="1"/>
          <w:iCs w:val="1"/>
        </w:rPr>
        <w:t xml:space="preserve"> </w:t>
      </w:r>
      <w:r w:rsidRPr="2844D780" w:rsidR="268CBE19">
        <w:rPr>
          <w:rFonts w:ascii="Arial" w:hAnsi="Arial" w:cs="Arial"/>
          <w:b w:val="1"/>
          <w:bCs w:val="1"/>
          <w:i w:val="1"/>
          <w:iCs w:val="1"/>
        </w:rPr>
        <w:t>à l</w:t>
      </w:r>
      <w:r w:rsidRPr="2844D780" w:rsidR="6D6F9DAD">
        <w:rPr>
          <w:rFonts w:ascii="Arial" w:hAnsi="Arial" w:cs="Arial"/>
          <w:b w:val="1"/>
          <w:bCs w:val="1"/>
          <w:i w:val="1"/>
          <w:iCs w:val="1"/>
        </w:rPr>
        <w:t>’unanimité</w:t>
      </w:r>
      <w:r w:rsidRPr="2844D780" w:rsidR="268CBE19">
        <w:rPr>
          <w:rFonts w:ascii="Arial" w:hAnsi="Arial" w:cs="Arial"/>
          <w:b w:val="1"/>
          <w:bCs w:val="1"/>
          <w:i w:val="1"/>
          <w:iCs w:val="1"/>
        </w:rPr>
        <w:t xml:space="preserve"> </w:t>
      </w:r>
      <w:r w:rsidRPr="2844D780" w:rsidR="003432BE">
        <w:rPr>
          <w:rFonts w:ascii="Arial" w:hAnsi="Arial" w:cs="Arial"/>
          <w:i w:val="1"/>
          <w:iCs w:val="1"/>
        </w:rPr>
        <w:t>sur</w:t>
      </w:r>
      <w:r w:rsidRPr="2844D780" w:rsidR="2269A4B5">
        <w:rPr>
          <w:rFonts w:ascii="Arial" w:hAnsi="Arial" w:eastAsia="Calibri" w:cs="Arial"/>
          <w:i w:val="1"/>
          <w:iCs w:val="1"/>
          <w:noProof w:val="0"/>
          <w:lang w:val="fr-FR"/>
        </w:rPr>
        <w:t xml:space="preserve"> la situation économique et financière de Groupama Assurances Mutuelles.</w:t>
      </w:r>
      <w:r w:rsidRPr="2844D780" w:rsidR="003432BE">
        <w:rPr>
          <w:rFonts w:ascii="Arial" w:hAnsi="Arial" w:eastAsia="Calibri" w:cs="Arial"/>
          <w:i w:val="1"/>
          <w:iCs w:val="1"/>
        </w:rPr>
        <w:t xml:space="preserve"> </w:t>
      </w:r>
    </w:p>
    <w:sectPr w:rsidRPr="00BE3C49" w:rsidR="00CB0769" w:rsidSect="00BE3C49">
      <w:pgSz w:w="11906" w:h="16838" w:orient="portrait"/>
      <w:pgMar w:top="284"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7238C8" w:rsidP="007238C8" w:rsidRDefault="007238C8" w14:paraId="110FFD37" wp14:textId="77777777">
      <w:pPr>
        <w:spacing w:after="0" w:line="240" w:lineRule="auto"/>
      </w:pPr>
      <w:r>
        <w:separator/>
      </w:r>
    </w:p>
  </w:endnote>
  <w:endnote w:type="continuationSeparator" w:id="0">
    <w:p xmlns:wp14="http://schemas.microsoft.com/office/word/2010/wordml" w:rsidR="007238C8" w:rsidP="007238C8" w:rsidRDefault="007238C8" w14:paraId="6B69937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7238C8" w:rsidP="007238C8" w:rsidRDefault="007238C8" w14:paraId="3FE9F23F" wp14:textId="77777777">
      <w:pPr>
        <w:spacing w:after="0" w:line="240" w:lineRule="auto"/>
      </w:pPr>
      <w:r>
        <w:separator/>
      </w:r>
    </w:p>
  </w:footnote>
  <w:footnote w:type="continuationSeparator" w:id="0">
    <w:p xmlns:wp14="http://schemas.microsoft.com/office/word/2010/wordml" w:rsidR="007238C8" w:rsidP="007238C8" w:rsidRDefault="007238C8" w14:paraId="1F72F646"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5">
    <w:nsid w:val="25abe0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Book Antiqua" w:hAnsi="Book Antiqu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3A215D0"/>
    <w:multiLevelType w:val="hybridMultilevel"/>
    <w:tmpl w:val="23AA9DF2"/>
    <w:lvl w:ilvl="0" w:tplc="2A020E48">
      <w:numFmt w:val="bullet"/>
      <w:lvlText w:val="-"/>
      <w:lvlJc w:val="left"/>
      <w:pPr>
        <w:ind w:left="1068" w:hanging="360"/>
      </w:pPr>
      <w:rPr>
        <w:rFonts w:hint="default" w:ascii="Arial" w:hAnsi="Arial" w:eastAsia="Calibri" w:cs="Arial"/>
      </w:rPr>
    </w:lvl>
    <w:lvl w:ilvl="1" w:tplc="040C0003">
      <w:start w:val="1"/>
      <w:numFmt w:val="bullet"/>
      <w:lvlText w:val="o"/>
      <w:lvlJc w:val="left"/>
      <w:pPr>
        <w:ind w:left="1788" w:hanging="360"/>
      </w:pPr>
      <w:rPr>
        <w:rFonts w:hint="default" w:ascii="Courier New" w:hAnsi="Courier New" w:cs="Courier New"/>
      </w:rPr>
    </w:lvl>
    <w:lvl w:ilvl="2" w:tplc="040C0005">
      <w:start w:val="1"/>
      <w:numFmt w:val="bullet"/>
      <w:lvlText w:val=""/>
      <w:lvlJc w:val="left"/>
      <w:pPr>
        <w:ind w:left="2508" w:hanging="360"/>
      </w:pPr>
      <w:rPr>
        <w:rFonts w:hint="default" w:ascii="Wingdings" w:hAnsi="Wingdings"/>
      </w:rPr>
    </w:lvl>
    <w:lvl w:ilvl="3" w:tplc="040C0001" w:tentative="1">
      <w:start w:val="1"/>
      <w:numFmt w:val="bullet"/>
      <w:lvlText w:val=""/>
      <w:lvlJc w:val="left"/>
      <w:pPr>
        <w:ind w:left="3228" w:hanging="360"/>
      </w:pPr>
      <w:rPr>
        <w:rFonts w:hint="default" w:ascii="Symbol" w:hAnsi="Symbol"/>
      </w:rPr>
    </w:lvl>
    <w:lvl w:ilvl="4" w:tplc="040C0003" w:tentative="1">
      <w:start w:val="1"/>
      <w:numFmt w:val="bullet"/>
      <w:lvlText w:val="o"/>
      <w:lvlJc w:val="left"/>
      <w:pPr>
        <w:ind w:left="3948" w:hanging="360"/>
      </w:pPr>
      <w:rPr>
        <w:rFonts w:hint="default" w:ascii="Courier New" w:hAnsi="Courier New" w:cs="Courier New"/>
      </w:rPr>
    </w:lvl>
    <w:lvl w:ilvl="5" w:tplc="040C0005" w:tentative="1">
      <w:start w:val="1"/>
      <w:numFmt w:val="bullet"/>
      <w:lvlText w:val=""/>
      <w:lvlJc w:val="left"/>
      <w:pPr>
        <w:ind w:left="4668" w:hanging="360"/>
      </w:pPr>
      <w:rPr>
        <w:rFonts w:hint="default" w:ascii="Wingdings" w:hAnsi="Wingdings"/>
      </w:rPr>
    </w:lvl>
    <w:lvl w:ilvl="6" w:tplc="040C0001" w:tentative="1">
      <w:start w:val="1"/>
      <w:numFmt w:val="bullet"/>
      <w:lvlText w:val=""/>
      <w:lvlJc w:val="left"/>
      <w:pPr>
        <w:ind w:left="5388" w:hanging="360"/>
      </w:pPr>
      <w:rPr>
        <w:rFonts w:hint="default" w:ascii="Symbol" w:hAnsi="Symbol"/>
      </w:rPr>
    </w:lvl>
    <w:lvl w:ilvl="7" w:tplc="040C0003" w:tentative="1">
      <w:start w:val="1"/>
      <w:numFmt w:val="bullet"/>
      <w:lvlText w:val="o"/>
      <w:lvlJc w:val="left"/>
      <w:pPr>
        <w:ind w:left="6108" w:hanging="360"/>
      </w:pPr>
      <w:rPr>
        <w:rFonts w:hint="default" w:ascii="Courier New" w:hAnsi="Courier New" w:cs="Courier New"/>
      </w:rPr>
    </w:lvl>
    <w:lvl w:ilvl="8" w:tplc="040C0005" w:tentative="1">
      <w:start w:val="1"/>
      <w:numFmt w:val="bullet"/>
      <w:lvlText w:val=""/>
      <w:lvlJc w:val="left"/>
      <w:pPr>
        <w:ind w:left="6828" w:hanging="360"/>
      </w:pPr>
      <w:rPr>
        <w:rFonts w:hint="default" w:ascii="Wingdings" w:hAnsi="Wingdings"/>
      </w:rPr>
    </w:lvl>
  </w:abstractNum>
  <w:abstractNum w:abstractNumId="1">
    <w:nsid w:val="24B979AD"/>
    <w:multiLevelType w:val="hybridMultilevel"/>
    <w:tmpl w:val="D272FD1C"/>
    <w:lvl w:ilvl="0" w:tplc="C6683C62">
      <w:numFmt w:val="bullet"/>
      <w:lvlText w:val="-"/>
      <w:lvlJc w:val="left"/>
      <w:pPr>
        <w:ind w:left="1428" w:hanging="360"/>
      </w:pPr>
      <w:rPr>
        <w:rFonts w:hint="default" w:ascii="Arial" w:hAnsi="Arial" w:eastAsia="Calibri" w:cs="Arial"/>
      </w:rPr>
    </w:lvl>
    <w:lvl w:ilvl="1" w:tplc="040C0003" w:tentative="1">
      <w:start w:val="1"/>
      <w:numFmt w:val="bullet"/>
      <w:lvlText w:val="o"/>
      <w:lvlJc w:val="left"/>
      <w:pPr>
        <w:ind w:left="2148" w:hanging="360"/>
      </w:pPr>
      <w:rPr>
        <w:rFonts w:hint="default" w:ascii="Courier New" w:hAnsi="Courier New" w:cs="Courier New"/>
      </w:rPr>
    </w:lvl>
    <w:lvl w:ilvl="2" w:tplc="040C0005" w:tentative="1">
      <w:start w:val="1"/>
      <w:numFmt w:val="bullet"/>
      <w:lvlText w:val=""/>
      <w:lvlJc w:val="left"/>
      <w:pPr>
        <w:ind w:left="2868" w:hanging="360"/>
      </w:pPr>
      <w:rPr>
        <w:rFonts w:hint="default" w:ascii="Wingdings" w:hAnsi="Wingdings"/>
      </w:rPr>
    </w:lvl>
    <w:lvl w:ilvl="3" w:tplc="040C0001" w:tentative="1">
      <w:start w:val="1"/>
      <w:numFmt w:val="bullet"/>
      <w:lvlText w:val=""/>
      <w:lvlJc w:val="left"/>
      <w:pPr>
        <w:ind w:left="3588" w:hanging="360"/>
      </w:pPr>
      <w:rPr>
        <w:rFonts w:hint="default" w:ascii="Symbol" w:hAnsi="Symbol"/>
      </w:rPr>
    </w:lvl>
    <w:lvl w:ilvl="4" w:tplc="040C0003" w:tentative="1">
      <w:start w:val="1"/>
      <w:numFmt w:val="bullet"/>
      <w:lvlText w:val="o"/>
      <w:lvlJc w:val="left"/>
      <w:pPr>
        <w:ind w:left="4308" w:hanging="360"/>
      </w:pPr>
      <w:rPr>
        <w:rFonts w:hint="default" w:ascii="Courier New" w:hAnsi="Courier New" w:cs="Courier New"/>
      </w:rPr>
    </w:lvl>
    <w:lvl w:ilvl="5" w:tplc="040C0005" w:tentative="1">
      <w:start w:val="1"/>
      <w:numFmt w:val="bullet"/>
      <w:lvlText w:val=""/>
      <w:lvlJc w:val="left"/>
      <w:pPr>
        <w:ind w:left="5028" w:hanging="360"/>
      </w:pPr>
      <w:rPr>
        <w:rFonts w:hint="default" w:ascii="Wingdings" w:hAnsi="Wingdings"/>
      </w:rPr>
    </w:lvl>
    <w:lvl w:ilvl="6" w:tplc="040C0001" w:tentative="1">
      <w:start w:val="1"/>
      <w:numFmt w:val="bullet"/>
      <w:lvlText w:val=""/>
      <w:lvlJc w:val="left"/>
      <w:pPr>
        <w:ind w:left="5748" w:hanging="360"/>
      </w:pPr>
      <w:rPr>
        <w:rFonts w:hint="default" w:ascii="Symbol" w:hAnsi="Symbol"/>
      </w:rPr>
    </w:lvl>
    <w:lvl w:ilvl="7" w:tplc="040C0003" w:tentative="1">
      <w:start w:val="1"/>
      <w:numFmt w:val="bullet"/>
      <w:lvlText w:val="o"/>
      <w:lvlJc w:val="left"/>
      <w:pPr>
        <w:ind w:left="6468" w:hanging="360"/>
      </w:pPr>
      <w:rPr>
        <w:rFonts w:hint="default" w:ascii="Courier New" w:hAnsi="Courier New" w:cs="Courier New"/>
      </w:rPr>
    </w:lvl>
    <w:lvl w:ilvl="8" w:tplc="040C0005" w:tentative="1">
      <w:start w:val="1"/>
      <w:numFmt w:val="bullet"/>
      <w:lvlText w:val=""/>
      <w:lvlJc w:val="left"/>
      <w:pPr>
        <w:ind w:left="7188" w:hanging="360"/>
      </w:pPr>
      <w:rPr>
        <w:rFonts w:hint="default" w:ascii="Wingdings" w:hAnsi="Wingdings"/>
      </w:rPr>
    </w:lvl>
  </w:abstractNum>
  <w:abstractNum w:abstractNumId="2">
    <w:nsid w:val="4D2F5B8D"/>
    <w:multiLevelType w:val="hybridMultilevel"/>
    <w:tmpl w:val="11E6F102"/>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nsid w:val="542F548A"/>
    <w:multiLevelType w:val="hybridMultilevel"/>
    <w:tmpl w:val="0CF0D080"/>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nsid w:val="55723B33"/>
    <w:multiLevelType w:val="hybridMultilevel"/>
    <w:tmpl w:val="958A5244"/>
    <w:lvl w:ilvl="0" w:tplc="7996EB88">
      <w:start w:val="1"/>
      <w:numFmt w:val="upperLetter"/>
      <w:lvlText w:val="%1)"/>
      <w:lvlJc w:val="left"/>
      <w:pPr>
        <w:ind w:left="1068" w:hanging="360"/>
      </w:pPr>
      <w:rPr>
        <w:rFonts w:hint="default"/>
        <w:color w:val="auto"/>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6">
    <w:abstractNumId w:val="5"/>
  </w: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F7"/>
    <w:rsid w:val="000034C4"/>
    <w:rsid w:val="00031420"/>
    <w:rsid w:val="00031C1E"/>
    <w:rsid w:val="00036E7C"/>
    <w:rsid w:val="00046680"/>
    <w:rsid w:val="00054FA0"/>
    <w:rsid w:val="00065346"/>
    <w:rsid w:val="00066136"/>
    <w:rsid w:val="00075595"/>
    <w:rsid w:val="00076A3C"/>
    <w:rsid w:val="000A69F7"/>
    <w:rsid w:val="000B5DDA"/>
    <w:rsid w:val="000C3A15"/>
    <w:rsid w:val="000C5B8D"/>
    <w:rsid w:val="000D0DBA"/>
    <w:rsid w:val="000E120E"/>
    <w:rsid w:val="000E373C"/>
    <w:rsid w:val="000E383D"/>
    <w:rsid w:val="000E42FD"/>
    <w:rsid w:val="000E534C"/>
    <w:rsid w:val="000E6A80"/>
    <w:rsid w:val="00102195"/>
    <w:rsid w:val="001158FD"/>
    <w:rsid w:val="00117647"/>
    <w:rsid w:val="00135A36"/>
    <w:rsid w:val="00142312"/>
    <w:rsid w:val="001501F3"/>
    <w:rsid w:val="00157DB7"/>
    <w:rsid w:val="001850B1"/>
    <w:rsid w:val="001975EB"/>
    <w:rsid w:val="001A2A68"/>
    <w:rsid w:val="001B1C1D"/>
    <w:rsid w:val="001B1F00"/>
    <w:rsid w:val="001B35A2"/>
    <w:rsid w:val="001B4F42"/>
    <w:rsid w:val="001C2B6E"/>
    <w:rsid w:val="001C6486"/>
    <w:rsid w:val="001C6F30"/>
    <w:rsid w:val="001D3C86"/>
    <w:rsid w:val="001D5F33"/>
    <w:rsid w:val="001D6485"/>
    <w:rsid w:val="001F1AD9"/>
    <w:rsid w:val="002062C6"/>
    <w:rsid w:val="0020758A"/>
    <w:rsid w:val="00211379"/>
    <w:rsid w:val="0023385A"/>
    <w:rsid w:val="00234176"/>
    <w:rsid w:val="00237B68"/>
    <w:rsid w:val="00243B01"/>
    <w:rsid w:val="00246457"/>
    <w:rsid w:val="00252BB2"/>
    <w:rsid w:val="00270B62"/>
    <w:rsid w:val="002757E9"/>
    <w:rsid w:val="00282635"/>
    <w:rsid w:val="00283FBA"/>
    <w:rsid w:val="00294EF1"/>
    <w:rsid w:val="002A138B"/>
    <w:rsid w:val="002B0BF1"/>
    <w:rsid w:val="002B2DBF"/>
    <w:rsid w:val="002B3675"/>
    <w:rsid w:val="002B733A"/>
    <w:rsid w:val="002E1069"/>
    <w:rsid w:val="002E3783"/>
    <w:rsid w:val="002F1930"/>
    <w:rsid w:val="002F3F94"/>
    <w:rsid w:val="002F4695"/>
    <w:rsid w:val="00303467"/>
    <w:rsid w:val="003053C8"/>
    <w:rsid w:val="003108D3"/>
    <w:rsid w:val="003204AF"/>
    <w:rsid w:val="00320F42"/>
    <w:rsid w:val="0032150E"/>
    <w:rsid w:val="00323086"/>
    <w:rsid w:val="003273F2"/>
    <w:rsid w:val="00327E90"/>
    <w:rsid w:val="003432BE"/>
    <w:rsid w:val="00355BA1"/>
    <w:rsid w:val="00356FE0"/>
    <w:rsid w:val="0037192F"/>
    <w:rsid w:val="003776F7"/>
    <w:rsid w:val="00382A19"/>
    <w:rsid w:val="00397C97"/>
    <w:rsid w:val="003A2748"/>
    <w:rsid w:val="003B799C"/>
    <w:rsid w:val="003C337B"/>
    <w:rsid w:val="003D563F"/>
    <w:rsid w:val="003E7CAE"/>
    <w:rsid w:val="003F0985"/>
    <w:rsid w:val="003F420F"/>
    <w:rsid w:val="003F4357"/>
    <w:rsid w:val="003F5B5F"/>
    <w:rsid w:val="004019E4"/>
    <w:rsid w:val="004114C5"/>
    <w:rsid w:val="00424AB8"/>
    <w:rsid w:val="00425A7C"/>
    <w:rsid w:val="004308BA"/>
    <w:rsid w:val="00440AF7"/>
    <w:rsid w:val="00442ED8"/>
    <w:rsid w:val="00445AE6"/>
    <w:rsid w:val="00452585"/>
    <w:rsid w:val="004603BB"/>
    <w:rsid w:val="00461780"/>
    <w:rsid w:val="0046426F"/>
    <w:rsid w:val="00465AEC"/>
    <w:rsid w:val="00470DA2"/>
    <w:rsid w:val="00497972"/>
    <w:rsid w:val="00497B9A"/>
    <w:rsid w:val="004A418E"/>
    <w:rsid w:val="004B0FE0"/>
    <w:rsid w:val="004B5915"/>
    <w:rsid w:val="004C4A94"/>
    <w:rsid w:val="004D7982"/>
    <w:rsid w:val="004F0219"/>
    <w:rsid w:val="00512AFF"/>
    <w:rsid w:val="00535791"/>
    <w:rsid w:val="0054516A"/>
    <w:rsid w:val="00560E9F"/>
    <w:rsid w:val="00580F60"/>
    <w:rsid w:val="00581E17"/>
    <w:rsid w:val="00582848"/>
    <w:rsid w:val="0059162C"/>
    <w:rsid w:val="00593B3F"/>
    <w:rsid w:val="00597CAC"/>
    <w:rsid w:val="005A7ADC"/>
    <w:rsid w:val="005B170C"/>
    <w:rsid w:val="005B6E04"/>
    <w:rsid w:val="005C0E52"/>
    <w:rsid w:val="005D2810"/>
    <w:rsid w:val="005E7B3D"/>
    <w:rsid w:val="005F46DE"/>
    <w:rsid w:val="006010A4"/>
    <w:rsid w:val="00619ABD"/>
    <w:rsid w:val="00625182"/>
    <w:rsid w:val="006308D0"/>
    <w:rsid w:val="00640F1D"/>
    <w:rsid w:val="00642A0C"/>
    <w:rsid w:val="00653397"/>
    <w:rsid w:val="006550BC"/>
    <w:rsid w:val="00663A38"/>
    <w:rsid w:val="0066401E"/>
    <w:rsid w:val="00692B0F"/>
    <w:rsid w:val="006A6DE5"/>
    <w:rsid w:val="006B0055"/>
    <w:rsid w:val="006B32BF"/>
    <w:rsid w:val="006B551C"/>
    <w:rsid w:val="006B6385"/>
    <w:rsid w:val="006C1789"/>
    <w:rsid w:val="006C36A7"/>
    <w:rsid w:val="00700C6A"/>
    <w:rsid w:val="0071570D"/>
    <w:rsid w:val="007238C8"/>
    <w:rsid w:val="00724953"/>
    <w:rsid w:val="00725093"/>
    <w:rsid w:val="007277AE"/>
    <w:rsid w:val="00743836"/>
    <w:rsid w:val="00762E50"/>
    <w:rsid w:val="00763A22"/>
    <w:rsid w:val="00766F02"/>
    <w:rsid w:val="00775EB7"/>
    <w:rsid w:val="00786FDF"/>
    <w:rsid w:val="0079199A"/>
    <w:rsid w:val="007B74A8"/>
    <w:rsid w:val="007B7869"/>
    <w:rsid w:val="007C4887"/>
    <w:rsid w:val="007CC160"/>
    <w:rsid w:val="007D0F09"/>
    <w:rsid w:val="007E5693"/>
    <w:rsid w:val="007F29C9"/>
    <w:rsid w:val="007F70FC"/>
    <w:rsid w:val="007F7D79"/>
    <w:rsid w:val="0080351D"/>
    <w:rsid w:val="008065CB"/>
    <w:rsid w:val="00811CDF"/>
    <w:rsid w:val="008124D8"/>
    <w:rsid w:val="008128D4"/>
    <w:rsid w:val="00814BBA"/>
    <w:rsid w:val="0081532F"/>
    <w:rsid w:val="00817399"/>
    <w:rsid w:val="00826855"/>
    <w:rsid w:val="008444BB"/>
    <w:rsid w:val="00854A2D"/>
    <w:rsid w:val="00856D16"/>
    <w:rsid w:val="00865DFD"/>
    <w:rsid w:val="00876627"/>
    <w:rsid w:val="008963FC"/>
    <w:rsid w:val="008A49DA"/>
    <w:rsid w:val="008A6D91"/>
    <w:rsid w:val="008B4FC3"/>
    <w:rsid w:val="008C4B60"/>
    <w:rsid w:val="008E155C"/>
    <w:rsid w:val="008F45B4"/>
    <w:rsid w:val="008F5A3B"/>
    <w:rsid w:val="008F5C96"/>
    <w:rsid w:val="008F7E61"/>
    <w:rsid w:val="0090052C"/>
    <w:rsid w:val="00902D08"/>
    <w:rsid w:val="00903B03"/>
    <w:rsid w:val="00931B61"/>
    <w:rsid w:val="0093787E"/>
    <w:rsid w:val="009418A7"/>
    <w:rsid w:val="00957ECB"/>
    <w:rsid w:val="00961C15"/>
    <w:rsid w:val="0096697F"/>
    <w:rsid w:val="00972DF7"/>
    <w:rsid w:val="00983B00"/>
    <w:rsid w:val="00991C37"/>
    <w:rsid w:val="00993DFB"/>
    <w:rsid w:val="009A094F"/>
    <w:rsid w:val="009D18A7"/>
    <w:rsid w:val="009D4CA6"/>
    <w:rsid w:val="009E451C"/>
    <w:rsid w:val="009E4644"/>
    <w:rsid w:val="009E6384"/>
    <w:rsid w:val="009E7E8A"/>
    <w:rsid w:val="009F4C5D"/>
    <w:rsid w:val="009F5109"/>
    <w:rsid w:val="009F7652"/>
    <w:rsid w:val="00A00950"/>
    <w:rsid w:val="00A0280F"/>
    <w:rsid w:val="00A0557E"/>
    <w:rsid w:val="00A07879"/>
    <w:rsid w:val="00A11557"/>
    <w:rsid w:val="00A208A7"/>
    <w:rsid w:val="00A22415"/>
    <w:rsid w:val="00A25FD5"/>
    <w:rsid w:val="00A547BC"/>
    <w:rsid w:val="00A55628"/>
    <w:rsid w:val="00A5772D"/>
    <w:rsid w:val="00A67117"/>
    <w:rsid w:val="00A86DE3"/>
    <w:rsid w:val="00A92ED2"/>
    <w:rsid w:val="00A97E44"/>
    <w:rsid w:val="00AAB331"/>
    <w:rsid w:val="00AC2B21"/>
    <w:rsid w:val="00AC364B"/>
    <w:rsid w:val="00AC495F"/>
    <w:rsid w:val="00AD52D4"/>
    <w:rsid w:val="00AF0FB9"/>
    <w:rsid w:val="00AF3A95"/>
    <w:rsid w:val="00B00197"/>
    <w:rsid w:val="00B02A72"/>
    <w:rsid w:val="00B05149"/>
    <w:rsid w:val="00B0671D"/>
    <w:rsid w:val="00B1401D"/>
    <w:rsid w:val="00B16A6E"/>
    <w:rsid w:val="00B26633"/>
    <w:rsid w:val="00B51BAA"/>
    <w:rsid w:val="00B56391"/>
    <w:rsid w:val="00B56522"/>
    <w:rsid w:val="00B60A03"/>
    <w:rsid w:val="00B6168A"/>
    <w:rsid w:val="00B64FDB"/>
    <w:rsid w:val="00B76C8F"/>
    <w:rsid w:val="00B92BEA"/>
    <w:rsid w:val="00BA24E4"/>
    <w:rsid w:val="00BA632A"/>
    <w:rsid w:val="00BB1AD1"/>
    <w:rsid w:val="00BD3CB1"/>
    <w:rsid w:val="00BE3756"/>
    <w:rsid w:val="00BE3C49"/>
    <w:rsid w:val="00BF2967"/>
    <w:rsid w:val="00BF6EA9"/>
    <w:rsid w:val="00C0732D"/>
    <w:rsid w:val="00C1160C"/>
    <w:rsid w:val="00C21D5D"/>
    <w:rsid w:val="00C266E5"/>
    <w:rsid w:val="00C32DD8"/>
    <w:rsid w:val="00C433EF"/>
    <w:rsid w:val="00C54BCD"/>
    <w:rsid w:val="00C7229B"/>
    <w:rsid w:val="00C814D2"/>
    <w:rsid w:val="00C9630F"/>
    <w:rsid w:val="00CA0078"/>
    <w:rsid w:val="00CA0DC0"/>
    <w:rsid w:val="00CB0274"/>
    <w:rsid w:val="00CB0769"/>
    <w:rsid w:val="00CB125F"/>
    <w:rsid w:val="00CC19F1"/>
    <w:rsid w:val="00CC1B34"/>
    <w:rsid w:val="00CC34C1"/>
    <w:rsid w:val="00CC6E10"/>
    <w:rsid w:val="00CD2B61"/>
    <w:rsid w:val="00CE7CD2"/>
    <w:rsid w:val="00CF0C4E"/>
    <w:rsid w:val="00CF2CAD"/>
    <w:rsid w:val="00CF41D2"/>
    <w:rsid w:val="00CF6A17"/>
    <w:rsid w:val="00D01085"/>
    <w:rsid w:val="00D02F40"/>
    <w:rsid w:val="00D13F50"/>
    <w:rsid w:val="00D22302"/>
    <w:rsid w:val="00D45084"/>
    <w:rsid w:val="00D67264"/>
    <w:rsid w:val="00D704B7"/>
    <w:rsid w:val="00D71D68"/>
    <w:rsid w:val="00D723AB"/>
    <w:rsid w:val="00D76B77"/>
    <w:rsid w:val="00D84530"/>
    <w:rsid w:val="00DA4B1A"/>
    <w:rsid w:val="00DB39C2"/>
    <w:rsid w:val="00DB6580"/>
    <w:rsid w:val="00DC2E90"/>
    <w:rsid w:val="00DD74C3"/>
    <w:rsid w:val="00DE1AC9"/>
    <w:rsid w:val="00DF0665"/>
    <w:rsid w:val="00DF11A1"/>
    <w:rsid w:val="00DF3B71"/>
    <w:rsid w:val="00DF3F6E"/>
    <w:rsid w:val="00E01E84"/>
    <w:rsid w:val="00E01F5A"/>
    <w:rsid w:val="00E0411B"/>
    <w:rsid w:val="00E04E9B"/>
    <w:rsid w:val="00E07B11"/>
    <w:rsid w:val="00E15031"/>
    <w:rsid w:val="00E15558"/>
    <w:rsid w:val="00E26C03"/>
    <w:rsid w:val="00E431A3"/>
    <w:rsid w:val="00E5567B"/>
    <w:rsid w:val="00E6622B"/>
    <w:rsid w:val="00E75DE3"/>
    <w:rsid w:val="00E81A14"/>
    <w:rsid w:val="00E850A4"/>
    <w:rsid w:val="00E86435"/>
    <w:rsid w:val="00EB004A"/>
    <w:rsid w:val="00EB73FE"/>
    <w:rsid w:val="00EC502C"/>
    <w:rsid w:val="00EC7773"/>
    <w:rsid w:val="00EE0841"/>
    <w:rsid w:val="00EE24C4"/>
    <w:rsid w:val="00EE6347"/>
    <w:rsid w:val="00EE642B"/>
    <w:rsid w:val="00EE7B63"/>
    <w:rsid w:val="00F01E92"/>
    <w:rsid w:val="00F02A0F"/>
    <w:rsid w:val="00F05071"/>
    <w:rsid w:val="00F06BB5"/>
    <w:rsid w:val="00F10D5B"/>
    <w:rsid w:val="00F13675"/>
    <w:rsid w:val="00F308AB"/>
    <w:rsid w:val="00F3306B"/>
    <w:rsid w:val="00F44A3E"/>
    <w:rsid w:val="00F47DED"/>
    <w:rsid w:val="00F50C83"/>
    <w:rsid w:val="00F57D8D"/>
    <w:rsid w:val="00F639AA"/>
    <w:rsid w:val="00F64E34"/>
    <w:rsid w:val="00F67269"/>
    <w:rsid w:val="00F703F2"/>
    <w:rsid w:val="00F87536"/>
    <w:rsid w:val="00F87608"/>
    <w:rsid w:val="00FA0F20"/>
    <w:rsid w:val="00FA3220"/>
    <w:rsid w:val="00FA5CD7"/>
    <w:rsid w:val="00FA70D5"/>
    <w:rsid w:val="00FC65B0"/>
    <w:rsid w:val="00FC6E24"/>
    <w:rsid w:val="00FD24EA"/>
    <w:rsid w:val="00FD4FEB"/>
    <w:rsid w:val="00FD7C14"/>
    <w:rsid w:val="00FE3776"/>
    <w:rsid w:val="00FF0B0D"/>
    <w:rsid w:val="01768F97"/>
    <w:rsid w:val="01F5B510"/>
    <w:rsid w:val="01F8963D"/>
    <w:rsid w:val="025D39FF"/>
    <w:rsid w:val="02BE8C11"/>
    <w:rsid w:val="04278BBC"/>
    <w:rsid w:val="059170D7"/>
    <w:rsid w:val="0643F576"/>
    <w:rsid w:val="0643F576"/>
    <w:rsid w:val="079D1D58"/>
    <w:rsid w:val="080F56BB"/>
    <w:rsid w:val="092CFF6D"/>
    <w:rsid w:val="0ADE0A90"/>
    <w:rsid w:val="0AF0454B"/>
    <w:rsid w:val="0B5B9ED7"/>
    <w:rsid w:val="0C1D05E6"/>
    <w:rsid w:val="0C27A671"/>
    <w:rsid w:val="0CB47172"/>
    <w:rsid w:val="0CEE2C1E"/>
    <w:rsid w:val="0D54133F"/>
    <w:rsid w:val="0DAD709F"/>
    <w:rsid w:val="0EF3BACA"/>
    <w:rsid w:val="0F1F0F19"/>
    <w:rsid w:val="0F8F06E0"/>
    <w:rsid w:val="10C3C8E1"/>
    <w:rsid w:val="12189E32"/>
    <w:rsid w:val="12860A75"/>
    <w:rsid w:val="12944A51"/>
    <w:rsid w:val="12DDA24F"/>
    <w:rsid w:val="12F9E68D"/>
    <w:rsid w:val="13346FB2"/>
    <w:rsid w:val="136E6465"/>
    <w:rsid w:val="13A374E7"/>
    <w:rsid w:val="13A9E181"/>
    <w:rsid w:val="14389E01"/>
    <w:rsid w:val="1610DB4A"/>
    <w:rsid w:val="1640F0E3"/>
    <w:rsid w:val="179D6B47"/>
    <w:rsid w:val="17DCC144"/>
    <w:rsid w:val="18175F3D"/>
    <w:rsid w:val="1950C8A7"/>
    <w:rsid w:val="19645218"/>
    <w:rsid w:val="19C317D5"/>
    <w:rsid w:val="1B335364"/>
    <w:rsid w:val="1D15436C"/>
    <w:rsid w:val="1D5B8B1D"/>
    <w:rsid w:val="1E0FF68D"/>
    <w:rsid w:val="1E2C0744"/>
    <w:rsid w:val="1F29EF8D"/>
    <w:rsid w:val="1F7AA46C"/>
    <w:rsid w:val="1F8667D0"/>
    <w:rsid w:val="206B7A04"/>
    <w:rsid w:val="211D1FAE"/>
    <w:rsid w:val="21602F9E"/>
    <w:rsid w:val="216DC718"/>
    <w:rsid w:val="2269A4B5"/>
    <w:rsid w:val="22E4B8F2"/>
    <w:rsid w:val="23118B43"/>
    <w:rsid w:val="2364D40D"/>
    <w:rsid w:val="23B2CCF8"/>
    <w:rsid w:val="241F5A53"/>
    <w:rsid w:val="246D6F8E"/>
    <w:rsid w:val="25AC09B3"/>
    <w:rsid w:val="25D61F7F"/>
    <w:rsid w:val="267A54DB"/>
    <w:rsid w:val="2689F41A"/>
    <w:rsid w:val="268CBE19"/>
    <w:rsid w:val="26CA329B"/>
    <w:rsid w:val="280147C8"/>
    <w:rsid w:val="2844D780"/>
    <w:rsid w:val="285478DB"/>
    <w:rsid w:val="28F66678"/>
    <w:rsid w:val="29380A8D"/>
    <w:rsid w:val="2A7C6C7C"/>
    <w:rsid w:val="2A925253"/>
    <w:rsid w:val="2AA3EDFE"/>
    <w:rsid w:val="2AF82743"/>
    <w:rsid w:val="2B5A9EBD"/>
    <w:rsid w:val="2C052066"/>
    <w:rsid w:val="2C7272DB"/>
    <w:rsid w:val="2CF0B13E"/>
    <w:rsid w:val="2D4692BE"/>
    <w:rsid w:val="2D508ECB"/>
    <w:rsid w:val="2D752FC7"/>
    <w:rsid w:val="2DDB8EC0"/>
    <w:rsid w:val="2E179AC9"/>
    <w:rsid w:val="2E95F1DA"/>
    <w:rsid w:val="2EBAD3E7"/>
    <w:rsid w:val="2F228DF9"/>
    <w:rsid w:val="2F775F21"/>
    <w:rsid w:val="3039AA0B"/>
    <w:rsid w:val="30598B93"/>
    <w:rsid w:val="329D5DAB"/>
    <w:rsid w:val="36462772"/>
    <w:rsid w:val="369FC59F"/>
    <w:rsid w:val="3702191E"/>
    <w:rsid w:val="37CC5293"/>
    <w:rsid w:val="384AF8AE"/>
    <w:rsid w:val="389F824E"/>
    <w:rsid w:val="38B122C9"/>
    <w:rsid w:val="3A41D7AB"/>
    <w:rsid w:val="3A74C41D"/>
    <w:rsid w:val="3A857121"/>
    <w:rsid w:val="3AA4F6C6"/>
    <w:rsid w:val="3ABFC639"/>
    <w:rsid w:val="3AD74442"/>
    <w:rsid w:val="3B71C609"/>
    <w:rsid w:val="3CC83174"/>
    <w:rsid w:val="3D61EC7C"/>
    <w:rsid w:val="3D6675E7"/>
    <w:rsid w:val="3E333F86"/>
    <w:rsid w:val="3F492699"/>
    <w:rsid w:val="4063458A"/>
    <w:rsid w:val="40F53220"/>
    <w:rsid w:val="4149B76D"/>
    <w:rsid w:val="41FD45D4"/>
    <w:rsid w:val="43E0FCBA"/>
    <w:rsid w:val="4423EBF2"/>
    <w:rsid w:val="44C79FB8"/>
    <w:rsid w:val="473D526C"/>
    <w:rsid w:val="47C41A2E"/>
    <w:rsid w:val="47FD020D"/>
    <w:rsid w:val="4885F2D7"/>
    <w:rsid w:val="48D922CD"/>
    <w:rsid w:val="492F35F2"/>
    <w:rsid w:val="4A74F32E"/>
    <w:rsid w:val="4A74F32E"/>
    <w:rsid w:val="4ADC1643"/>
    <w:rsid w:val="4BF46C23"/>
    <w:rsid w:val="4C2DF98F"/>
    <w:rsid w:val="4CAF8B6F"/>
    <w:rsid w:val="4D5A6433"/>
    <w:rsid w:val="501B3B6F"/>
    <w:rsid w:val="50F28354"/>
    <w:rsid w:val="51BF782F"/>
    <w:rsid w:val="51F9FA7A"/>
    <w:rsid w:val="523DBE00"/>
    <w:rsid w:val="53807C27"/>
    <w:rsid w:val="5466C00F"/>
    <w:rsid w:val="55A713E5"/>
    <w:rsid w:val="55BC79FF"/>
    <w:rsid w:val="56B4C9FC"/>
    <w:rsid w:val="56F57055"/>
    <w:rsid w:val="57834747"/>
    <w:rsid w:val="57F00EC2"/>
    <w:rsid w:val="5813FA3E"/>
    <w:rsid w:val="59C35B22"/>
    <w:rsid w:val="5A3CE338"/>
    <w:rsid w:val="5A4D1DAC"/>
    <w:rsid w:val="5A73C996"/>
    <w:rsid w:val="5A9BC6B3"/>
    <w:rsid w:val="5AAC36D5"/>
    <w:rsid w:val="5B8A283C"/>
    <w:rsid w:val="5B8E437F"/>
    <w:rsid w:val="5CAE8F5A"/>
    <w:rsid w:val="5D25F89D"/>
    <w:rsid w:val="5DC438A6"/>
    <w:rsid w:val="5E1978CE"/>
    <w:rsid w:val="5E27EC8C"/>
    <w:rsid w:val="5ED22E56"/>
    <w:rsid w:val="5EDD8A99"/>
    <w:rsid w:val="5F6ECC03"/>
    <w:rsid w:val="6042017B"/>
    <w:rsid w:val="62C0184D"/>
    <w:rsid w:val="63297AEC"/>
    <w:rsid w:val="6379FE54"/>
    <w:rsid w:val="6430C987"/>
    <w:rsid w:val="655AD08E"/>
    <w:rsid w:val="66D06005"/>
    <w:rsid w:val="6765698E"/>
    <w:rsid w:val="67C898D8"/>
    <w:rsid w:val="688BE331"/>
    <w:rsid w:val="68D415C7"/>
    <w:rsid w:val="68F81D61"/>
    <w:rsid w:val="698CE07B"/>
    <w:rsid w:val="6C0BDFC6"/>
    <w:rsid w:val="6C7F38B7"/>
    <w:rsid w:val="6D6F9DAD"/>
    <w:rsid w:val="6E092A27"/>
    <w:rsid w:val="6EB26095"/>
    <w:rsid w:val="6F94A858"/>
    <w:rsid w:val="713CD5BB"/>
    <w:rsid w:val="71777176"/>
    <w:rsid w:val="717B59D6"/>
    <w:rsid w:val="71CE4A6E"/>
    <w:rsid w:val="71E4E515"/>
    <w:rsid w:val="739451F2"/>
    <w:rsid w:val="73AD9987"/>
    <w:rsid w:val="742E098E"/>
    <w:rsid w:val="74963739"/>
    <w:rsid w:val="74E0E9B1"/>
    <w:rsid w:val="762352D7"/>
    <w:rsid w:val="76372FF0"/>
    <w:rsid w:val="767D90D7"/>
    <w:rsid w:val="76E71539"/>
    <w:rsid w:val="77BD9943"/>
    <w:rsid w:val="77F894A6"/>
    <w:rsid w:val="78151DCA"/>
    <w:rsid w:val="788A800E"/>
    <w:rsid w:val="78B4F7CB"/>
    <w:rsid w:val="795969A4"/>
    <w:rsid w:val="7A19A350"/>
    <w:rsid w:val="7A2E822B"/>
    <w:rsid w:val="7A5113E6"/>
    <w:rsid w:val="7AD5C70F"/>
    <w:rsid w:val="7B0ABFBA"/>
    <w:rsid w:val="7B937A0E"/>
    <w:rsid w:val="7B99E6A8"/>
    <w:rsid w:val="7C8A2019"/>
    <w:rsid w:val="7C91D737"/>
    <w:rsid w:val="7CE108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78B89"/>
  <w15:docId w15:val="{113A079C-1EC1-4656-A40C-DF3D536A61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776F7"/>
    <w:rPr>
      <w:rFonts w:ascii="Calibri" w:hAnsi="Calibri" w:eastAsia="Calibri" w:cs="Times New Roman"/>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Textedebulles">
    <w:name w:val="Balloon Text"/>
    <w:basedOn w:val="Normal"/>
    <w:link w:val="TextedebullesCar"/>
    <w:uiPriority w:val="99"/>
    <w:semiHidden/>
    <w:unhideWhenUsed/>
    <w:rsid w:val="003776F7"/>
    <w:pPr>
      <w:spacing w:after="0" w:line="240" w:lineRule="auto"/>
    </w:pPr>
    <w:rPr>
      <w:rFonts w:ascii="Tahoma" w:hAnsi="Tahoma" w:cs="Tahoma"/>
      <w:sz w:val="16"/>
      <w:szCs w:val="16"/>
    </w:rPr>
  </w:style>
  <w:style w:type="character" w:styleId="TextedebullesCar" w:customStyle="1">
    <w:name w:val="Texte de bulles Car"/>
    <w:basedOn w:val="Policepardfaut"/>
    <w:link w:val="Textedebulles"/>
    <w:uiPriority w:val="99"/>
    <w:semiHidden/>
    <w:rsid w:val="003776F7"/>
    <w:rPr>
      <w:rFonts w:ascii="Tahoma" w:hAnsi="Tahoma" w:eastAsia="Calibri" w:cs="Tahoma"/>
      <w:sz w:val="16"/>
      <w:szCs w:val="16"/>
    </w:rPr>
  </w:style>
  <w:style w:type="paragraph" w:styleId="Paragraphedeliste">
    <w:name w:val="List Paragraph"/>
    <w:basedOn w:val="Normal"/>
    <w:uiPriority w:val="34"/>
    <w:qFormat/>
    <w:rsid w:val="003204AF"/>
    <w:pPr>
      <w:ind w:left="720"/>
      <w:contextualSpacing/>
    </w:pPr>
  </w:style>
  <w:style w:type="paragraph" w:styleId="En-tte">
    <w:name w:val="header"/>
    <w:basedOn w:val="Normal"/>
    <w:link w:val="En-tteCar"/>
    <w:uiPriority w:val="99"/>
    <w:unhideWhenUsed/>
    <w:rsid w:val="007238C8"/>
    <w:pPr>
      <w:tabs>
        <w:tab w:val="center" w:pos="4536"/>
        <w:tab w:val="right" w:pos="9072"/>
      </w:tabs>
      <w:spacing w:after="0" w:line="240" w:lineRule="auto"/>
    </w:pPr>
  </w:style>
  <w:style w:type="character" w:styleId="En-tteCar" w:customStyle="1">
    <w:name w:val="En-tête Car"/>
    <w:basedOn w:val="Policepardfaut"/>
    <w:link w:val="En-tte"/>
    <w:uiPriority w:val="99"/>
    <w:rsid w:val="007238C8"/>
    <w:rPr>
      <w:rFonts w:ascii="Calibri" w:hAnsi="Calibri" w:eastAsia="Calibri" w:cs="Times New Roman"/>
    </w:rPr>
  </w:style>
  <w:style w:type="paragraph" w:styleId="Pieddepage">
    <w:name w:val="footer"/>
    <w:basedOn w:val="Normal"/>
    <w:link w:val="PieddepageCar"/>
    <w:uiPriority w:val="99"/>
    <w:unhideWhenUsed/>
    <w:rsid w:val="007238C8"/>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7238C8"/>
    <w:rPr>
      <w:rFonts w:ascii="Calibri" w:hAnsi="Calibri" w:eastAsia="Calibri" w:cs="Times New Roman"/>
    </w:rPr>
  </w:style>
  <w:style xmlns:w="http://schemas.openxmlformats.org/wordprocessingml/2006/main" w:type="table" w:styleId="TableGrid">
    <w:name xmlns:w="http://schemas.openxmlformats.org/wordprocessingml/2006/main" w:val="Table Grid"/>
    <w:basedOn xmlns:w="http://schemas.openxmlformats.org/wordprocessingml/2006/main" w:val="Tableau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Texte" w:customStyle="true">
    <w:uiPriority w:val="99"/>
    <w:name w:val="@Texte"/>
    <w:basedOn w:val="Normal"/>
    <w:link w:val="TexteCar"/>
    <w:rsid w:val="18175F3D"/>
    <w:rPr>
      <w:rFonts w:ascii="Book Antiqua" w:hAnsi="Book Antiqua" w:eastAsia="Times New Roman" w:asciiTheme="minorAscii" w:hAnsiTheme="minorAscii"/>
      <w:sz w:val="22"/>
      <w:szCs w:val="22"/>
      <w:lang w:eastAsia="en-US"/>
    </w:rPr>
    <w:pPr>
      <w:spacing w:before="360"/>
      <w:jc w:val="both"/>
    </w:pPr>
  </w:style>
  <w:style w:type="character" w:styleId="TexteCar" w:customStyle="true">
    <w:uiPriority w:val="99"/>
    <w:name w:val="@Texte Car"/>
    <w:basedOn w:val="Policepardfaut"/>
    <w:link w:val="Texte"/>
    <w:rsid w:val="18175F3D"/>
    <w:rPr>
      <w:rFonts w:ascii="Book Antiqua" w:hAnsi="Book Antiqua" w:eastAsia="Times New Roman" w:cs="Times New Roman" w:asciiTheme="minorAscii" w:hAnsiTheme="minorAsci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6F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776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76F7"/>
    <w:rPr>
      <w:rFonts w:ascii="Tahoma" w:eastAsia="Calibri" w:hAnsi="Tahoma" w:cs="Tahoma"/>
      <w:sz w:val="16"/>
      <w:szCs w:val="16"/>
    </w:rPr>
  </w:style>
  <w:style w:type="paragraph" w:styleId="Paragraphedeliste">
    <w:name w:val="List Paragraph"/>
    <w:basedOn w:val="Normal"/>
    <w:uiPriority w:val="34"/>
    <w:qFormat/>
    <w:rsid w:val="003204AF"/>
    <w:pPr>
      <w:ind w:left="720"/>
      <w:contextualSpacing/>
    </w:pPr>
  </w:style>
  <w:style w:type="paragraph" w:styleId="En-tte">
    <w:name w:val="header"/>
    <w:basedOn w:val="Normal"/>
    <w:link w:val="En-tteCar"/>
    <w:uiPriority w:val="99"/>
    <w:unhideWhenUsed/>
    <w:rsid w:val="007238C8"/>
    <w:pPr>
      <w:tabs>
        <w:tab w:val="center" w:pos="4536"/>
        <w:tab w:val="right" w:pos="9072"/>
      </w:tabs>
      <w:spacing w:after="0" w:line="240" w:lineRule="auto"/>
    </w:pPr>
  </w:style>
  <w:style w:type="character" w:customStyle="1" w:styleId="En-tteCar">
    <w:name w:val="En-tête Car"/>
    <w:basedOn w:val="Policepardfaut"/>
    <w:link w:val="En-tte"/>
    <w:uiPriority w:val="99"/>
    <w:rsid w:val="007238C8"/>
    <w:rPr>
      <w:rFonts w:ascii="Calibri" w:eastAsia="Calibri" w:hAnsi="Calibri" w:cs="Times New Roman"/>
    </w:rPr>
  </w:style>
  <w:style w:type="paragraph" w:styleId="Pieddepage">
    <w:name w:val="footer"/>
    <w:basedOn w:val="Normal"/>
    <w:link w:val="PieddepageCar"/>
    <w:uiPriority w:val="99"/>
    <w:unhideWhenUsed/>
    <w:rsid w:val="007238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38C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image" Target="/media/image2.png" Id="R5c074691e1a648e6" /><Relationship Type="http://schemas.openxmlformats.org/officeDocument/2006/relationships/image" Target="/media/image3.png" Id="R4fb513ad23fd469f"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708AA-2474-4856-9F77-06B3239E06D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Groupama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GUIBERT Catherine</dc:creator>
  <lastModifiedBy>GUIBERT Catherine</lastModifiedBy>
  <revision>26</revision>
  <lastPrinted>2019-04-29T13:48:00.0000000Z</lastPrinted>
  <dcterms:created xsi:type="dcterms:W3CDTF">2020-01-23T18:39:00.0000000Z</dcterms:created>
  <dcterms:modified xsi:type="dcterms:W3CDTF">2022-09-27T08:22:18.7955937Z</dcterms:modified>
</coreProperties>
</file>