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57AD" w14:textId="30AFB2FB" w:rsidR="008A5B52" w:rsidRDefault="0073128F" w:rsidP="008A5B52">
      <w:pPr>
        <w:jc w:val="center"/>
        <w:rPr>
          <w:b/>
          <w:bCs/>
          <w:i/>
          <w:iCs/>
          <w:sz w:val="20"/>
          <w:szCs w:val="20"/>
        </w:rPr>
      </w:pPr>
      <w:r w:rsidRPr="0073128F">
        <w:rPr>
          <w:b/>
          <w:bCs/>
          <w:i/>
          <w:iCs/>
          <w:noProof/>
          <w:sz w:val="20"/>
          <w:szCs w:val="20"/>
        </w:rPr>
        <w:drawing>
          <wp:inline distT="0" distB="0" distL="0" distR="0" wp14:anchorId="5F72115C" wp14:editId="3610EFE2">
            <wp:extent cx="2029108" cy="2057687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E15A" w14:textId="08DE80B4" w:rsidR="008A5B52" w:rsidRPr="00E648E7" w:rsidRDefault="00673614" w:rsidP="008A5B52">
      <w:pPr>
        <w:jc w:val="center"/>
        <w:rPr>
          <w:b/>
          <w:bCs/>
          <w:color w:val="5F497A" w:themeColor="accent4" w:themeShade="BF"/>
          <w:sz w:val="28"/>
          <w:szCs w:val="28"/>
        </w:rPr>
      </w:pPr>
      <w:r>
        <w:rPr>
          <w:b/>
          <w:bCs/>
          <w:color w:val="5F497A" w:themeColor="accent4" w:themeShade="BF"/>
          <w:sz w:val="28"/>
          <w:szCs w:val="28"/>
        </w:rPr>
        <w:t xml:space="preserve">Le Compte </w:t>
      </w:r>
      <w:r w:rsidR="005154EC" w:rsidRPr="005154EC">
        <w:rPr>
          <w:b/>
          <w:bCs/>
          <w:caps/>
          <w:color w:val="5F497A" w:themeColor="accent4" w:themeShade="BF"/>
          <w:sz w:val="28"/>
          <w:szCs w:val="28"/>
        </w:rPr>
        <w:t>É</w:t>
      </w:r>
      <w:r>
        <w:rPr>
          <w:b/>
          <w:bCs/>
          <w:color w:val="5F497A" w:themeColor="accent4" w:themeShade="BF"/>
          <w:sz w:val="28"/>
          <w:szCs w:val="28"/>
        </w:rPr>
        <w:t>pargne Temps</w:t>
      </w:r>
    </w:p>
    <w:p w14:paraId="56C2326B" w14:textId="67448A8B" w:rsidR="008A5B52" w:rsidRPr="00E648E7" w:rsidRDefault="008A5B52" w:rsidP="008A5B52">
      <w:pPr>
        <w:jc w:val="center"/>
        <w:rPr>
          <w:b/>
          <w:bCs/>
          <w:color w:val="5F497A" w:themeColor="accent4" w:themeShade="BF"/>
          <w:sz w:val="28"/>
          <w:szCs w:val="28"/>
        </w:rPr>
      </w:pPr>
      <w:r w:rsidRPr="00E648E7">
        <w:rPr>
          <w:b/>
          <w:bCs/>
          <w:color w:val="5F497A" w:themeColor="accent4" w:themeShade="BF"/>
          <w:sz w:val="28"/>
          <w:szCs w:val="28"/>
        </w:rPr>
        <w:t>Note d’études CGT G</w:t>
      </w:r>
      <w:r w:rsidR="005154EC">
        <w:rPr>
          <w:b/>
          <w:bCs/>
          <w:color w:val="5F497A" w:themeColor="accent4" w:themeShade="BF"/>
          <w:sz w:val="28"/>
          <w:szCs w:val="28"/>
        </w:rPr>
        <w:t>MA</w:t>
      </w:r>
      <w:r w:rsidRPr="00E648E7">
        <w:rPr>
          <w:b/>
          <w:bCs/>
          <w:color w:val="5F497A" w:themeColor="accent4" w:themeShade="BF"/>
          <w:sz w:val="28"/>
          <w:szCs w:val="28"/>
        </w:rPr>
        <w:t xml:space="preserve"> – </w:t>
      </w:r>
      <w:r w:rsidR="005154EC">
        <w:rPr>
          <w:b/>
          <w:bCs/>
          <w:color w:val="5F497A" w:themeColor="accent4" w:themeShade="BF"/>
          <w:sz w:val="28"/>
          <w:szCs w:val="28"/>
        </w:rPr>
        <w:t>août</w:t>
      </w:r>
      <w:r w:rsidR="00EC2F6B">
        <w:rPr>
          <w:b/>
          <w:bCs/>
          <w:color w:val="5F497A" w:themeColor="accent4" w:themeShade="BF"/>
          <w:sz w:val="28"/>
          <w:szCs w:val="28"/>
        </w:rPr>
        <w:t xml:space="preserve"> </w:t>
      </w:r>
      <w:r w:rsidRPr="00E648E7">
        <w:rPr>
          <w:b/>
          <w:bCs/>
          <w:color w:val="5F497A" w:themeColor="accent4" w:themeShade="BF"/>
          <w:sz w:val="28"/>
          <w:szCs w:val="28"/>
        </w:rPr>
        <w:t>2022</w:t>
      </w:r>
    </w:p>
    <w:p w14:paraId="51D77EC4" w14:textId="149B3B4C" w:rsidR="008A5B52" w:rsidRDefault="008A5B52">
      <w:pPr>
        <w:rPr>
          <w:b/>
          <w:bCs/>
          <w:i/>
          <w:iCs/>
          <w:sz w:val="20"/>
          <w:szCs w:val="20"/>
        </w:rPr>
      </w:pPr>
    </w:p>
    <w:p w14:paraId="223E8B55" w14:textId="77777777" w:rsidR="00C07C88" w:rsidRDefault="00C07C88">
      <w:pPr>
        <w:rPr>
          <w:b/>
          <w:bCs/>
          <w:i/>
          <w:iCs/>
          <w:sz w:val="20"/>
          <w:szCs w:val="20"/>
        </w:rPr>
      </w:pPr>
    </w:p>
    <w:p w14:paraId="570071B9" w14:textId="041C6EE8" w:rsidR="000E3731" w:rsidRPr="0025582B" w:rsidRDefault="000E3731" w:rsidP="00C952E1">
      <w:pPr>
        <w:jc w:val="both"/>
        <w:rPr>
          <w:b/>
          <w:bCs/>
          <w:i/>
          <w:iCs/>
          <w:sz w:val="20"/>
          <w:szCs w:val="20"/>
        </w:rPr>
      </w:pPr>
      <w:r w:rsidRPr="0025582B">
        <w:rPr>
          <w:b/>
          <w:bCs/>
          <w:i/>
          <w:iCs/>
          <w:sz w:val="20"/>
          <w:szCs w:val="20"/>
        </w:rPr>
        <w:t>Préambule</w:t>
      </w:r>
    </w:p>
    <w:p w14:paraId="2118EEFD" w14:textId="4DAC777D" w:rsidR="0025582B" w:rsidRPr="0025582B" w:rsidRDefault="000E3731" w:rsidP="00C952E1">
      <w:pPr>
        <w:spacing w:after="0"/>
        <w:jc w:val="both"/>
        <w:rPr>
          <w:i/>
          <w:iCs/>
          <w:sz w:val="20"/>
          <w:szCs w:val="20"/>
        </w:rPr>
      </w:pPr>
      <w:r w:rsidRPr="0025582B">
        <w:rPr>
          <w:i/>
          <w:iCs/>
          <w:sz w:val="20"/>
          <w:szCs w:val="20"/>
        </w:rPr>
        <w:t>Cette note d’études CGT G</w:t>
      </w:r>
      <w:r w:rsidR="00873FF5">
        <w:rPr>
          <w:i/>
          <w:iCs/>
          <w:sz w:val="20"/>
          <w:szCs w:val="20"/>
        </w:rPr>
        <w:t>MA</w:t>
      </w:r>
      <w:r w:rsidRPr="0025582B">
        <w:rPr>
          <w:i/>
          <w:iCs/>
          <w:sz w:val="20"/>
          <w:szCs w:val="20"/>
        </w:rPr>
        <w:t xml:space="preserve"> vise à</w:t>
      </w:r>
      <w:r w:rsidR="0025582B" w:rsidRPr="0025582B">
        <w:rPr>
          <w:i/>
          <w:iCs/>
          <w:sz w:val="20"/>
          <w:szCs w:val="20"/>
        </w:rPr>
        <w:t> :</w:t>
      </w:r>
    </w:p>
    <w:p w14:paraId="401BEC21" w14:textId="4D7DBFAA" w:rsidR="00EC2F6B" w:rsidRDefault="00EC2F6B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Répondre à </w:t>
      </w:r>
      <w:r w:rsidR="005F63D5">
        <w:rPr>
          <w:i/>
          <w:iCs/>
          <w:sz w:val="20"/>
          <w:szCs w:val="20"/>
        </w:rPr>
        <w:t>un</w:t>
      </w:r>
      <w:r w:rsidR="000B0A12">
        <w:rPr>
          <w:i/>
          <w:iCs/>
          <w:sz w:val="20"/>
          <w:szCs w:val="20"/>
        </w:rPr>
        <w:t>e</w:t>
      </w:r>
      <w:r w:rsidR="005F63D5">
        <w:rPr>
          <w:i/>
          <w:iCs/>
          <w:sz w:val="20"/>
          <w:szCs w:val="20"/>
        </w:rPr>
        <w:t xml:space="preserve"> salarié</w:t>
      </w:r>
      <w:r w:rsidR="000B0A12">
        <w:rPr>
          <w:i/>
          <w:iCs/>
          <w:sz w:val="20"/>
          <w:szCs w:val="20"/>
        </w:rPr>
        <w:t>e</w:t>
      </w:r>
      <w:r w:rsidR="005F63D5">
        <w:rPr>
          <w:i/>
          <w:iCs/>
          <w:sz w:val="20"/>
          <w:szCs w:val="20"/>
        </w:rPr>
        <w:t xml:space="preserve"> qui</w:t>
      </w:r>
      <w:r w:rsidR="000B0A12">
        <w:rPr>
          <w:i/>
          <w:iCs/>
          <w:sz w:val="20"/>
          <w:szCs w:val="20"/>
        </w:rPr>
        <w:t xml:space="preserve"> a interrogé l’UGIT CGT sur le sujet</w:t>
      </w:r>
      <w:r>
        <w:rPr>
          <w:i/>
          <w:iCs/>
          <w:sz w:val="20"/>
          <w:szCs w:val="20"/>
        </w:rPr>
        <w:t xml:space="preserve">, </w:t>
      </w:r>
    </w:p>
    <w:p w14:paraId="621383DD" w14:textId="2E38AB7D" w:rsidR="000E3641" w:rsidRDefault="00C61244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Partager cette note avec les collègues et s</w:t>
      </w:r>
      <w:r w:rsidR="000E3641">
        <w:rPr>
          <w:i/>
          <w:iCs/>
          <w:sz w:val="20"/>
          <w:szCs w:val="20"/>
        </w:rPr>
        <w:t>usciter des questions en vue d</w:t>
      </w:r>
      <w:r>
        <w:rPr>
          <w:i/>
          <w:iCs/>
          <w:sz w:val="20"/>
          <w:szCs w:val="20"/>
        </w:rPr>
        <w:t>e l</w:t>
      </w:r>
      <w:r w:rsidR="000E3641">
        <w:rPr>
          <w:i/>
          <w:iCs/>
          <w:sz w:val="20"/>
          <w:szCs w:val="20"/>
        </w:rPr>
        <w:t xml:space="preserve">’enrichir, </w:t>
      </w:r>
    </w:p>
    <w:p w14:paraId="4E52A53A" w14:textId="5738455F" w:rsidR="00EC2F6B" w:rsidRDefault="00EC2F6B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Disposer d’un socle de connaissances réuni dans un seul document. </w:t>
      </w:r>
    </w:p>
    <w:p w14:paraId="50457B84" w14:textId="77777777" w:rsidR="006C38D4" w:rsidRPr="006C38D4" w:rsidRDefault="006C38D4" w:rsidP="00C952E1">
      <w:pPr>
        <w:jc w:val="both"/>
        <w:rPr>
          <w:i/>
          <w:iCs/>
          <w:sz w:val="2"/>
          <w:szCs w:val="2"/>
        </w:rPr>
      </w:pPr>
    </w:p>
    <w:p w14:paraId="24CA2448" w14:textId="6131D857" w:rsidR="0071030E" w:rsidRDefault="0071030E" w:rsidP="00C952E1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Les sources de l’étude :</w:t>
      </w:r>
    </w:p>
    <w:p w14:paraId="09F59ACA" w14:textId="4B43B1AD" w:rsidR="0071030E" w:rsidRDefault="0071030E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Accord</w:t>
      </w:r>
      <w:r w:rsidR="000D3E7C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</w:t>
      </w:r>
      <w:r w:rsidR="00DA5DD6">
        <w:rPr>
          <w:i/>
          <w:iCs/>
          <w:sz w:val="20"/>
          <w:szCs w:val="20"/>
        </w:rPr>
        <w:t>G</w:t>
      </w:r>
      <w:r w:rsidR="007667F8">
        <w:rPr>
          <w:i/>
          <w:iCs/>
          <w:sz w:val="20"/>
          <w:szCs w:val="20"/>
        </w:rPr>
        <w:t>M</w:t>
      </w:r>
      <w:r w:rsidR="00DA5DD6">
        <w:rPr>
          <w:i/>
          <w:iCs/>
          <w:sz w:val="20"/>
          <w:szCs w:val="20"/>
        </w:rPr>
        <w:t xml:space="preserve">A </w:t>
      </w:r>
      <w:r w:rsidR="00FB0D51">
        <w:rPr>
          <w:i/>
          <w:iCs/>
          <w:sz w:val="20"/>
          <w:szCs w:val="20"/>
        </w:rPr>
        <w:t>CET du 5 novembre 2001</w:t>
      </w:r>
      <w:r w:rsidR="000D3E7C">
        <w:rPr>
          <w:i/>
          <w:iCs/>
          <w:sz w:val="20"/>
          <w:szCs w:val="20"/>
        </w:rPr>
        <w:t xml:space="preserve"> et</w:t>
      </w:r>
      <w:r w:rsidR="00F27744">
        <w:rPr>
          <w:i/>
          <w:iCs/>
          <w:sz w:val="20"/>
          <w:szCs w:val="20"/>
        </w:rPr>
        <w:t xml:space="preserve"> sa révision du</w:t>
      </w:r>
      <w:r w:rsidR="000D3E7C">
        <w:rPr>
          <w:i/>
          <w:iCs/>
          <w:sz w:val="20"/>
          <w:szCs w:val="20"/>
        </w:rPr>
        <w:t xml:space="preserve"> 13 juin 2007</w:t>
      </w:r>
    </w:p>
    <w:p w14:paraId="5184687E" w14:textId="4EF42AF3" w:rsidR="0071030E" w:rsidRDefault="008F6816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Loi n°2005-296 du 31</w:t>
      </w:r>
      <w:r w:rsidR="00D04120">
        <w:rPr>
          <w:i/>
          <w:iCs/>
          <w:sz w:val="20"/>
          <w:szCs w:val="20"/>
        </w:rPr>
        <w:t>mars 2005</w:t>
      </w:r>
    </w:p>
    <w:p w14:paraId="22EDCA39" w14:textId="756D696B" w:rsidR="0071030E" w:rsidRDefault="0071030E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Accord</w:t>
      </w:r>
      <w:r w:rsidR="007667F8">
        <w:rPr>
          <w:i/>
          <w:iCs/>
          <w:sz w:val="20"/>
          <w:szCs w:val="20"/>
        </w:rPr>
        <w:t xml:space="preserve"> </w:t>
      </w:r>
      <w:r w:rsidR="00D32CA2">
        <w:rPr>
          <w:i/>
          <w:iCs/>
          <w:sz w:val="20"/>
          <w:szCs w:val="20"/>
        </w:rPr>
        <w:t>G</w:t>
      </w:r>
      <w:r w:rsidR="007667F8">
        <w:rPr>
          <w:i/>
          <w:iCs/>
          <w:sz w:val="20"/>
          <w:szCs w:val="20"/>
        </w:rPr>
        <w:t>M</w:t>
      </w:r>
      <w:r w:rsidR="00D32CA2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 </w:t>
      </w:r>
      <w:r w:rsidR="00993089">
        <w:rPr>
          <w:i/>
          <w:iCs/>
          <w:sz w:val="20"/>
          <w:szCs w:val="20"/>
        </w:rPr>
        <w:t>P</w:t>
      </w:r>
      <w:r w:rsidR="000F59E8">
        <w:rPr>
          <w:i/>
          <w:iCs/>
          <w:sz w:val="20"/>
          <w:szCs w:val="20"/>
        </w:rPr>
        <w:t xml:space="preserve">EE du </w:t>
      </w:r>
      <w:r w:rsidR="008926A8">
        <w:rPr>
          <w:i/>
          <w:iCs/>
          <w:sz w:val="20"/>
          <w:szCs w:val="20"/>
        </w:rPr>
        <w:t>20</w:t>
      </w:r>
      <w:r w:rsidR="000F59E8">
        <w:rPr>
          <w:i/>
          <w:iCs/>
          <w:sz w:val="20"/>
          <w:szCs w:val="20"/>
        </w:rPr>
        <w:t xml:space="preserve"> jui</w:t>
      </w:r>
      <w:r w:rsidR="008926A8">
        <w:rPr>
          <w:i/>
          <w:iCs/>
          <w:sz w:val="20"/>
          <w:szCs w:val="20"/>
        </w:rPr>
        <w:t>llet</w:t>
      </w:r>
      <w:r w:rsidR="000F59E8">
        <w:rPr>
          <w:i/>
          <w:iCs/>
          <w:sz w:val="20"/>
          <w:szCs w:val="20"/>
        </w:rPr>
        <w:t xml:space="preserve"> </w:t>
      </w:r>
      <w:r w:rsidR="008926A8">
        <w:rPr>
          <w:i/>
          <w:iCs/>
          <w:sz w:val="20"/>
          <w:szCs w:val="20"/>
        </w:rPr>
        <w:t>2011</w:t>
      </w:r>
      <w:r w:rsidR="007667F8">
        <w:rPr>
          <w:i/>
          <w:iCs/>
          <w:sz w:val="20"/>
          <w:szCs w:val="20"/>
        </w:rPr>
        <w:t xml:space="preserve"> et sa révision du </w:t>
      </w:r>
      <w:r w:rsidR="00546F3A">
        <w:rPr>
          <w:i/>
          <w:iCs/>
          <w:sz w:val="20"/>
          <w:szCs w:val="20"/>
        </w:rPr>
        <w:t>2 mars 2018</w:t>
      </w:r>
    </w:p>
    <w:p w14:paraId="5758156E" w14:textId="2BEB6C0A" w:rsidR="0071030E" w:rsidRDefault="00155BAC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Accord </w:t>
      </w:r>
      <w:r w:rsidR="00DA5DD6">
        <w:rPr>
          <w:i/>
          <w:iCs/>
          <w:sz w:val="20"/>
          <w:szCs w:val="20"/>
        </w:rPr>
        <w:t xml:space="preserve">UDSG </w:t>
      </w:r>
      <w:r>
        <w:rPr>
          <w:i/>
          <w:iCs/>
          <w:sz w:val="20"/>
          <w:szCs w:val="20"/>
        </w:rPr>
        <w:t>PERE du 28 novembre 2006</w:t>
      </w:r>
      <w:r w:rsidR="00661C1D">
        <w:rPr>
          <w:i/>
          <w:iCs/>
          <w:sz w:val="20"/>
          <w:szCs w:val="20"/>
        </w:rPr>
        <w:t xml:space="preserve"> et sa transformation en PEROB en 2022</w:t>
      </w:r>
    </w:p>
    <w:p w14:paraId="5517BAAF" w14:textId="17DD6C7F" w:rsidR="00A744C7" w:rsidRPr="002C3E22" w:rsidRDefault="00155BAC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 w:rsidRPr="002C3E22">
        <w:rPr>
          <w:i/>
          <w:iCs/>
          <w:sz w:val="20"/>
          <w:szCs w:val="20"/>
        </w:rPr>
        <w:t xml:space="preserve">Accord </w:t>
      </w:r>
      <w:r w:rsidR="002C3E22">
        <w:rPr>
          <w:i/>
          <w:iCs/>
          <w:sz w:val="20"/>
          <w:szCs w:val="20"/>
        </w:rPr>
        <w:t xml:space="preserve">UDSG </w:t>
      </w:r>
      <w:r w:rsidRPr="002C3E22">
        <w:rPr>
          <w:i/>
          <w:iCs/>
          <w:sz w:val="20"/>
          <w:szCs w:val="20"/>
        </w:rPr>
        <w:t>PER COL-I du 29</w:t>
      </w:r>
      <w:r w:rsidR="00854A71" w:rsidRPr="002C3E22">
        <w:rPr>
          <w:i/>
          <w:iCs/>
          <w:sz w:val="20"/>
          <w:szCs w:val="20"/>
        </w:rPr>
        <w:t xml:space="preserve"> novembre </w:t>
      </w:r>
      <w:r w:rsidRPr="002C3E22">
        <w:rPr>
          <w:i/>
          <w:iCs/>
          <w:sz w:val="20"/>
          <w:szCs w:val="20"/>
        </w:rPr>
        <w:t>2006</w:t>
      </w:r>
      <w:r w:rsidR="002C3E22">
        <w:rPr>
          <w:i/>
          <w:iCs/>
          <w:sz w:val="20"/>
          <w:szCs w:val="20"/>
        </w:rPr>
        <w:t xml:space="preserve">, </w:t>
      </w:r>
      <w:r w:rsidR="005D4984" w:rsidRPr="002C3E22">
        <w:rPr>
          <w:i/>
          <w:iCs/>
          <w:sz w:val="20"/>
          <w:szCs w:val="20"/>
        </w:rPr>
        <w:t>s</w:t>
      </w:r>
      <w:r w:rsidR="00010E8D">
        <w:rPr>
          <w:i/>
          <w:iCs/>
          <w:sz w:val="20"/>
          <w:szCs w:val="20"/>
        </w:rPr>
        <w:t>es</w:t>
      </w:r>
      <w:r w:rsidR="005D4984" w:rsidRPr="002C3E22">
        <w:rPr>
          <w:i/>
          <w:iCs/>
          <w:sz w:val="20"/>
          <w:szCs w:val="20"/>
        </w:rPr>
        <w:t xml:space="preserve"> révision</w:t>
      </w:r>
      <w:r w:rsidR="00010E8D">
        <w:rPr>
          <w:i/>
          <w:iCs/>
          <w:sz w:val="20"/>
          <w:szCs w:val="20"/>
        </w:rPr>
        <w:t>s</w:t>
      </w:r>
      <w:r w:rsidR="005D4984" w:rsidRPr="002C3E22">
        <w:rPr>
          <w:i/>
          <w:iCs/>
          <w:sz w:val="20"/>
          <w:szCs w:val="20"/>
        </w:rPr>
        <w:t xml:space="preserve"> d</w:t>
      </w:r>
      <w:r w:rsidR="00010E8D">
        <w:rPr>
          <w:i/>
          <w:iCs/>
          <w:sz w:val="20"/>
          <w:szCs w:val="20"/>
        </w:rPr>
        <w:t>es</w:t>
      </w:r>
      <w:r w:rsidR="00631E3F" w:rsidRPr="002C3E22">
        <w:rPr>
          <w:i/>
          <w:iCs/>
          <w:sz w:val="20"/>
          <w:szCs w:val="20"/>
        </w:rPr>
        <w:t xml:space="preserve"> 10 juillet 2017</w:t>
      </w:r>
      <w:r w:rsidR="00010E8D">
        <w:rPr>
          <w:i/>
          <w:iCs/>
          <w:sz w:val="20"/>
          <w:szCs w:val="20"/>
        </w:rPr>
        <w:t xml:space="preserve"> et 2 décembre 2019</w:t>
      </w:r>
    </w:p>
    <w:p w14:paraId="26CD64B6" w14:textId="5A489E90" w:rsidR="00631E3F" w:rsidRDefault="004C2102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Loi PACTE du 22 mai 2019</w:t>
      </w:r>
    </w:p>
    <w:p w14:paraId="2EF7D43A" w14:textId="0F483928" w:rsidR="00B41AA5" w:rsidRDefault="00B41AA5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</w:t>
      </w:r>
      <w:r w:rsidR="00EC686D">
        <w:rPr>
          <w:i/>
          <w:iCs/>
          <w:sz w:val="20"/>
          <w:szCs w:val="20"/>
        </w:rPr>
        <w:t>ccord National Groupama</w:t>
      </w:r>
    </w:p>
    <w:p w14:paraId="60C5632F" w14:textId="5DDC75DF" w:rsidR="00015AED" w:rsidRDefault="00015AED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Convention collective nationale</w:t>
      </w:r>
      <w:r w:rsidR="004D0C06">
        <w:rPr>
          <w:i/>
          <w:iCs/>
          <w:sz w:val="20"/>
          <w:szCs w:val="20"/>
        </w:rPr>
        <w:t xml:space="preserve"> des sociétés d’assurance du 27 mai 1992</w:t>
      </w:r>
    </w:p>
    <w:p w14:paraId="13E5A615" w14:textId="232F0A0E" w:rsidR="00546F3A" w:rsidRPr="00631E3F" w:rsidRDefault="00546F3A" w:rsidP="00C952E1">
      <w:pPr>
        <w:pStyle w:val="Paragraphedeliste"/>
        <w:numPr>
          <w:ilvl w:val="0"/>
          <w:numId w:val="3"/>
        </w:num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Code du travail</w:t>
      </w:r>
    </w:p>
    <w:p w14:paraId="055E23BB" w14:textId="77777777" w:rsidR="006C38D4" w:rsidRPr="00631E3F" w:rsidRDefault="006C38D4" w:rsidP="00C952E1">
      <w:pPr>
        <w:jc w:val="both"/>
        <w:rPr>
          <w:b/>
          <w:bCs/>
          <w:color w:val="5F497A" w:themeColor="accent4" w:themeShade="BF"/>
          <w:sz w:val="12"/>
          <w:szCs w:val="12"/>
        </w:rPr>
      </w:pPr>
    </w:p>
    <w:p w14:paraId="720A4B05" w14:textId="425FEBF5" w:rsidR="000E3731" w:rsidRPr="00E648E7" w:rsidRDefault="008D6512" w:rsidP="00993089">
      <w:pPr>
        <w:rPr>
          <w:b/>
          <w:bCs/>
          <w:color w:val="5F497A" w:themeColor="accent4" w:themeShade="BF"/>
          <w:sz w:val="28"/>
          <w:szCs w:val="28"/>
        </w:rPr>
      </w:pPr>
      <w:r w:rsidRPr="00E648E7">
        <w:rPr>
          <w:b/>
          <w:bCs/>
          <w:color w:val="5F497A" w:themeColor="accent4" w:themeShade="BF"/>
          <w:sz w:val="28"/>
          <w:szCs w:val="28"/>
        </w:rPr>
        <w:t>Sommaire de l’étude</w:t>
      </w:r>
    </w:p>
    <w:p w14:paraId="1A8C259C" w14:textId="31679E44" w:rsidR="00A736F3" w:rsidRDefault="00A736F3" w:rsidP="00993089">
      <w:pPr>
        <w:pStyle w:val="Paragraphedeliste"/>
        <w:numPr>
          <w:ilvl w:val="0"/>
          <w:numId w:val="1"/>
        </w:numPr>
        <w:rPr>
          <w:b/>
          <w:bCs/>
          <w:color w:val="5F497A" w:themeColor="accent4" w:themeShade="BF"/>
        </w:rPr>
      </w:pPr>
      <w:r>
        <w:rPr>
          <w:b/>
          <w:bCs/>
          <w:color w:val="5F497A" w:themeColor="accent4" w:themeShade="BF"/>
        </w:rPr>
        <w:t>Les différents compartiments du CET</w:t>
      </w:r>
    </w:p>
    <w:p w14:paraId="18F11CE8" w14:textId="62530ED4" w:rsidR="00E86046" w:rsidRDefault="00A736F3" w:rsidP="00993089">
      <w:pPr>
        <w:pStyle w:val="Paragraphedeliste"/>
        <w:numPr>
          <w:ilvl w:val="0"/>
          <w:numId w:val="1"/>
        </w:numPr>
        <w:rPr>
          <w:b/>
          <w:bCs/>
          <w:color w:val="5F497A" w:themeColor="accent4" w:themeShade="BF"/>
        </w:rPr>
      </w:pPr>
      <w:r>
        <w:rPr>
          <w:b/>
          <w:bCs/>
          <w:color w:val="5F497A" w:themeColor="accent4" w:themeShade="BF"/>
        </w:rPr>
        <w:t>L’</w:t>
      </w:r>
      <w:r w:rsidR="003D3488">
        <w:rPr>
          <w:b/>
          <w:bCs/>
          <w:color w:val="5F497A" w:themeColor="accent4" w:themeShade="BF"/>
        </w:rPr>
        <w:t>a</w:t>
      </w:r>
      <w:r w:rsidR="002A70B7">
        <w:rPr>
          <w:b/>
          <w:bCs/>
          <w:color w:val="5F497A" w:themeColor="accent4" w:themeShade="BF"/>
        </w:rPr>
        <w:t>limentation du CET</w:t>
      </w:r>
    </w:p>
    <w:p w14:paraId="6FE6A98B" w14:textId="55363736" w:rsidR="00C6172E" w:rsidRDefault="003D3488" w:rsidP="00993089">
      <w:pPr>
        <w:pStyle w:val="Paragraphedeliste"/>
        <w:numPr>
          <w:ilvl w:val="0"/>
          <w:numId w:val="1"/>
        </w:numPr>
        <w:rPr>
          <w:b/>
          <w:bCs/>
          <w:color w:val="5F497A" w:themeColor="accent4" w:themeShade="BF"/>
        </w:rPr>
      </w:pPr>
      <w:r>
        <w:rPr>
          <w:b/>
          <w:bCs/>
          <w:color w:val="5F497A" w:themeColor="accent4" w:themeShade="BF"/>
        </w:rPr>
        <w:t>L</w:t>
      </w:r>
      <w:r w:rsidR="0030595E">
        <w:rPr>
          <w:b/>
          <w:bCs/>
          <w:color w:val="5F497A" w:themeColor="accent4" w:themeShade="BF"/>
        </w:rPr>
        <w:t xml:space="preserve">es </w:t>
      </w:r>
      <w:r>
        <w:rPr>
          <w:b/>
          <w:bCs/>
          <w:color w:val="5F497A" w:themeColor="accent4" w:themeShade="BF"/>
        </w:rPr>
        <w:t>u</w:t>
      </w:r>
      <w:r w:rsidR="00C9314E">
        <w:rPr>
          <w:b/>
          <w:bCs/>
          <w:color w:val="5F497A" w:themeColor="accent4" w:themeShade="BF"/>
        </w:rPr>
        <w:t>tilisation</w:t>
      </w:r>
      <w:r w:rsidR="0030595E">
        <w:rPr>
          <w:b/>
          <w:bCs/>
          <w:color w:val="5F497A" w:themeColor="accent4" w:themeShade="BF"/>
        </w:rPr>
        <w:t>s</w:t>
      </w:r>
      <w:r w:rsidR="00C9314E">
        <w:rPr>
          <w:b/>
          <w:bCs/>
          <w:color w:val="5F497A" w:themeColor="accent4" w:themeShade="BF"/>
        </w:rPr>
        <w:t xml:space="preserve"> du CET</w:t>
      </w:r>
    </w:p>
    <w:p w14:paraId="44CCC9BF" w14:textId="22E86B77" w:rsidR="00201634" w:rsidRDefault="00201634" w:rsidP="00C952E1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496F799D" w14:textId="54995D84" w:rsidR="003D3488" w:rsidRDefault="003D3488" w:rsidP="00C952E1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1AA576DC" w14:textId="78E1BC14" w:rsidR="003D3488" w:rsidRDefault="003D3488" w:rsidP="00C952E1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673EDC2D" w14:textId="7CC84880" w:rsidR="00A569DD" w:rsidRPr="00E86046" w:rsidRDefault="00A569DD" w:rsidP="00A569DD">
      <w:pPr>
        <w:jc w:val="both"/>
        <w:rPr>
          <w:b/>
          <w:bCs/>
          <w:color w:val="5F497A" w:themeColor="accent4" w:themeShade="BF"/>
          <w:sz w:val="28"/>
          <w:szCs w:val="28"/>
        </w:rPr>
      </w:pPr>
      <w:r>
        <w:rPr>
          <w:b/>
          <w:bCs/>
          <w:color w:val="5F497A" w:themeColor="accent4" w:themeShade="BF"/>
          <w:sz w:val="28"/>
          <w:szCs w:val="28"/>
        </w:rPr>
        <w:t>Principe</w:t>
      </w:r>
      <w:r w:rsidRPr="00E86046">
        <w:rPr>
          <w:b/>
          <w:bCs/>
          <w:color w:val="5F497A" w:themeColor="accent4" w:themeShade="BF"/>
          <w:sz w:val="28"/>
          <w:szCs w:val="28"/>
        </w:rPr>
        <w:t xml:space="preserve"> </w:t>
      </w:r>
    </w:p>
    <w:p w14:paraId="02C4628A" w14:textId="7ACBAA0C" w:rsidR="0008332F" w:rsidRDefault="00A569DD" w:rsidP="001E3B8F">
      <w:pPr>
        <w:jc w:val="both"/>
      </w:pPr>
      <w:r>
        <w:t xml:space="preserve">C’est la loi </w:t>
      </w:r>
      <w:r w:rsidR="008A7875">
        <w:t xml:space="preserve">n°2005-296 du 31 mars 2005 qui a permis la </w:t>
      </w:r>
      <w:r w:rsidR="004F02E9">
        <w:t>création par accord collectif d’un compte épargne-temps</w:t>
      </w:r>
      <w:r w:rsidR="00DF0857">
        <w:t>. Celui-ci permet l</w:t>
      </w:r>
      <w:r w:rsidR="00A6030F">
        <w:t>’utilisation</w:t>
      </w:r>
      <w:r w:rsidR="008A7875">
        <w:t xml:space="preserve"> des congés non pris </w:t>
      </w:r>
    </w:p>
    <w:p w14:paraId="713DF8C9" w14:textId="477D4210" w:rsidR="00A569DD" w:rsidRDefault="00DF0857" w:rsidP="001E3B8F">
      <w:pPr>
        <w:ind w:firstLine="708"/>
        <w:jc w:val="both"/>
      </w:pPr>
      <w:r>
        <w:t>s</w:t>
      </w:r>
      <w:r w:rsidR="0008332F">
        <w:t xml:space="preserve">oit </w:t>
      </w:r>
      <w:r w:rsidR="008A7875">
        <w:t>sous forme de rémunération</w:t>
      </w:r>
      <w:r w:rsidR="0008332F">
        <w:t>,</w:t>
      </w:r>
    </w:p>
    <w:p w14:paraId="16D26705" w14:textId="0A6A80DF" w:rsidR="0008332F" w:rsidRDefault="00DF0857" w:rsidP="001E3B8F">
      <w:pPr>
        <w:ind w:firstLine="708"/>
        <w:jc w:val="both"/>
      </w:pPr>
      <w:r>
        <w:t>s</w:t>
      </w:r>
      <w:r w:rsidR="00435E19">
        <w:t>oit par l’alimentation d’un d’épargne salariale.</w:t>
      </w:r>
    </w:p>
    <w:p w14:paraId="15714DEF" w14:textId="40E3CFEB" w:rsidR="00435E19" w:rsidRDefault="006806B8" w:rsidP="001E3B8F">
      <w:pPr>
        <w:jc w:val="both"/>
      </w:pPr>
      <w:r>
        <w:t>Le CET à GMA est accessible dés 3 mois d’ancienneté</w:t>
      </w:r>
      <w:r w:rsidR="007869A6">
        <w:t xml:space="preserve"> dans l’entreprise.</w:t>
      </w:r>
    </w:p>
    <w:p w14:paraId="0E1A057F" w14:textId="77777777" w:rsidR="00A569DD" w:rsidRDefault="00A569DD" w:rsidP="001E3B8F">
      <w:pPr>
        <w:jc w:val="both"/>
      </w:pPr>
    </w:p>
    <w:p w14:paraId="46132F9A" w14:textId="717E1C8B" w:rsidR="00E86046" w:rsidRPr="00E86046" w:rsidRDefault="00E86046" w:rsidP="001E3B8F">
      <w:pPr>
        <w:jc w:val="both"/>
        <w:rPr>
          <w:b/>
          <w:bCs/>
          <w:color w:val="5F497A" w:themeColor="accent4" w:themeShade="BF"/>
          <w:sz w:val="28"/>
          <w:szCs w:val="28"/>
        </w:rPr>
      </w:pPr>
      <w:r w:rsidRPr="00E86046">
        <w:rPr>
          <w:b/>
          <w:bCs/>
          <w:color w:val="5F497A" w:themeColor="accent4" w:themeShade="BF"/>
          <w:sz w:val="28"/>
          <w:szCs w:val="28"/>
        </w:rPr>
        <w:t>L</w:t>
      </w:r>
      <w:r w:rsidR="00B844F4">
        <w:rPr>
          <w:b/>
          <w:bCs/>
          <w:color w:val="5F497A" w:themeColor="accent4" w:themeShade="BF"/>
          <w:sz w:val="28"/>
          <w:szCs w:val="28"/>
        </w:rPr>
        <w:t>e CET comporte 3 compteurs</w:t>
      </w:r>
      <w:r w:rsidRPr="00E86046">
        <w:rPr>
          <w:b/>
          <w:bCs/>
          <w:color w:val="5F497A" w:themeColor="accent4" w:themeShade="BF"/>
          <w:sz w:val="28"/>
          <w:szCs w:val="28"/>
        </w:rPr>
        <w:t xml:space="preserve"> </w:t>
      </w:r>
    </w:p>
    <w:p w14:paraId="0AD00037" w14:textId="482A6C29" w:rsidR="00E86046" w:rsidRDefault="00A81568" w:rsidP="001E3B8F">
      <w:pPr>
        <w:jc w:val="both"/>
        <w:rPr>
          <w:rFonts w:cstheme="minorHAnsi"/>
        </w:rPr>
      </w:pPr>
      <w:r>
        <w:rPr>
          <w:rFonts w:cstheme="minorHAnsi"/>
        </w:rPr>
        <w:t>Le CET N</w:t>
      </w:r>
      <w:r w:rsidR="00610C67">
        <w:t xml:space="preserve"> : </w:t>
      </w:r>
      <w:r w:rsidR="00B92798">
        <w:t>compteur neutralisé qui contient les jours placés dans le compte épargne temps avant l’accord</w:t>
      </w:r>
      <w:r w:rsidR="004853C6">
        <w:t xml:space="preserve"> de juin 2007</w:t>
      </w:r>
      <w:r w:rsidR="007144D6">
        <w:t xml:space="preserve">. Il n’est plus alimenté. Il est </w:t>
      </w:r>
      <w:r w:rsidR="00D4712D">
        <w:t>utilisé en priorité lorsque le ou la salarié</w:t>
      </w:r>
      <w:r w:rsidR="00517826" w:rsidRPr="003F6416">
        <w:rPr>
          <w:rFonts w:ascii="Tahoma" w:hAnsi="Tahoma" w:cs="Tahoma"/>
        </w:rPr>
        <w:t>⸱</w:t>
      </w:r>
      <w:r w:rsidR="00517826" w:rsidRPr="003F6416">
        <w:rPr>
          <w:rFonts w:cstheme="minorHAnsi"/>
        </w:rPr>
        <w:t>e</w:t>
      </w:r>
      <w:r w:rsidR="0032462D">
        <w:rPr>
          <w:rFonts w:cstheme="minorHAnsi"/>
        </w:rPr>
        <w:t xml:space="preserve"> fait une demande </w:t>
      </w:r>
      <w:r w:rsidR="00CE585A">
        <w:rPr>
          <w:rFonts w:cstheme="minorHAnsi"/>
        </w:rPr>
        <w:t xml:space="preserve">de paiement ou de transfert de jours. </w:t>
      </w:r>
    </w:p>
    <w:p w14:paraId="06BD64B0" w14:textId="4AAEA3FF" w:rsidR="00A854E1" w:rsidRDefault="00A854E1" w:rsidP="001E3B8F">
      <w:pPr>
        <w:jc w:val="both"/>
        <w:rPr>
          <w:rFonts w:cstheme="minorHAnsi"/>
        </w:rPr>
      </w:pPr>
      <w:r>
        <w:rPr>
          <w:rFonts w:cstheme="minorHAnsi"/>
        </w:rPr>
        <w:t>Le CET A</w:t>
      </w:r>
      <w:r w:rsidR="003D41AD">
        <w:rPr>
          <w:rFonts w:cstheme="minorHAnsi"/>
        </w:rPr>
        <w:t xml:space="preserve"> NM : compteur actif des jours non monétisables.</w:t>
      </w:r>
    </w:p>
    <w:p w14:paraId="28D65650" w14:textId="611C692B" w:rsidR="003D41AD" w:rsidRDefault="003D41AD" w:rsidP="001E3B8F">
      <w:pPr>
        <w:jc w:val="both"/>
        <w:rPr>
          <w:rFonts w:cstheme="minorHAnsi"/>
        </w:rPr>
      </w:pPr>
      <w:r>
        <w:rPr>
          <w:rFonts w:cstheme="minorHAnsi"/>
        </w:rPr>
        <w:t xml:space="preserve">Le CET A M : compteur actif </w:t>
      </w:r>
      <w:r w:rsidR="00840F2A">
        <w:rPr>
          <w:rFonts w:cstheme="minorHAnsi"/>
        </w:rPr>
        <w:t>des jours monétisables.</w:t>
      </w:r>
    </w:p>
    <w:p w14:paraId="33C345AB" w14:textId="21213559" w:rsidR="00993089" w:rsidRDefault="00713FF3" w:rsidP="001E3B8F">
      <w:pPr>
        <w:jc w:val="both"/>
        <w:rPr>
          <w:b/>
          <w:bCs/>
          <w:color w:val="5F497A" w:themeColor="accent4" w:themeShade="BF"/>
          <w:sz w:val="28"/>
          <w:szCs w:val="28"/>
        </w:rPr>
      </w:pPr>
      <w:r>
        <w:rPr>
          <w:rFonts w:cstheme="minorHAnsi"/>
        </w:rPr>
        <w:t xml:space="preserve">Ces compteurs ne figurent plus sur le bulletin de salaire depuis janvier 2020. </w:t>
      </w:r>
      <w:r w:rsidR="000325DA">
        <w:rPr>
          <w:rFonts w:cstheme="minorHAnsi"/>
        </w:rPr>
        <w:t>Les soldes sont d</w:t>
      </w:r>
      <w:r w:rsidR="00A274B3">
        <w:rPr>
          <w:rFonts w:cstheme="minorHAnsi"/>
        </w:rPr>
        <w:t>ésormais</w:t>
      </w:r>
      <w:r>
        <w:rPr>
          <w:rFonts w:cstheme="minorHAnsi"/>
        </w:rPr>
        <w:t xml:space="preserve"> consultables </w:t>
      </w:r>
      <w:r w:rsidR="000325DA">
        <w:rPr>
          <w:rFonts w:cstheme="minorHAnsi"/>
        </w:rPr>
        <w:t>sur</w:t>
      </w:r>
      <w:r>
        <w:rPr>
          <w:rFonts w:cstheme="minorHAnsi"/>
        </w:rPr>
        <w:t xml:space="preserve"> e-temptation.</w:t>
      </w:r>
    </w:p>
    <w:p w14:paraId="337C4B42" w14:textId="2B7A5EE2" w:rsidR="00993089" w:rsidRDefault="00993089" w:rsidP="001E3B8F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0346A0D6" w14:textId="39E0EA11" w:rsidR="00D92F6C" w:rsidRPr="00E86046" w:rsidRDefault="001C7CDD" w:rsidP="001E3B8F">
      <w:pPr>
        <w:jc w:val="both"/>
        <w:rPr>
          <w:b/>
          <w:bCs/>
          <w:color w:val="5F497A" w:themeColor="accent4" w:themeShade="BF"/>
          <w:sz w:val="28"/>
          <w:szCs w:val="28"/>
        </w:rPr>
      </w:pPr>
      <w:r>
        <w:rPr>
          <w:b/>
          <w:bCs/>
          <w:color w:val="5F497A" w:themeColor="accent4" w:themeShade="BF"/>
          <w:sz w:val="28"/>
          <w:szCs w:val="28"/>
        </w:rPr>
        <w:t>Alimentation du CET</w:t>
      </w:r>
      <w:r w:rsidR="00D92F6C" w:rsidRPr="00E86046">
        <w:rPr>
          <w:b/>
          <w:bCs/>
          <w:color w:val="5F497A" w:themeColor="accent4" w:themeShade="BF"/>
          <w:sz w:val="28"/>
          <w:szCs w:val="28"/>
        </w:rPr>
        <w:t xml:space="preserve"> </w:t>
      </w:r>
    </w:p>
    <w:p w14:paraId="784FF9F6" w14:textId="73101253" w:rsidR="009A3A59" w:rsidRDefault="009A3A59" w:rsidP="001E3B8F">
      <w:pPr>
        <w:ind w:left="993" w:hanging="985"/>
        <w:jc w:val="both"/>
      </w:pPr>
      <w:r>
        <w:t xml:space="preserve">Maximum 21 jours par an + éventuels </w:t>
      </w:r>
      <w:r w:rsidR="008E3AC5">
        <w:t xml:space="preserve">jours de </w:t>
      </w:r>
      <w:r>
        <w:t>congé</w:t>
      </w:r>
      <w:r w:rsidR="008E3AC5">
        <w:t xml:space="preserve"> anniversaire.</w:t>
      </w:r>
    </w:p>
    <w:p w14:paraId="0C236498" w14:textId="3B20E723" w:rsidR="00D92F6C" w:rsidRPr="0006649D" w:rsidRDefault="00D92F6C" w:rsidP="001E3B8F">
      <w:pPr>
        <w:ind w:left="993" w:hanging="985"/>
        <w:jc w:val="both"/>
        <w:rPr>
          <w:b/>
          <w:bCs/>
        </w:rPr>
      </w:pPr>
      <w:r w:rsidRPr="0006649D">
        <w:rPr>
          <w:b/>
          <w:bCs/>
        </w:rPr>
        <w:t>C</w:t>
      </w:r>
      <w:r w:rsidR="001C7CDD" w:rsidRPr="0006649D">
        <w:rPr>
          <w:b/>
          <w:bCs/>
        </w:rPr>
        <w:t>ET A M</w:t>
      </w:r>
      <w:r w:rsidR="001556FB" w:rsidRPr="0006649D">
        <w:rPr>
          <w:b/>
          <w:bCs/>
        </w:rPr>
        <w:t>onétisable</w:t>
      </w:r>
      <w:r w:rsidR="00DB1DAF" w:rsidRPr="0006649D">
        <w:rPr>
          <w:b/>
          <w:bCs/>
        </w:rPr>
        <w:t xml:space="preserve"> : </w:t>
      </w:r>
    </w:p>
    <w:p w14:paraId="67F7D28D" w14:textId="261285EB" w:rsidR="00AB0941" w:rsidRDefault="00F22CA6" w:rsidP="001E3B8F">
      <w:pPr>
        <w:pStyle w:val="Paragraphedeliste"/>
        <w:numPr>
          <w:ilvl w:val="0"/>
          <w:numId w:val="1"/>
        </w:numPr>
        <w:jc w:val="both"/>
      </w:pPr>
      <w:r>
        <w:t>L</w:t>
      </w:r>
      <w:r w:rsidR="00ED4D1E">
        <w:t>es jours supplémentaires de congés payés prévus par la convention collective (1 jour pour tous + 2 jours pour les cadres)</w:t>
      </w:r>
      <w:r>
        <w:t> ;</w:t>
      </w:r>
    </w:p>
    <w:p w14:paraId="33B4D957" w14:textId="3AC44479" w:rsidR="00ED4D1E" w:rsidRDefault="00F22CA6" w:rsidP="001E3B8F">
      <w:pPr>
        <w:pStyle w:val="Paragraphedeliste"/>
        <w:numPr>
          <w:ilvl w:val="0"/>
          <w:numId w:val="1"/>
        </w:numPr>
        <w:jc w:val="both"/>
      </w:pPr>
      <w:r>
        <w:t>L</w:t>
      </w:r>
      <w:r w:rsidR="00254636">
        <w:t>es jours acquis en cas de fractionnement des congés principaux</w:t>
      </w:r>
      <w:r w:rsidR="00207166">
        <w:t xml:space="preserve"> (1 ou 2 jours)</w:t>
      </w:r>
      <w:r w:rsidR="00AC3B88">
        <w:t> ;</w:t>
      </w:r>
    </w:p>
    <w:p w14:paraId="66D06A7D" w14:textId="7056CA77" w:rsidR="00207166" w:rsidRDefault="00F22CA6" w:rsidP="001E3B8F">
      <w:pPr>
        <w:pStyle w:val="Paragraphedeliste"/>
        <w:numPr>
          <w:ilvl w:val="0"/>
          <w:numId w:val="1"/>
        </w:numPr>
        <w:jc w:val="both"/>
      </w:pPr>
      <w:r>
        <w:t>L</w:t>
      </w:r>
      <w:r w:rsidR="00207166">
        <w:t xml:space="preserve">e jour </w:t>
      </w:r>
      <w:r w:rsidR="00B36963">
        <w:t>de congé supplémentaire pour ancienneté issu du transfert de la FNMA vers GSA</w:t>
      </w:r>
      <w:r w:rsidR="00D76A71">
        <w:t xml:space="preserve"> (1)</w:t>
      </w:r>
      <w:r w:rsidR="00AC3B88">
        <w:t> ;</w:t>
      </w:r>
    </w:p>
    <w:p w14:paraId="13C3510E" w14:textId="04E36A97" w:rsidR="00B36963" w:rsidRDefault="00F22CA6" w:rsidP="001E3B8F">
      <w:pPr>
        <w:pStyle w:val="Paragraphedeliste"/>
        <w:numPr>
          <w:ilvl w:val="0"/>
          <w:numId w:val="1"/>
        </w:numPr>
        <w:jc w:val="both"/>
      </w:pPr>
      <w:r>
        <w:t>L</w:t>
      </w:r>
      <w:r w:rsidR="00B36963">
        <w:t>e</w:t>
      </w:r>
      <w:r w:rsidR="00D76A71">
        <w:t>s</w:t>
      </w:r>
      <w:r w:rsidR="00B36963">
        <w:t xml:space="preserve"> jour</w:t>
      </w:r>
      <w:r w:rsidR="00D76A71">
        <w:t>s</w:t>
      </w:r>
      <w:r w:rsidR="00B36963">
        <w:t xml:space="preserve"> de congé supplémentaire</w:t>
      </w:r>
      <w:r w:rsidR="00300391">
        <w:t>s</w:t>
      </w:r>
      <w:r w:rsidR="00B36963">
        <w:t xml:space="preserve"> </w:t>
      </w:r>
      <w:r w:rsidR="001556FB">
        <w:t>issu</w:t>
      </w:r>
      <w:r w:rsidR="00300391">
        <w:t>s</w:t>
      </w:r>
      <w:r w:rsidR="001556FB">
        <w:t xml:space="preserve"> du transfert de GAN vers GSA (2)</w:t>
      </w:r>
      <w:r w:rsidR="006C222B">
        <w:t> ;</w:t>
      </w:r>
    </w:p>
    <w:p w14:paraId="06D5D018" w14:textId="4D83BE27" w:rsidR="00051E50" w:rsidRDefault="00051E50" w:rsidP="001E3B8F">
      <w:pPr>
        <w:pStyle w:val="Paragraphedeliste"/>
        <w:numPr>
          <w:ilvl w:val="0"/>
          <w:numId w:val="1"/>
        </w:numPr>
        <w:jc w:val="both"/>
      </w:pPr>
      <w:r>
        <w:t>Les jours de congé anniversaire ;</w:t>
      </w:r>
    </w:p>
    <w:p w14:paraId="0966BA2E" w14:textId="44F00B21" w:rsidR="00F511E9" w:rsidRDefault="006C222B" w:rsidP="001E3B8F">
      <w:pPr>
        <w:pStyle w:val="Paragraphedeliste"/>
        <w:numPr>
          <w:ilvl w:val="0"/>
          <w:numId w:val="1"/>
        </w:numPr>
        <w:jc w:val="both"/>
      </w:pPr>
      <w:r>
        <w:t>Jusqu’à 11 jours de JRTT.</w:t>
      </w:r>
    </w:p>
    <w:p w14:paraId="03979244" w14:textId="568EDA48" w:rsidR="001556FB" w:rsidRPr="0006649D" w:rsidRDefault="001556FB" w:rsidP="001E3B8F">
      <w:pPr>
        <w:ind w:left="993" w:hanging="985"/>
        <w:jc w:val="both"/>
        <w:rPr>
          <w:b/>
          <w:bCs/>
        </w:rPr>
      </w:pPr>
      <w:r w:rsidRPr="0006649D">
        <w:rPr>
          <w:b/>
          <w:bCs/>
        </w:rPr>
        <w:t xml:space="preserve">CET A Non </w:t>
      </w:r>
      <w:r w:rsidR="00F22CA6" w:rsidRPr="0006649D">
        <w:rPr>
          <w:b/>
          <w:bCs/>
        </w:rPr>
        <w:t>monétisable</w:t>
      </w:r>
      <w:r w:rsidR="00672CE7" w:rsidRPr="0006649D">
        <w:rPr>
          <w:b/>
          <w:bCs/>
        </w:rPr>
        <w:t xml:space="preserve"> : </w:t>
      </w:r>
    </w:p>
    <w:p w14:paraId="68D2DC1E" w14:textId="0AAFB57C" w:rsidR="001556FB" w:rsidRDefault="00AC3B88" w:rsidP="001E3B8F">
      <w:pPr>
        <w:pStyle w:val="Paragraphedeliste"/>
        <w:numPr>
          <w:ilvl w:val="0"/>
          <w:numId w:val="1"/>
        </w:numPr>
        <w:jc w:val="both"/>
      </w:pPr>
      <w:r>
        <w:t>La 5</w:t>
      </w:r>
      <w:r w:rsidRPr="00AC3B88">
        <w:rPr>
          <w:vertAlign w:val="superscript"/>
        </w:rPr>
        <w:t>ème</w:t>
      </w:r>
      <w:r>
        <w:t xml:space="preserve"> semaine de congés payés.</w:t>
      </w:r>
    </w:p>
    <w:p w14:paraId="0A7670DB" w14:textId="7195FA91" w:rsidR="000646E3" w:rsidRDefault="00F415A4" w:rsidP="001E3B8F">
      <w:pPr>
        <w:pStyle w:val="Citationintense"/>
        <w:spacing w:after="100" w:afterAutospacing="1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>Une</w:t>
      </w:r>
      <w:r w:rsidR="005962D7" w:rsidRPr="00C952E1">
        <w:rPr>
          <w:b/>
          <w:bCs/>
          <w:color w:val="C00000"/>
          <w:sz w:val="24"/>
          <w:szCs w:val="24"/>
        </w:rPr>
        <w:t xml:space="preserve"> </w:t>
      </w:r>
      <w:r w:rsidR="005962D7">
        <w:rPr>
          <w:b/>
          <w:bCs/>
          <w:color w:val="C00000"/>
          <w:sz w:val="24"/>
          <w:szCs w:val="24"/>
        </w:rPr>
        <w:t>question de l’Ugict-</w:t>
      </w:r>
      <w:r w:rsidR="005962D7" w:rsidRPr="00C952E1">
        <w:rPr>
          <w:b/>
          <w:bCs/>
          <w:color w:val="C00000"/>
          <w:sz w:val="24"/>
          <w:szCs w:val="24"/>
        </w:rPr>
        <w:t xml:space="preserve"> CGT G</w:t>
      </w:r>
      <w:r w:rsidR="005962D7">
        <w:rPr>
          <w:b/>
          <w:bCs/>
          <w:color w:val="C00000"/>
          <w:sz w:val="24"/>
          <w:szCs w:val="24"/>
        </w:rPr>
        <w:t>MA</w:t>
      </w:r>
    </w:p>
    <w:p w14:paraId="37E2AB26" w14:textId="227C281F" w:rsidR="004626F0" w:rsidRPr="00B574B7" w:rsidRDefault="004626F0" w:rsidP="001E3B8F">
      <w:pPr>
        <w:pStyle w:val="Citationintense"/>
        <w:spacing w:after="100" w:afterAutospacing="1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color w:val="C00000"/>
        </w:rPr>
        <w:t>La question relève des RIC : quel texte régit l’ordre de prise des congés selon leur nature ? En effet cela impacte la répartition des jours entre CET A NM et CET A M.</w:t>
      </w:r>
    </w:p>
    <w:p w14:paraId="061AFE32" w14:textId="77777777" w:rsidR="000646E3" w:rsidRDefault="006133B7" w:rsidP="001E3B8F">
      <w:pPr>
        <w:pStyle w:val="Citationintense"/>
        <w:spacing w:after="100" w:afterAutospacing="1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color w:val="C00000"/>
        </w:rPr>
        <w:t>Prenons l’exemple d’un salarié cadre</w:t>
      </w:r>
      <w:r w:rsidR="006B7517">
        <w:rPr>
          <w:color w:val="C00000"/>
        </w:rPr>
        <w:t xml:space="preserve"> qui a 20</w:t>
      </w:r>
      <w:r w:rsidR="008F0F65">
        <w:rPr>
          <w:color w:val="C00000"/>
        </w:rPr>
        <w:t>+3</w:t>
      </w:r>
      <w:r w:rsidR="006B7517">
        <w:rPr>
          <w:color w:val="C00000"/>
        </w:rPr>
        <w:t xml:space="preserve"> jours de congés </w:t>
      </w:r>
      <w:r w:rsidR="00FE5804">
        <w:rPr>
          <w:color w:val="C00000"/>
        </w:rPr>
        <w:t>+ 5</w:t>
      </w:r>
      <w:r w:rsidR="00FE5804" w:rsidRPr="00FE5804">
        <w:rPr>
          <w:color w:val="C00000"/>
          <w:vertAlign w:val="superscript"/>
        </w:rPr>
        <w:t>ème</w:t>
      </w:r>
      <w:r w:rsidR="00FE5804">
        <w:rPr>
          <w:color w:val="C00000"/>
        </w:rPr>
        <w:t xml:space="preserve"> semaine.</w:t>
      </w:r>
    </w:p>
    <w:p w14:paraId="311C3DA0" w14:textId="77777777" w:rsidR="000646E3" w:rsidRDefault="007D26CB" w:rsidP="001E3B8F">
      <w:pPr>
        <w:pStyle w:val="Citationintense"/>
        <w:spacing w:after="100" w:afterAutospacing="1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color w:val="C00000"/>
        </w:rPr>
        <w:t>Il a posé</w:t>
      </w:r>
      <w:r w:rsidR="00893A8F">
        <w:rPr>
          <w:color w:val="C00000"/>
        </w:rPr>
        <w:t xml:space="preserve"> 2</w:t>
      </w:r>
      <w:r w:rsidR="004945C2">
        <w:rPr>
          <w:color w:val="C00000"/>
        </w:rPr>
        <w:t>5</w:t>
      </w:r>
      <w:r w:rsidR="00893A8F">
        <w:rPr>
          <w:color w:val="C00000"/>
        </w:rPr>
        <w:t xml:space="preserve"> jours de </w:t>
      </w:r>
      <w:r w:rsidR="00E71061">
        <w:rPr>
          <w:color w:val="C00000"/>
        </w:rPr>
        <w:t>CP qui ont déclenché 2 jours de fractionnement</w:t>
      </w:r>
      <w:r w:rsidR="00A37FD1">
        <w:rPr>
          <w:color w:val="C00000"/>
        </w:rPr>
        <w:t>.</w:t>
      </w:r>
      <w:r>
        <w:rPr>
          <w:color w:val="C00000"/>
        </w:rPr>
        <w:t xml:space="preserve"> </w:t>
      </w:r>
      <w:r w:rsidR="00A37FD1">
        <w:rPr>
          <w:color w:val="C00000"/>
        </w:rPr>
        <w:t>Au 31 mai i</w:t>
      </w:r>
      <w:r w:rsidR="00A25247">
        <w:rPr>
          <w:color w:val="C00000"/>
        </w:rPr>
        <w:t>l lui</w:t>
      </w:r>
      <w:r w:rsidR="00C377B4">
        <w:rPr>
          <w:color w:val="C00000"/>
        </w:rPr>
        <w:t xml:space="preserve"> </w:t>
      </w:r>
      <w:r w:rsidR="00FF0520">
        <w:rPr>
          <w:color w:val="C00000"/>
        </w:rPr>
        <w:t>reste 7 jours de congés</w:t>
      </w:r>
      <w:r w:rsidR="00D97771">
        <w:rPr>
          <w:color w:val="C00000"/>
        </w:rPr>
        <w:t>.</w:t>
      </w:r>
    </w:p>
    <w:p w14:paraId="69CBDB1F" w14:textId="77777777" w:rsidR="000646E3" w:rsidRDefault="00D97771" w:rsidP="001E3B8F">
      <w:pPr>
        <w:pStyle w:val="Citationintense"/>
        <w:spacing w:after="100" w:afterAutospacing="1"/>
        <w:ind w:left="720"/>
        <w:jc w:val="both"/>
        <w:rPr>
          <w:b/>
          <w:bCs/>
          <w:color w:val="C00000"/>
          <w:sz w:val="24"/>
          <w:szCs w:val="24"/>
        </w:rPr>
      </w:pPr>
      <w:r>
        <w:rPr>
          <w:color w:val="C00000"/>
        </w:rPr>
        <w:t xml:space="preserve">Pourquoi </w:t>
      </w:r>
      <w:r w:rsidR="005875E7">
        <w:rPr>
          <w:color w:val="C00000"/>
        </w:rPr>
        <w:t xml:space="preserve">5 </w:t>
      </w:r>
      <w:r w:rsidR="00AD25D9">
        <w:rPr>
          <w:color w:val="C00000"/>
        </w:rPr>
        <w:t xml:space="preserve">jours </w:t>
      </w:r>
      <w:r w:rsidR="005875E7">
        <w:rPr>
          <w:color w:val="C00000"/>
        </w:rPr>
        <w:t>sont</w:t>
      </w:r>
      <w:r w:rsidR="00FA29DF">
        <w:rPr>
          <w:color w:val="C00000"/>
        </w:rPr>
        <w:t>-ils</w:t>
      </w:r>
      <w:r w:rsidR="005875E7">
        <w:rPr>
          <w:color w:val="C00000"/>
        </w:rPr>
        <w:t xml:space="preserve"> placés dans le CET non monétisable et 2 </w:t>
      </w:r>
      <w:r w:rsidR="00AD25D9">
        <w:rPr>
          <w:color w:val="C00000"/>
        </w:rPr>
        <w:t xml:space="preserve">jours </w:t>
      </w:r>
      <w:r w:rsidR="005875E7">
        <w:rPr>
          <w:color w:val="C00000"/>
        </w:rPr>
        <w:t>dans le CET monétisable</w:t>
      </w:r>
      <w:r>
        <w:rPr>
          <w:color w:val="C00000"/>
        </w:rPr>
        <w:t> ?</w:t>
      </w:r>
      <w:r w:rsidR="001F0C45">
        <w:rPr>
          <w:color w:val="C00000"/>
        </w:rPr>
        <w:t xml:space="preserve"> Cela suppose que la 5</w:t>
      </w:r>
      <w:r w:rsidR="001F0C45" w:rsidRPr="001F0C45">
        <w:rPr>
          <w:color w:val="C00000"/>
          <w:vertAlign w:val="superscript"/>
        </w:rPr>
        <w:t>ème</w:t>
      </w:r>
      <w:r w:rsidR="001F0C45">
        <w:rPr>
          <w:color w:val="C00000"/>
        </w:rPr>
        <w:t xml:space="preserve"> semaine est réputée prise en dernier. En effet, on pourrait considérer que </w:t>
      </w:r>
      <w:r w:rsidR="00A24121">
        <w:rPr>
          <w:color w:val="C00000"/>
        </w:rPr>
        <w:t>ce salarié a pris 20</w:t>
      </w:r>
      <w:r w:rsidR="00E243B3">
        <w:rPr>
          <w:color w:val="C00000"/>
        </w:rPr>
        <w:t xml:space="preserve"> </w:t>
      </w:r>
      <w:r w:rsidR="00A24121">
        <w:rPr>
          <w:color w:val="C00000"/>
        </w:rPr>
        <w:t>jours de CP</w:t>
      </w:r>
      <w:r w:rsidR="00085BE5">
        <w:rPr>
          <w:color w:val="C00000"/>
        </w:rPr>
        <w:t xml:space="preserve"> et</w:t>
      </w:r>
      <w:r w:rsidR="00E243B3">
        <w:rPr>
          <w:color w:val="C00000"/>
        </w:rPr>
        <w:t xml:space="preserve"> 3 jours sur sa 5</w:t>
      </w:r>
      <w:r w:rsidR="00E243B3" w:rsidRPr="00E243B3">
        <w:rPr>
          <w:color w:val="C00000"/>
          <w:vertAlign w:val="superscript"/>
        </w:rPr>
        <w:t>ème</w:t>
      </w:r>
      <w:r w:rsidR="00E243B3">
        <w:rPr>
          <w:color w:val="C00000"/>
        </w:rPr>
        <w:t xml:space="preserve"> semaine</w:t>
      </w:r>
      <w:r w:rsidR="00085BE5">
        <w:rPr>
          <w:color w:val="C00000"/>
        </w:rPr>
        <w:t>.</w:t>
      </w:r>
      <w:r w:rsidR="00A24121">
        <w:rPr>
          <w:color w:val="C00000"/>
        </w:rPr>
        <w:t xml:space="preserve"> </w:t>
      </w:r>
      <w:r w:rsidR="00C16894">
        <w:rPr>
          <w:color w:val="C00000"/>
        </w:rPr>
        <w:t>S</w:t>
      </w:r>
      <w:r w:rsidR="00A24121">
        <w:rPr>
          <w:color w:val="C00000"/>
        </w:rPr>
        <w:t xml:space="preserve">on solde </w:t>
      </w:r>
      <w:r w:rsidR="00C16894">
        <w:rPr>
          <w:color w:val="C00000"/>
        </w:rPr>
        <w:t>serait alors</w:t>
      </w:r>
      <w:r w:rsidR="00A24121">
        <w:rPr>
          <w:color w:val="C00000"/>
        </w:rPr>
        <w:t xml:space="preserve"> composé </w:t>
      </w:r>
      <w:r w:rsidR="00F50C47">
        <w:rPr>
          <w:color w:val="C00000"/>
        </w:rPr>
        <w:t xml:space="preserve">de 2 jours de fractionnement (CET M), </w:t>
      </w:r>
      <w:r w:rsidR="00AD25D9">
        <w:rPr>
          <w:color w:val="C00000"/>
        </w:rPr>
        <w:t>3 jours CCNSA (CET M) et 2 jours de 5</w:t>
      </w:r>
      <w:r w:rsidR="00AD25D9" w:rsidRPr="00AD25D9">
        <w:rPr>
          <w:color w:val="C00000"/>
          <w:vertAlign w:val="superscript"/>
        </w:rPr>
        <w:t>ème</w:t>
      </w:r>
      <w:r w:rsidR="00AD25D9">
        <w:rPr>
          <w:color w:val="C00000"/>
        </w:rPr>
        <w:t xml:space="preserve"> semaine (CET NM). Ainsi la répartition serait </w:t>
      </w:r>
      <w:r w:rsidR="007C5948">
        <w:rPr>
          <w:color w:val="C00000"/>
        </w:rPr>
        <w:t>5 jours dans le CET monétisable et 2 jours</w:t>
      </w:r>
      <w:r w:rsidR="003E65C9">
        <w:rPr>
          <w:color w:val="C00000"/>
        </w:rPr>
        <w:t xml:space="preserve"> dans le CET non monétisable.</w:t>
      </w:r>
      <w:r w:rsidR="00E529D3">
        <w:rPr>
          <w:color w:val="C00000"/>
        </w:rPr>
        <w:t xml:space="preserve"> Ce qui change l’utilisation possible.</w:t>
      </w:r>
    </w:p>
    <w:p w14:paraId="10E91AC2" w14:textId="59B447FC" w:rsidR="00D92F6C" w:rsidRDefault="00D92F6C" w:rsidP="001E3B8F">
      <w:pPr>
        <w:jc w:val="both"/>
      </w:pPr>
    </w:p>
    <w:p w14:paraId="361C9C20" w14:textId="53F59637" w:rsidR="00F22EFB" w:rsidRPr="00E648E7" w:rsidRDefault="00BC66E3" w:rsidP="001E3B8F">
      <w:pPr>
        <w:jc w:val="both"/>
        <w:rPr>
          <w:b/>
          <w:bCs/>
          <w:color w:val="5F497A" w:themeColor="accent4" w:themeShade="BF"/>
          <w:sz w:val="28"/>
          <w:szCs w:val="28"/>
        </w:rPr>
      </w:pPr>
      <w:r>
        <w:rPr>
          <w:b/>
          <w:bCs/>
          <w:color w:val="5F497A" w:themeColor="accent4" w:themeShade="BF"/>
          <w:sz w:val="28"/>
          <w:szCs w:val="28"/>
        </w:rPr>
        <w:t>Utilisation</w:t>
      </w:r>
      <w:r w:rsidR="00381CAA">
        <w:rPr>
          <w:b/>
          <w:bCs/>
          <w:color w:val="5F497A" w:themeColor="accent4" w:themeShade="BF"/>
          <w:sz w:val="28"/>
          <w:szCs w:val="28"/>
        </w:rPr>
        <w:t>s</w:t>
      </w:r>
      <w:r>
        <w:rPr>
          <w:b/>
          <w:bCs/>
          <w:color w:val="5F497A" w:themeColor="accent4" w:themeShade="BF"/>
          <w:sz w:val="28"/>
          <w:szCs w:val="28"/>
        </w:rPr>
        <w:t xml:space="preserve"> du CET</w:t>
      </w:r>
      <w:r w:rsidR="00AF4BCB" w:rsidRPr="00E648E7">
        <w:rPr>
          <w:b/>
          <w:bCs/>
          <w:color w:val="5F497A" w:themeColor="accent4" w:themeShade="BF"/>
          <w:sz w:val="28"/>
          <w:szCs w:val="28"/>
        </w:rPr>
        <w:t xml:space="preserve"> </w:t>
      </w:r>
    </w:p>
    <w:p w14:paraId="68C2D39E" w14:textId="4F36B5C7" w:rsidR="00B616B3" w:rsidRDefault="00C02197" w:rsidP="001E3B8F">
      <w:pPr>
        <w:jc w:val="both"/>
        <w:rPr>
          <w:b/>
          <w:bCs/>
        </w:rPr>
      </w:pPr>
      <w:r w:rsidRPr="0006649D">
        <w:rPr>
          <w:b/>
          <w:bCs/>
        </w:rPr>
        <w:t>In</w:t>
      </w:r>
      <w:r w:rsidR="0006649D" w:rsidRPr="0006649D">
        <w:rPr>
          <w:b/>
          <w:bCs/>
        </w:rPr>
        <w:t>demnisation de période</w:t>
      </w:r>
      <w:r w:rsidR="00AB59AC">
        <w:rPr>
          <w:b/>
          <w:bCs/>
        </w:rPr>
        <w:t>s</w:t>
      </w:r>
      <w:r w:rsidR="0006649D" w:rsidRPr="0006649D">
        <w:rPr>
          <w:b/>
          <w:bCs/>
        </w:rPr>
        <w:t xml:space="preserve"> d’absence</w:t>
      </w:r>
      <w:r w:rsidR="004E4209">
        <w:rPr>
          <w:b/>
          <w:bCs/>
        </w:rPr>
        <w:t xml:space="preserve"> </w:t>
      </w:r>
      <w:r w:rsidR="0006649D" w:rsidRPr="0006649D">
        <w:rPr>
          <w:b/>
          <w:bCs/>
        </w:rPr>
        <w:t>:</w:t>
      </w:r>
    </w:p>
    <w:p w14:paraId="00E861BF" w14:textId="772E591E" w:rsidR="004E4209" w:rsidRDefault="00374524" w:rsidP="001E3B8F">
      <w:pPr>
        <w:pStyle w:val="Paragraphedeliste"/>
        <w:numPr>
          <w:ilvl w:val="0"/>
          <w:numId w:val="1"/>
        </w:numPr>
        <w:jc w:val="both"/>
      </w:pPr>
      <w:r>
        <w:t>Absence d’au moins 10 jours pour congé parental, sabbatique</w:t>
      </w:r>
      <w:r w:rsidR="004E35EE">
        <w:t>, création ou reprise d’entreprise, solidarité internationale</w:t>
      </w:r>
      <w:r w:rsidR="00441F12">
        <w:t xml:space="preserve"> ou familiale, présence parentale, sans solde</w:t>
      </w:r>
      <w:r w:rsidR="001F0A8A">
        <w:t>.</w:t>
      </w:r>
    </w:p>
    <w:p w14:paraId="481DC03F" w14:textId="77777777" w:rsidR="00F5086B" w:rsidRDefault="00F5086B" w:rsidP="001E3B8F">
      <w:pPr>
        <w:pStyle w:val="Paragraphedeliste"/>
        <w:jc w:val="both"/>
      </w:pPr>
    </w:p>
    <w:p w14:paraId="71761C0D" w14:textId="3864FD8A" w:rsidR="001F0A8A" w:rsidRDefault="001F0A8A" w:rsidP="001E3B8F">
      <w:pPr>
        <w:pStyle w:val="Paragraphedeliste"/>
        <w:numPr>
          <w:ilvl w:val="0"/>
          <w:numId w:val="1"/>
        </w:numPr>
        <w:jc w:val="both"/>
      </w:pPr>
      <w:r>
        <w:t xml:space="preserve">Congé </w:t>
      </w:r>
      <w:r w:rsidR="00F67A44">
        <w:t>entre</w:t>
      </w:r>
      <w:r>
        <w:t xml:space="preserve"> 1 à 20 jours ouvrés durant la période</w:t>
      </w:r>
      <w:r w:rsidR="00124210">
        <w:t xml:space="preserve"> légale de congés payés après utilisation des CP et JRTT.</w:t>
      </w:r>
    </w:p>
    <w:p w14:paraId="08727E29" w14:textId="77777777" w:rsidR="00F5086B" w:rsidRDefault="00F5086B" w:rsidP="001E3B8F">
      <w:pPr>
        <w:pStyle w:val="Paragraphedeliste"/>
        <w:jc w:val="both"/>
      </w:pPr>
    </w:p>
    <w:p w14:paraId="0E35A679" w14:textId="724A59E2" w:rsidR="00F5086B" w:rsidRDefault="00404BBE" w:rsidP="001E3B8F">
      <w:pPr>
        <w:pStyle w:val="Paragraphedeliste"/>
        <w:numPr>
          <w:ilvl w:val="0"/>
          <w:numId w:val="1"/>
        </w:numPr>
        <w:jc w:val="both"/>
      </w:pPr>
      <w:r>
        <w:t>Réduction de la durée du travail ou cessation anticipée et totale d’activité</w:t>
      </w:r>
      <w:r w:rsidR="00E75AFD">
        <w:t xml:space="preserve"> avant la retraite.</w:t>
      </w:r>
    </w:p>
    <w:p w14:paraId="296724B2" w14:textId="77777777" w:rsidR="00F415A4" w:rsidRDefault="00F415A4" w:rsidP="001E3B8F">
      <w:pPr>
        <w:pStyle w:val="Paragraphedeliste"/>
        <w:jc w:val="both"/>
      </w:pPr>
    </w:p>
    <w:p w14:paraId="06FC77D8" w14:textId="53FB4592" w:rsidR="00E75AFD" w:rsidRDefault="00E75AFD" w:rsidP="001E3B8F">
      <w:pPr>
        <w:pStyle w:val="Paragraphedeliste"/>
        <w:numPr>
          <w:ilvl w:val="0"/>
          <w:numId w:val="1"/>
        </w:numPr>
        <w:jc w:val="both"/>
      </w:pPr>
      <w:r>
        <w:t xml:space="preserve">Indemnisation </w:t>
      </w:r>
      <w:r w:rsidR="007A12BE">
        <w:t>de minimum 3 jours de formation suivie</w:t>
      </w:r>
      <w:r w:rsidR="00F67A44">
        <w:t xml:space="preserve"> en dehors des heures de travail.</w:t>
      </w:r>
    </w:p>
    <w:p w14:paraId="69A8DC49" w14:textId="71F05C10" w:rsidR="00EB2D44" w:rsidRPr="00B43A82" w:rsidRDefault="00B92041" w:rsidP="001E3B8F">
      <w:pPr>
        <w:jc w:val="both"/>
        <w:rPr>
          <w:b/>
          <w:bCs/>
        </w:rPr>
      </w:pPr>
      <w:r w:rsidRPr="00B43A82">
        <w:rPr>
          <w:b/>
          <w:bCs/>
        </w:rPr>
        <w:t>Monétisation :</w:t>
      </w:r>
      <w:r w:rsidR="00B43A82" w:rsidRPr="00B43A82">
        <w:rPr>
          <w:b/>
          <w:bCs/>
        </w:rPr>
        <w:t xml:space="preserve"> </w:t>
      </w:r>
    </w:p>
    <w:p w14:paraId="2D08D6A9" w14:textId="2354E409" w:rsidR="00B43A82" w:rsidRDefault="00C97C66" w:rsidP="001E3B8F">
      <w:pPr>
        <w:pStyle w:val="Paragraphedeliste"/>
        <w:numPr>
          <w:ilvl w:val="0"/>
          <w:numId w:val="1"/>
        </w:numPr>
        <w:jc w:val="both"/>
      </w:pPr>
      <w:r>
        <w:t>Versement avec la rémunération mensuelle de minimum 15 jours par demande et maximum 60 jours par an</w:t>
      </w:r>
      <w:r w:rsidR="00A148D6">
        <w:t xml:space="preserve"> (sans limite pour évènements exceptionnels)</w:t>
      </w:r>
      <w:r>
        <w:t>.</w:t>
      </w:r>
    </w:p>
    <w:p w14:paraId="0ABD0218" w14:textId="77777777" w:rsidR="00650E92" w:rsidRDefault="00650E92" w:rsidP="001E3B8F">
      <w:pPr>
        <w:pStyle w:val="Paragraphedeliste"/>
        <w:jc w:val="both"/>
      </w:pPr>
    </w:p>
    <w:p w14:paraId="15FAEF9A" w14:textId="1005F783" w:rsidR="00EF13FE" w:rsidRDefault="006754B7" w:rsidP="001E3B8F">
      <w:pPr>
        <w:pStyle w:val="Paragraphedeliste"/>
        <w:numPr>
          <w:ilvl w:val="0"/>
          <w:numId w:val="1"/>
        </w:numPr>
        <w:jc w:val="both"/>
      </w:pPr>
      <w:r>
        <w:t>Rachat de trimestre</w:t>
      </w:r>
      <w:r w:rsidR="00EC15BA">
        <w:t>s.</w:t>
      </w:r>
    </w:p>
    <w:p w14:paraId="4FF5172F" w14:textId="77777777" w:rsidR="00650E92" w:rsidRDefault="00650E92" w:rsidP="001E3B8F">
      <w:pPr>
        <w:pStyle w:val="Paragraphedeliste"/>
        <w:jc w:val="both"/>
      </w:pPr>
    </w:p>
    <w:p w14:paraId="57BDED84" w14:textId="6FB62D5D" w:rsidR="00BC53AA" w:rsidRDefault="00EC15BA" w:rsidP="001E3B8F">
      <w:pPr>
        <w:pStyle w:val="Paragraphedeliste"/>
        <w:numPr>
          <w:ilvl w:val="0"/>
          <w:numId w:val="1"/>
        </w:numPr>
        <w:jc w:val="both"/>
      </w:pPr>
      <w:r>
        <w:t>Alimentation d</w:t>
      </w:r>
      <w:r w:rsidR="00BC53AA">
        <w:t>’un autre plan d’épargne salariale :</w:t>
      </w:r>
      <w:r>
        <w:t xml:space="preserve"> </w:t>
      </w:r>
    </w:p>
    <w:p w14:paraId="3856C196" w14:textId="1D38EC1B" w:rsidR="00F5086B" w:rsidRDefault="00F5086B" w:rsidP="001E3B8F">
      <w:pPr>
        <w:pStyle w:val="Paragraphedeliste"/>
        <w:jc w:val="both"/>
      </w:pPr>
    </w:p>
    <w:p w14:paraId="2BC6907E" w14:textId="77777777" w:rsidR="00713E0C" w:rsidRDefault="00713E0C" w:rsidP="001E3B8F">
      <w:pPr>
        <w:pStyle w:val="Paragraphedeliste"/>
        <w:jc w:val="both"/>
      </w:pPr>
    </w:p>
    <w:p w14:paraId="5FF2AAB6" w14:textId="77777777" w:rsidR="002B3228" w:rsidRPr="000C32AD" w:rsidRDefault="00EC15BA" w:rsidP="001E3B8F">
      <w:pPr>
        <w:pStyle w:val="Paragraphedeliste"/>
        <w:numPr>
          <w:ilvl w:val="1"/>
          <w:numId w:val="1"/>
        </w:numPr>
        <w:jc w:val="both"/>
        <w:rPr>
          <w:u w:val="single"/>
        </w:rPr>
      </w:pPr>
      <w:r w:rsidRPr="000C32AD">
        <w:rPr>
          <w:u w:val="single"/>
        </w:rPr>
        <w:lastRenderedPageBreak/>
        <w:t>P</w:t>
      </w:r>
      <w:r w:rsidR="002B3228" w:rsidRPr="000C32AD">
        <w:rPr>
          <w:u w:val="single"/>
        </w:rPr>
        <w:t>lan d’épargne entreprise</w:t>
      </w:r>
    </w:p>
    <w:p w14:paraId="7E4F3E04" w14:textId="5BF33C81" w:rsidR="006544D8" w:rsidRDefault="006544D8" w:rsidP="001E3B8F">
      <w:pPr>
        <w:pStyle w:val="Paragraphedeliste"/>
        <w:ind w:left="1440"/>
        <w:jc w:val="both"/>
      </w:pPr>
      <w:r>
        <w:t xml:space="preserve">L’article 3 de l’accord PEE du 20 juillet 2011 stipule </w:t>
      </w:r>
      <w:r w:rsidR="00A75F99">
        <w:t>la possibilité de transfert d</w:t>
      </w:r>
      <w:r w:rsidR="007D2834">
        <w:t>u CET vers le PEE.</w:t>
      </w:r>
    </w:p>
    <w:p w14:paraId="0D0D123C" w14:textId="710595C3" w:rsidR="008D52A6" w:rsidRDefault="00C634A9" w:rsidP="001E3B8F">
      <w:pPr>
        <w:pStyle w:val="Paragraphedeliste"/>
        <w:ind w:left="1440"/>
        <w:jc w:val="both"/>
      </w:pPr>
      <w:r>
        <w:t xml:space="preserve">La monétisation de jours du CET vers le PEE </w:t>
      </w:r>
      <w:r w:rsidR="004B06FD">
        <w:t>est considéré comme un versement volontaire et pourra faire l’objet d’un abondement dans les limites définies dans l’accord</w:t>
      </w:r>
      <w:r w:rsidR="00F0627C">
        <w:t xml:space="preserve"> PEE.</w:t>
      </w:r>
    </w:p>
    <w:p w14:paraId="3DE9292E" w14:textId="10D998C9" w:rsidR="00BB1F00" w:rsidRDefault="00BB1F00" w:rsidP="001E3B8F">
      <w:pPr>
        <w:pStyle w:val="Paragraphedeliste"/>
        <w:ind w:left="1440"/>
        <w:jc w:val="both"/>
      </w:pPr>
    </w:p>
    <w:p w14:paraId="06C70135" w14:textId="3CF86A4F" w:rsidR="007644E5" w:rsidRPr="00B84E78" w:rsidRDefault="007644E5" w:rsidP="001E3B8F">
      <w:pPr>
        <w:pStyle w:val="Paragraphedeliste"/>
        <w:pBdr>
          <w:top w:val="single" w:sz="8" w:space="1" w:color="1F497D" w:themeColor="text2"/>
          <w:bottom w:val="single" w:sz="8" w:space="1" w:color="1F497D" w:themeColor="text2"/>
        </w:pBdr>
        <w:ind w:left="1440"/>
        <w:jc w:val="both"/>
        <w:rPr>
          <w:b/>
          <w:bCs/>
          <w:i/>
          <w:iCs/>
          <w:color w:val="C00000"/>
        </w:rPr>
      </w:pPr>
      <w:r w:rsidRPr="00B84E78">
        <w:rPr>
          <w:b/>
          <w:bCs/>
          <w:i/>
          <w:iCs/>
          <w:color w:val="C00000"/>
        </w:rPr>
        <w:t>Remarque de l’Ugict-CGT :</w:t>
      </w:r>
    </w:p>
    <w:p w14:paraId="2113311E" w14:textId="77777777" w:rsidR="00B84E78" w:rsidRPr="00B84E78" w:rsidRDefault="00B84E78" w:rsidP="001E3B8F">
      <w:pPr>
        <w:pStyle w:val="Paragraphedeliste"/>
        <w:pBdr>
          <w:top w:val="single" w:sz="8" w:space="1" w:color="1F497D" w:themeColor="text2"/>
          <w:bottom w:val="single" w:sz="8" w:space="1" w:color="1F497D" w:themeColor="text2"/>
        </w:pBdr>
        <w:ind w:left="1440"/>
        <w:jc w:val="both"/>
        <w:rPr>
          <w:i/>
          <w:iCs/>
          <w:color w:val="C00000"/>
        </w:rPr>
      </w:pPr>
    </w:p>
    <w:p w14:paraId="513C1357" w14:textId="2F59A7D1" w:rsidR="007644E5" w:rsidRPr="00B84E78" w:rsidRDefault="007644E5" w:rsidP="001E3B8F">
      <w:pPr>
        <w:pStyle w:val="Paragraphedeliste"/>
        <w:pBdr>
          <w:top w:val="single" w:sz="8" w:space="1" w:color="1F497D" w:themeColor="text2"/>
          <w:bottom w:val="single" w:sz="8" w:space="1" w:color="1F497D" w:themeColor="text2"/>
        </w:pBdr>
        <w:ind w:left="1440"/>
        <w:jc w:val="both"/>
        <w:rPr>
          <w:i/>
          <w:iCs/>
          <w:color w:val="C00000"/>
        </w:rPr>
      </w:pPr>
      <w:r w:rsidRPr="00B84E78">
        <w:rPr>
          <w:i/>
          <w:iCs/>
          <w:color w:val="C00000"/>
        </w:rPr>
        <w:t xml:space="preserve">Les 10 </w:t>
      </w:r>
      <w:r w:rsidR="00C26EE7" w:rsidRPr="00B84E78">
        <w:rPr>
          <w:i/>
          <w:iCs/>
          <w:color w:val="C00000"/>
        </w:rPr>
        <w:t>jours annuellement transférés du CET au PEE sont réputés ex</w:t>
      </w:r>
      <w:r w:rsidR="008A2A05" w:rsidRPr="00B84E78">
        <w:rPr>
          <w:i/>
          <w:iCs/>
          <w:color w:val="C00000"/>
        </w:rPr>
        <w:t>onérés</w:t>
      </w:r>
      <w:r w:rsidR="00C26EE7" w:rsidRPr="00B84E78">
        <w:rPr>
          <w:i/>
          <w:iCs/>
          <w:color w:val="C00000"/>
        </w:rPr>
        <w:t xml:space="preserve"> </w:t>
      </w:r>
      <w:r w:rsidR="00B92450" w:rsidRPr="00B84E78">
        <w:rPr>
          <w:i/>
          <w:iCs/>
          <w:color w:val="C00000"/>
        </w:rPr>
        <w:t xml:space="preserve">de cotisation </w:t>
      </w:r>
      <w:r w:rsidR="00922599" w:rsidRPr="00B84E78">
        <w:rPr>
          <w:i/>
          <w:iCs/>
          <w:color w:val="C00000"/>
        </w:rPr>
        <w:t>maladie-maternité-invalidité-décès</w:t>
      </w:r>
      <w:r w:rsidR="008A2A05" w:rsidRPr="00B84E78">
        <w:rPr>
          <w:i/>
          <w:iCs/>
          <w:color w:val="C00000"/>
        </w:rPr>
        <w:t>. Mais cette cotisation a été transférée à la CSG. Or ces 10 jours sont assujettis à la CSG. Donc ils ne sont plus exonérés de fait.</w:t>
      </w:r>
    </w:p>
    <w:p w14:paraId="00814327" w14:textId="79F9CEEF" w:rsidR="007644E5" w:rsidRDefault="007644E5" w:rsidP="001E3B8F">
      <w:pPr>
        <w:pStyle w:val="Paragraphedeliste"/>
        <w:ind w:left="1440"/>
        <w:jc w:val="both"/>
      </w:pPr>
    </w:p>
    <w:p w14:paraId="7F84A7A0" w14:textId="77777777" w:rsidR="007644E5" w:rsidRDefault="007644E5" w:rsidP="001E3B8F">
      <w:pPr>
        <w:pStyle w:val="Paragraphedeliste"/>
        <w:ind w:left="1440"/>
        <w:jc w:val="both"/>
      </w:pPr>
    </w:p>
    <w:p w14:paraId="56BC9A7D" w14:textId="2267532E" w:rsidR="008D52A6" w:rsidRPr="000C32AD" w:rsidRDefault="00A51AF0" w:rsidP="001E3B8F">
      <w:pPr>
        <w:pStyle w:val="Paragraphedeliste"/>
        <w:numPr>
          <w:ilvl w:val="1"/>
          <w:numId w:val="1"/>
        </w:numPr>
        <w:jc w:val="both"/>
        <w:rPr>
          <w:u w:val="single"/>
        </w:rPr>
      </w:pPr>
      <w:r w:rsidRPr="000C32AD">
        <w:rPr>
          <w:u w:val="single"/>
        </w:rPr>
        <w:t>P</w:t>
      </w:r>
      <w:r w:rsidR="0091306E" w:rsidRPr="000C32AD">
        <w:rPr>
          <w:u w:val="single"/>
        </w:rPr>
        <w:t>lan d</w:t>
      </w:r>
      <w:r w:rsidR="003A19F2" w:rsidRPr="000C32AD">
        <w:rPr>
          <w:u w:val="single"/>
        </w:rPr>
        <w:t>’</w:t>
      </w:r>
      <w:r w:rsidR="0091306E" w:rsidRPr="000C32AD">
        <w:rPr>
          <w:u w:val="single"/>
        </w:rPr>
        <w:t>épargne retraite collectif interentreprise</w:t>
      </w:r>
      <w:r w:rsidRPr="000C32AD">
        <w:rPr>
          <w:u w:val="single"/>
        </w:rPr>
        <w:t xml:space="preserve"> </w:t>
      </w:r>
    </w:p>
    <w:p w14:paraId="1FA7947F" w14:textId="3432FEBA" w:rsidR="000B21FE" w:rsidRDefault="00BB1F00" w:rsidP="001E3B8F">
      <w:pPr>
        <w:pStyle w:val="Paragraphedeliste"/>
        <w:ind w:left="1440"/>
        <w:jc w:val="both"/>
      </w:pPr>
      <w:r>
        <w:t>L’article 6 de l’accord PERCOL-I</w:t>
      </w:r>
      <w:r w:rsidR="006544D8">
        <w:t xml:space="preserve"> stipule </w:t>
      </w:r>
      <w:r w:rsidR="000152DC">
        <w:t>la possibilité de transfert</w:t>
      </w:r>
      <w:r w:rsidR="00013F3D">
        <w:t xml:space="preserve"> à partir</w:t>
      </w:r>
      <w:r w:rsidR="000152DC">
        <w:t xml:space="preserve"> </w:t>
      </w:r>
      <w:r w:rsidR="00C04173">
        <w:t>du CET.</w:t>
      </w:r>
      <w:r w:rsidR="00BA1551">
        <w:t xml:space="preserve"> </w:t>
      </w:r>
      <w:r w:rsidR="00347591">
        <w:t xml:space="preserve">Ces jours transférés sont considérés comme </w:t>
      </w:r>
      <w:r w:rsidR="00BA1551">
        <w:t>de</w:t>
      </w:r>
      <w:r w:rsidR="00347591">
        <w:t>s</w:t>
      </w:r>
      <w:r w:rsidR="00BA1551">
        <w:t xml:space="preserve"> versements volontaires.</w:t>
      </w:r>
      <w:r w:rsidR="002966ED">
        <w:t xml:space="preserve"> </w:t>
      </w:r>
      <w:r w:rsidR="000A593A">
        <w:t>Ils sont exonérés d’impôts sur le revenu.</w:t>
      </w:r>
    </w:p>
    <w:p w14:paraId="0311FF39" w14:textId="7991EF0F" w:rsidR="00F0627C" w:rsidRDefault="00F0627C" w:rsidP="001E3B8F">
      <w:pPr>
        <w:pStyle w:val="Paragraphedeliste"/>
        <w:ind w:left="1440"/>
        <w:jc w:val="both"/>
      </w:pPr>
    </w:p>
    <w:p w14:paraId="2696DF7E" w14:textId="7EAA8FE4" w:rsidR="00670E88" w:rsidRPr="00B84E78" w:rsidRDefault="00670E88" w:rsidP="007F0508">
      <w:pPr>
        <w:pStyle w:val="Paragraphedeliste"/>
        <w:pBdr>
          <w:top w:val="single" w:sz="8" w:space="1" w:color="1F497D" w:themeColor="text2"/>
          <w:bottom w:val="single" w:sz="8" w:space="1" w:color="1F497D" w:themeColor="text2"/>
        </w:pBdr>
        <w:ind w:left="567"/>
        <w:jc w:val="both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>Une revendication possible</w:t>
      </w:r>
      <w:r w:rsidRPr="00B84E78">
        <w:rPr>
          <w:b/>
          <w:bCs/>
          <w:i/>
          <w:iCs/>
          <w:color w:val="C00000"/>
        </w:rPr>
        <w:t> de l’Ugict-CGT :</w:t>
      </w:r>
    </w:p>
    <w:p w14:paraId="0508A4FE" w14:textId="77777777" w:rsidR="00670E88" w:rsidRPr="00B84E78" w:rsidRDefault="00670E88" w:rsidP="007F0508">
      <w:pPr>
        <w:pStyle w:val="Paragraphedeliste"/>
        <w:pBdr>
          <w:top w:val="single" w:sz="8" w:space="1" w:color="1F497D" w:themeColor="text2"/>
          <w:bottom w:val="single" w:sz="8" w:space="1" w:color="1F497D" w:themeColor="text2"/>
        </w:pBdr>
        <w:ind w:left="567"/>
        <w:jc w:val="both"/>
        <w:rPr>
          <w:i/>
          <w:iCs/>
          <w:color w:val="C00000"/>
        </w:rPr>
      </w:pPr>
    </w:p>
    <w:p w14:paraId="37AE4AF0" w14:textId="6ECE6A57" w:rsidR="00670E88" w:rsidRPr="00B84E78" w:rsidRDefault="00670E88" w:rsidP="007F0508">
      <w:pPr>
        <w:pStyle w:val="Paragraphedeliste"/>
        <w:pBdr>
          <w:top w:val="single" w:sz="8" w:space="1" w:color="1F497D" w:themeColor="text2"/>
          <w:bottom w:val="single" w:sz="8" w:space="1" w:color="1F497D" w:themeColor="text2"/>
        </w:pBdr>
        <w:ind w:left="567"/>
        <w:jc w:val="both"/>
        <w:rPr>
          <w:i/>
          <w:iCs/>
          <w:color w:val="C00000"/>
        </w:rPr>
      </w:pPr>
      <w:r>
        <w:rPr>
          <w:i/>
          <w:iCs/>
          <w:color w:val="C00000"/>
        </w:rPr>
        <w:t>Lors</w:t>
      </w:r>
      <w:r w:rsidR="001F7AB1">
        <w:rPr>
          <w:i/>
          <w:iCs/>
          <w:color w:val="C00000"/>
        </w:rPr>
        <w:t xml:space="preserve"> du transfert de jours du CET vers le PERCOL-I, le passif social de l’entreprise </w:t>
      </w:r>
      <w:r w:rsidR="00351731">
        <w:rPr>
          <w:i/>
          <w:iCs/>
          <w:color w:val="C00000"/>
        </w:rPr>
        <w:t>diminue</w:t>
      </w:r>
      <w:r w:rsidR="00445469">
        <w:rPr>
          <w:i/>
          <w:iCs/>
          <w:color w:val="C00000"/>
        </w:rPr>
        <w:t>. Or la d</w:t>
      </w:r>
      <w:r w:rsidR="005E43D7">
        <w:rPr>
          <w:i/>
          <w:iCs/>
          <w:color w:val="C00000"/>
        </w:rPr>
        <w:t>irection se plaint souvent en instance de l’ampleur de ce passif social</w:t>
      </w:r>
      <w:r w:rsidRPr="00B84E78">
        <w:rPr>
          <w:i/>
          <w:iCs/>
          <w:color w:val="C00000"/>
        </w:rPr>
        <w:t>.</w:t>
      </w:r>
      <w:r w:rsidR="00351731">
        <w:rPr>
          <w:i/>
          <w:iCs/>
          <w:color w:val="C00000"/>
        </w:rPr>
        <w:t xml:space="preserve"> Ce transfert pourrait </w:t>
      </w:r>
      <w:r w:rsidR="00F27B20">
        <w:rPr>
          <w:i/>
          <w:iCs/>
          <w:color w:val="C00000"/>
        </w:rPr>
        <w:t xml:space="preserve">alors </w:t>
      </w:r>
      <w:r w:rsidR="00351731">
        <w:rPr>
          <w:i/>
          <w:iCs/>
          <w:color w:val="C00000"/>
        </w:rPr>
        <w:t>être abondé. Dans certaines entreprises</w:t>
      </w:r>
      <w:r w:rsidR="001716D9">
        <w:rPr>
          <w:i/>
          <w:iCs/>
          <w:color w:val="C00000"/>
        </w:rPr>
        <w:t xml:space="preserve"> chaque jour transféré est abondé de 30€, soit 300</w:t>
      </w:r>
      <w:r w:rsidR="001718D8">
        <w:rPr>
          <w:i/>
          <w:iCs/>
          <w:color w:val="C00000"/>
        </w:rPr>
        <w:t>€ possibles par an.</w:t>
      </w:r>
    </w:p>
    <w:p w14:paraId="6E8D1473" w14:textId="35565F50" w:rsidR="00670E88" w:rsidRDefault="00670E88" w:rsidP="001E3B8F">
      <w:pPr>
        <w:pStyle w:val="Paragraphedeliste"/>
        <w:ind w:left="1440"/>
        <w:jc w:val="both"/>
      </w:pPr>
    </w:p>
    <w:p w14:paraId="4D934A51" w14:textId="77777777" w:rsidR="00670E88" w:rsidRDefault="00670E88" w:rsidP="001E3B8F">
      <w:pPr>
        <w:pStyle w:val="Paragraphedeliste"/>
        <w:ind w:left="1440"/>
        <w:jc w:val="both"/>
      </w:pPr>
    </w:p>
    <w:p w14:paraId="23EF8646" w14:textId="7A877EBA" w:rsidR="00EC15BA" w:rsidRPr="000D0F00" w:rsidRDefault="00A51AF0" w:rsidP="001E3B8F">
      <w:pPr>
        <w:pStyle w:val="Paragraphedeliste"/>
        <w:numPr>
          <w:ilvl w:val="1"/>
          <w:numId w:val="1"/>
        </w:numPr>
        <w:jc w:val="both"/>
        <w:rPr>
          <w:u w:val="single"/>
        </w:rPr>
      </w:pPr>
      <w:r w:rsidRPr="000D0F00">
        <w:rPr>
          <w:u w:val="single"/>
        </w:rPr>
        <w:t>P</w:t>
      </w:r>
      <w:r w:rsidR="000C32AD" w:rsidRPr="000D0F00">
        <w:rPr>
          <w:u w:val="single"/>
        </w:rPr>
        <w:t>lan d’épargne retraite obligatoire</w:t>
      </w:r>
    </w:p>
    <w:p w14:paraId="3B15966A" w14:textId="505546AB" w:rsidR="000A6961" w:rsidRDefault="00E27CCF" w:rsidP="001E3B8F">
      <w:pPr>
        <w:pStyle w:val="Paragraphedeliste"/>
        <w:ind w:left="1440"/>
        <w:jc w:val="both"/>
      </w:pPr>
      <w:r>
        <w:t>Le PEROB accueille les cotisations obligatoires du régime de retraite supplémentaire</w:t>
      </w:r>
      <w:r w:rsidR="002A4208">
        <w:t>.</w:t>
      </w:r>
      <w:r w:rsidR="0061353B">
        <w:t xml:space="preserve"> </w:t>
      </w:r>
    </w:p>
    <w:p w14:paraId="621B8802" w14:textId="1B7D3E03" w:rsidR="002A4208" w:rsidRDefault="003A360F" w:rsidP="001E3B8F">
      <w:pPr>
        <w:pStyle w:val="Paragraphedeliste"/>
        <w:ind w:left="1440"/>
        <w:jc w:val="both"/>
      </w:pPr>
      <w:r>
        <w:t>L</w:t>
      </w:r>
      <w:r w:rsidR="000B0E29">
        <w:t>’</w:t>
      </w:r>
      <w:r w:rsidR="00B74454">
        <w:t xml:space="preserve">accord CET </w:t>
      </w:r>
      <w:r w:rsidR="000B0E29">
        <w:t>ne prévoit pas la possibilité de transfert de jours du CET vers le PEROB.</w:t>
      </w:r>
      <w:r w:rsidR="00EC455C">
        <w:t xml:space="preserve"> Seuls des versements volontaires en euros peuvent être faits</w:t>
      </w:r>
      <w:r w:rsidR="006E2B1B">
        <w:t>.</w:t>
      </w:r>
    </w:p>
    <w:p w14:paraId="36A053FB" w14:textId="3FC28825" w:rsidR="00B74454" w:rsidRDefault="00B74454" w:rsidP="001E3B8F">
      <w:pPr>
        <w:pStyle w:val="Paragraphedeliste"/>
        <w:ind w:left="1440"/>
        <w:jc w:val="both"/>
      </w:pPr>
    </w:p>
    <w:p w14:paraId="7FE35D11" w14:textId="7FF6BC6E" w:rsidR="0055060C" w:rsidRPr="00C952E1" w:rsidRDefault="00841AAB" w:rsidP="007925E7">
      <w:pPr>
        <w:pStyle w:val="Citationintense"/>
        <w:ind w:right="0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L’analyse de l’Ugict-CGT</w:t>
      </w:r>
    </w:p>
    <w:p w14:paraId="05ADB7E5" w14:textId="1C84AF4C" w:rsidR="00C64E9C" w:rsidRDefault="00C64E9C" w:rsidP="007925E7">
      <w:pPr>
        <w:pStyle w:val="Citationintense"/>
        <w:ind w:right="0"/>
        <w:jc w:val="both"/>
        <w:rPr>
          <w:color w:val="C00000"/>
        </w:rPr>
      </w:pPr>
      <w:r w:rsidRPr="00C64E9C">
        <w:rPr>
          <w:color w:val="C00000"/>
        </w:rPr>
        <w:t>Depuis la loi PACTE de mai 2019, on peut déduire de l’assiette de l’impôt sur le revenu les versements volontaires faits sur les produits de retraite supplémentaire</w:t>
      </w:r>
      <w:r>
        <w:rPr>
          <w:color w:val="C00000"/>
        </w:rPr>
        <w:t>,</w:t>
      </w:r>
      <w:r w:rsidRPr="00C64E9C">
        <w:rPr>
          <w:color w:val="C00000"/>
        </w:rPr>
        <w:t xml:space="preserve"> le PERCOL-I et le PEROB. Ces versements ne doivent pas excéder 10 % des revenus imposables. </w:t>
      </w:r>
      <w:r w:rsidR="001C0E04">
        <w:rPr>
          <w:color w:val="C00000"/>
        </w:rPr>
        <w:t>Il s’agit des cases 6QS 6QT 6QU de la déclaration de revenus</w:t>
      </w:r>
      <w:r w:rsidR="001E5783">
        <w:rPr>
          <w:color w:val="C00000"/>
        </w:rPr>
        <w:t xml:space="preserve"> dans la catégorie des charges déductibles lorsqu’il s’agit de sommes issues d’un CET</w:t>
      </w:r>
      <w:r w:rsidR="007433C0">
        <w:rPr>
          <w:color w:val="C00000"/>
        </w:rPr>
        <w:t>. Et/ou des cases 6NS 6NT 6NU pour les versements volontaires sur un PER</w:t>
      </w:r>
      <w:r w:rsidR="00E32ACF">
        <w:rPr>
          <w:color w:val="C00000"/>
        </w:rPr>
        <w:t xml:space="preserve"> déductibles.</w:t>
      </w:r>
    </w:p>
    <w:p w14:paraId="330AEC91" w14:textId="761F2AF1" w:rsidR="00AA0FD1" w:rsidRDefault="00AA0FD1" w:rsidP="007925E7">
      <w:pPr>
        <w:pStyle w:val="Citationintense"/>
        <w:ind w:right="0"/>
        <w:jc w:val="both"/>
        <w:rPr>
          <w:color w:val="C00000"/>
        </w:rPr>
      </w:pPr>
      <w:r>
        <w:rPr>
          <w:color w:val="C00000"/>
        </w:rPr>
        <w:lastRenderedPageBreak/>
        <w:t xml:space="preserve">Les versements volontaires sur les produits de retraite supplémentaire peuvent être un outil de réduction de l’imposition. Toutefois il faut garder à l’esprit que l’impôt sera prélevé lors du </w:t>
      </w:r>
      <w:r w:rsidR="003123D9">
        <w:rPr>
          <w:color w:val="C00000"/>
        </w:rPr>
        <w:t xml:space="preserve">versement </w:t>
      </w:r>
      <w:r w:rsidR="00AB7F2D">
        <w:rPr>
          <w:color w:val="C00000"/>
        </w:rPr>
        <w:t>de la rente ou du capital</w:t>
      </w:r>
      <w:r>
        <w:rPr>
          <w:color w:val="C00000"/>
        </w:rPr>
        <w:t>. Mais c’est intéressant si la tranche marginale d’imposition est plus élevée durant l’activité que durant la retraite.</w:t>
      </w:r>
    </w:p>
    <w:p w14:paraId="4F1BD946" w14:textId="7AC3E017" w:rsidR="00AA0FD1" w:rsidRDefault="00342B1E" w:rsidP="007925E7">
      <w:pPr>
        <w:pStyle w:val="Citationintense"/>
        <w:ind w:right="0"/>
        <w:jc w:val="both"/>
        <w:rPr>
          <w:color w:val="C00000"/>
        </w:rPr>
      </w:pPr>
      <w:r>
        <w:rPr>
          <w:color w:val="C00000"/>
        </w:rPr>
        <w:t>Exemple :</w:t>
      </w:r>
      <w:r>
        <w:rPr>
          <w:color w:val="C00000"/>
        </w:rPr>
        <w:br/>
      </w:r>
      <w:r w:rsidR="004A2766">
        <w:rPr>
          <w:color w:val="C00000"/>
        </w:rPr>
        <w:t>Joséphine</w:t>
      </w:r>
      <w:r w:rsidR="007B2039">
        <w:rPr>
          <w:color w:val="C00000"/>
        </w:rPr>
        <w:t>, célibataire sans enfant,</w:t>
      </w:r>
      <w:r w:rsidR="004A2766">
        <w:rPr>
          <w:color w:val="C00000"/>
        </w:rPr>
        <w:t xml:space="preserve"> gagne</w:t>
      </w:r>
      <w:r w:rsidR="007B2039">
        <w:rPr>
          <w:color w:val="C00000"/>
        </w:rPr>
        <w:t xml:space="preserve"> 2500</w:t>
      </w:r>
      <w:r w:rsidR="00E25286">
        <w:rPr>
          <w:color w:val="C00000"/>
        </w:rPr>
        <w:t xml:space="preserve"> € nets par mois, soit 30.000 € </w:t>
      </w:r>
      <w:r w:rsidR="00DE20F2">
        <w:rPr>
          <w:color w:val="C00000"/>
        </w:rPr>
        <w:t>par an, soit 27.000 € de revenu net imposable après l’abattement de 10 %.</w:t>
      </w:r>
      <w:r w:rsidR="00D62FB8">
        <w:rPr>
          <w:color w:val="C00000"/>
        </w:rPr>
        <w:br/>
        <w:t>Le tableau 1 indique son impôt</w:t>
      </w:r>
      <w:r w:rsidR="00310B1B">
        <w:rPr>
          <w:color w:val="C00000"/>
        </w:rPr>
        <w:t xml:space="preserve"> </w:t>
      </w:r>
      <w:r w:rsidR="00271140">
        <w:rPr>
          <w:color w:val="C00000"/>
        </w:rPr>
        <w:t>sans épargne</w:t>
      </w:r>
      <w:r w:rsidR="00591CAF">
        <w:rPr>
          <w:color w:val="C00000"/>
        </w:rPr>
        <w:t xml:space="preserve">, le taux marginal d’imposition s’élève à </w:t>
      </w:r>
      <m:oMath>
        <m:r>
          <w:rPr>
            <w:rFonts w:ascii="Cambria Math" w:hAnsi="Cambria Math" w:cs="Arial"/>
            <w:color w:val="C00000"/>
            <w:sz w:val="20"/>
            <w:szCs w:val="20"/>
          </w:rPr>
          <m:t>2022÷27000=7,5%</m:t>
        </m:r>
      </m:oMath>
      <w:r w:rsidR="00271140">
        <w:rPr>
          <w:color w:val="C00000"/>
        </w:rPr>
        <w:t> :</w:t>
      </w:r>
      <w:r w:rsidR="00271140">
        <w:rPr>
          <w:color w:val="C00000"/>
        </w:rPr>
        <w:br/>
      </w:r>
      <w:r w:rsidR="00E624F4" w:rsidRPr="00E624F4">
        <w:rPr>
          <w:noProof/>
          <w:color w:val="C00000"/>
        </w:rPr>
        <w:drawing>
          <wp:inline distT="0" distB="0" distL="0" distR="0" wp14:anchorId="708CDDB9" wp14:editId="176166B6">
            <wp:extent cx="3617669" cy="1190625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7593" cy="12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014">
        <w:rPr>
          <w:color w:val="C00000"/>
        </w:rPr>
        <w:br/>
      </w:r>
      <w:r w:rsidR="00B13E37">
        <w:rPr>
          <w:color w:val="C00000"/>
        </w:rPr>
        <w:t>Si elle verse 75€ par mois sur son PEROB, ou 8 jours de CET sur son PERCOL-I, soit 900€ de</w:t>
      </w:r>
      <w:r w:rsidR="007105A0">
        <w:rPr>
          <w:color w:val="C00000"/>
        </w:rPr>
        <w:t xml:space="preserve"> versements volontaires, ils seront déductible</w:t>
      </w:r>
      <w:r w:rsidR="00582BD1">
        <w:rPr>
          <w:color w:val="C00000"/>
        </w:rPr>
        <w:t>s</w:t>
      </w:r>
      <w:r w:rsidR="007105A0">
        <w:rPr>
          <w:color w:val="C00000"/>
        </w:rPr>
        <w:t xml:space="preserve"> de sa tranche d’imposition la plus élevée, à 30%</w:t>
      </w:r>
      <w:r w:rsidR="000143A6">
        <w:rPr>
          <w:color w:val="C00000"/>
        </w:rPr>
        <w:t>. Son imposition deviendra celle du tableau 2, soit</w:t>
      </w:r>
      <w:r w:rsidR="00AF7101">
        <w:rPr>
          <w:color w:val="C00000"/>
        </w:rPr>
        <w:t xml:space="preserve"> une économie d’impôt de </w:t>
      </w:r>
      <w:r w:rsidR="00D470E5">
        <w:rPr>
          <w:color w:val="C00000"/>
        </w:rPr>
        <w:t>27</w:t>
      </w:r>
      <w:r w:rsidR="00AF7101">
        <w:rPr>
          <w:color w:val="C00000"/>
        </w:rPr>
        <w:t>0€</w:t>
      </w:r>
      <w:r w:rsidR="00DD4EED">
        <w:rPr>
          <w:color w:val="C00000"/>
        </w:rPr>
        <w:t>.</w:t>
      </w:r>
      <w:r w:rsidR="000143A6">
        <w:rPr>
          <w:color w:val="C00000"/>
        </w:rPr>
        <w:t xml:space="preserve"> </w:t>
      </w:r>
      <w:r w:rsidR="00AA6242">
        <w:rPr>
          <w:color w:val="C00000"/>
        </w:rPr>
        <w:t xml:space="preserve"> </w:t>
      </w:r>
    </w:p>
    <w:p w14:paraId="384A7288" w14:textId="77777777" w:rsidR="00C952E1" w:rsidRDefault="00C952E1" w:rsidP="007925E7">
      <w:pPr>
        <w:jc w:val="both"/>
        <w:rPr>
          <w:b/>
          <w:bCs/>
          <w:i/>
          <w:iCs/>
          <w:color w:val="C00000"/>
        </w:rPr>
      </w:pPr>
    </w:p>
    <w:p w14:paraId="4C639D5D" w14:textId="2D29685B" w:rsidR="005841F7" w:rsidRPr="00C952E1" w:rsidRDefault="005841F7" w:rsidP="007925E7">
      <w:pPr>
        <w:pStyle w:val="Citationintense"/>
        <w:ind w:right="0"/>
        <w:jc w:val="both"/>
        <w:rPr>
          <w:b/>
          <w:bCs/>
          <w:color w:val="C00000"/>
          <w:sz w:val="24"/>
          <w:szCs w:val="24"/>
        </w:rPr>
      </w:pPr>
      <w:r w:rsidRPr="00C952E1">
        <w:rPr>
          <w:b/>
          <w:bCs/>
          <w:color w:val="C00000"/>
          <w:sz w:val="24"/>
          <w:szCs w:val="24"/>
        </w:rPr>
        <w:t xml:space="preserve">La </w:t>
      </w:r>
      <w:r w:rsidR="00853311">
        <w:rPr>
          <w:b/>
          <w:bCs/>
          <w:color w:val="C00000"/>
          <w:sz w:val="24"/>
          <w:szCs w:val="24"/>
        </w:rPr>
        <w:t>revendication de la</w:t>
      </w:r>
      <w:r w:rsidRPr="00C952E1">
        <w:rPr>
          <w:b/>
          <w:bCs/>
          <w:color w:val="C00000"/>
          <w:sz w:val="24"/>
          <w:szCs w:val="24"/>
        </w:rPr>
        <w:t xml:space="preserve"> CGT</w:t>
      </w:r>
      <w:r w:rsidR="00FC16DF">
        <w:rPr>
          <w:b/>
          <w:bCs/>
          <w:color w:val="C00000"/>
          <w:sz w:val="24"/>
          <w:szCs w:val="24"/>
        </w:rPr>
        <w:t> :</w:t>
      </w:r>
      <w:r w:rsidRPr="00C952E1">
        <w:rPr>
          <w:b/>
          <w:bCs/>
          <w:color w:val="C00000"/>
          <w:sz w:val="24"/>
          <w:szCs w:val="24"/>
        </w:rPr>
        <w:t xml:space="preserve"> </w:t>
      </w:r>
    </w:p>
    <w:p w14:paraId="55A67C61" w14:textId="106D1B4A" w:rsidR="00550E5F" w:rsidRPr="00C33764" w:rsidRDefault="003A33D4" w:rsidP="007925E7">
      <w:pPr>
        <w:pStyle w:val="Citationintense"/>
        <w:ind w:right="0"/>
        <w:jc w:val="both"/>
        <w:rPr>
          <w:color w:val="C00000"/>
        </w:rPr>
      </w:pPr>
      <w:r>
        <w:rPr>
          <w:rFonts w:cstheme="minorHAnsi"/>
          <w:color w:val="C00000"/>
        </w:rPr>
        <w:t>L</w:t>
      </w:r>
      <w:r w:rsidR="00094D60">
        <w:rPr>
          <w:rFonts w:cstheme="minorHAnsi"/>
          <w:color w:val="C00000"/>
        </w:rPr>
        <w:t xml:space="preserve">es primes </w:t>
      </w:r>
      <w:r w:rsidR="0061755C">
        <w:rPr>
          <w:rFonts w:cstheme="minorHAnsi"/>
          <w:color w:val="C00000"/>
        </w:rPr>
        <w:t>de pouvoir d’achat</w:t>
      </w:r>
      <w:r w:rsidR="00094D60">
        <w:rPr>
          <w:rFonts w:cstheme="minorHAnsi"/>
          <w:color w:val="C00000"/>
        </w:rPr>
        <w:t>, l</w:t>
      </w:r>
      <w:r>
        <w:rPr>
          <w:rFonts w:cstheme="minorHAnsi"/>
          <w:color w:val="C00000"/>
        </w:rPr>
        <w:t>’intéressement</w:t>
      </w:r>
      <w:r w:rsidR="00F13221">
        <w:rPr>
          <w:rFonts w:cstheme="minorHAnsi"/>
          <w:color w:val="C00000"/>
        </w:rPr>
        <w:t>,</w:t>
      </w:r>
      <w:r>
        <w:rPr>
          <w:rFonts w:cstheme="minorHAnsi"/>
          <w:color w:val="C00000"/>
        </w:rPr>
        <w:t xml:space="preserve"> la participation</w:t>
      </w:r>
      <w:r w:rsidR="00F13221">
        <w:rPr>
          <w:rFonts w:cstheme="minorHAnsi"/>
          <w:color w:val="C00000"/>
        </w:rPr>
        <w:t xml:space="preserve"> et les abondements de l’employeur</w:t>
      </w:r>
      <w:r w:rsidR="00227D59">
        <w:rPr>
          <w:rFonts w:cstheme="minorHAnsi"/>
          <w:color w:val="C00000"/>
        </w:rPr>
        <w:t xml:space="preserve"> sont des éléments de rémunération qui doivent </w:t>
      </w:r>
      <w:r w:rsidR="00E51EFB">
        <w:rPr>
          <w:rFonts w:cstheme="minorHAnsi"/>
          <w:color w:val="C00000"/>
        </w:rPr>
        <w:t>faire partie de l’assiette de prélèvement des</w:t>
      </w:r>
      <w:r w:rsidR="00227D59">
        <w:rPr>
          <w:rFonts w:cstheme="minorHAnsi"/>
          <w:color w:val="C00000"/>
        </w:rPr>
        <w:t xml:space="preserve"> cotisations </w:t>
      </w:r>
      <w:r w:rsidR="00924AA9">
        <w:rPr>
          <w:rFonts w:cstheme="minorHAnsi"/>
          <w:color w:val="C00000"/>
        </w:rPr>
        <w:t>sociales</w:t>
      </w:r>
      <w:r w:rsidR="00A25E09" w:rsidRPr="00C33764">
        <w:rPr>
          <w:color w:val="C00000"/>
        </w:rPr>
        <w:t>.</w:t>
      </w:r>
      <w:r w:rsidR="00924AA9">
        <w:rPr>
          <w:color w:val="C00000"/>
        </w:rPr>
        <w:t xml:space="preserve"> A</w:t>
      </w:r>
      <w:r w:rsidR="0061755C">
        <w:rPr>
          <w:color w:val="C00000"/>
        </w:rPr>
        <w:t>fin que</w:t>
      </w:r>
      <w:r w:rsidR="00924AA9">
        <w:rPr>
          <w:color w:val="C00000"/>
        </w:rPr>
        <w:t xml:space="preserve"> ces sommes participent </w:t>
      </w:r>
      <w:r w:rsidR="00316711">
        <w:rPr>
          <w:color w:val="C00000"/>
        </w:rPr>
        <w:t>au financement de notre système de santé et s</w:t>
      </w:r>
      <w:r w:rsidR="009E2C56">
        <w:rPr>
          <w:color w:val="C00000"/>
        </w:rPr>
        <w:t>oien</w:t>
      </w:r>
      <w:r w:rsidR="00316711">
        <w:rPr>
          <w:color w:val="C00000"/>
        </w:rPr>
        <w:t>t prises en compte dans le calcul des retraites.</w:t>
      </w:r>
    </w:p>
    <w:p w14:paraId="41A86976" w14:textId="77777777" w:rsidR="00993089" w:rsidRDefault="00993089" w:rsidP="001E3B8F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35AD9BC2" w14:textId="77777777" w:rsidR="00993089" w:rsidRDefault="00993089" w:rsidP="00C952E1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6ADE6DF2" w14:textId="77777777" w:rsidR="00C17C00" w:rsidRPr="00C17C00" w:rsidRDefault="00C17C00" w:rsidP="00C17C00"/>
    <w:p w14:paraId="5390AD44" w14:textId="77777777" w:rsidR="00C17C00" w:rsidRDefault="00C17C00" w:rsidP="00C17C00">
      <w:pPr>
        <w:jc w:val="both"/>
        <w:rPr>
          <w:b/>
          <w:bCs/>
          <w:color w:val="5F497A" w:themeColor="accent4" w:themeShade="BF"/>
          <w:sz w:val="28"/>
          <w:szCs w:val="28"/>
        </w:rPr>
      </w:pPr>
    </w:p>
    <w:p w14:paraId="53F47CC6" w14:textId="77777777" w:rsidR="00D32D99" w:rsidRPr="000B71CC" w:rsidRDefault="00D32D99" w:rsidP="00C952E1">
      <w:pPr>
        <w:jc w:val="both"/>
        <w:rPr>
          <w:color w:val="5F497A" w:themeColor="accent4" w:themeShade="BF"/>
          <w:sz w:val="28"/>
          <w:szCs w:val="28"/>
        </w:rPr>
      </w:pPr>
    </w:p>
    <w:sectPr w:rsidR="00D32D99" w:rsidRPr="000B71CC" w:rsidSect="000607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FE25" w14:textId="77777777" w:rsidR="00213657" w:rsidRDefault="00213657" w:rsidP="008A5B52">
      <w:pPr>
        <w:spacing w:after="0" w:line="240" w:lineRule="auto"/>
      </w:pPr>
      <w:r>
        <w:separator/>
      </w:r>
    </w:p>
  </w:endnote>
  <w:endnote w:type="continuationSeparator" w:id="0">
    <w:p w14:paraId="14F81C41" w14:textId="77777777" w:rsidR="00213657" w:rsidRDefault="00213657" w:rsidP="008A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DC08" w14:textId="77777777" w:rsidR="000607DF" w:rsidRDefault="000607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482" w14:textId="35E61A12" w:rsidR="008A5B52" w:rsidRPr="008A5B52" w:rsidRDefault="000607DF">
    <w:pPr>
      <w:pStyle w:val="Pieddepage"/>
      <w:rPr>
        <w:sz w:val="20"/>
        <w:szCs w:val="20"/>
      </w:rPr>
    </w:pPr>
    <w:r>
      <w:rPr>
        <w:sz w:val="20"/>
        <w:szCs w:val="20"/>
      </w:rPr>
      <w:t>Ugict-</w:t>
    </w:r>
    <w:r w:rsidR="008A5B52" w:rsidRPr="008A5B52">
      <w:rPr>
        <w:sz w:val="20"/>
        <w:szCs w:val="20"/>
      </w:rPr>
      <w:t>CGT G</w:t>
    </w:r>
    <w:r>
      <w:rPr>
        <w:sz w:val="20"/>
        <w:szCs w:val="20"/>
      </w:rPr>
      <w:t>MA</w:t>
    </w:r>
    <w:r w:rsidR="008A5B52" w:rsidRPr="008A5B52">
      <w:rPr>
        <w:sz w:val="20"/>
        <w:szCs w:val="20"/>
      </w:rPr>
      <w:t xml:space="preserve"> – </w:t>
    </w:r>
    <w:r w:rsidR="00550E5F">
      <w:rPr>
        <w:sz w:val="20"/>
        <w:szCs w:val="20"/>
      </w:rPr>
      <w:t xml:space="preserve">Note d’étude </w:t>
    </w:r>
    <w:r w:rsidR="00792502">
      <w:rPr>
        <w:sz w:val="20"/>
        <w:szCs w:val="20"/>
      </w:rPr>
      <w:t>CET</w:t>
    </w:r>
    <w:r w:rsidR="008A5B52" w:rsidRPr="008A5B52">
      <w:rPr>
        <w:sz w:val="20"/>
        <w:szCs w:val="20"/>
      </w:rPr>
      <w:t xml:space="preserve"> – </w:t>
    </w:r>
    <w:r w:rsidR="00792502">
      <w:rPr>
        <w:sz w:val="20"/>
        <w:szCs w:val="20"/>
      </w:rPr>
      <w:t>août</w:t>
    </w:r>
    <w:r w:rsidR="008A5B52" w:rsidRPr="008A5B52">
      <w:rPr>
        <w:sz w:val="20"/>
        <w:szCs w:val="20"/>
      </w:rPr>
      <w:t xml:space="preserve"> 2022</w:t>
    </w:r>
  </w:p>
  <w:p w14:paraId="1B10DFDE" w14:textId="77777777" w:rsidR="008A5B52" w:rsidRDefault="008A5B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B136" w14:textId="77777777" w:rsidR="000607DF" w:rsidRDefault="000607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C769" w14:textId="77777777" w:rsidR="00213657" w:rsidRDefault="00213657" w:rsidP="008A5B52">
      <w:pPr>
        <w:spacing w:after="0" w:line="240" w:lineRule="auto"/>
      </w:pPr>
      <w:r>
        <w:separator/>
      </w:r>
    </w:p>
  </w:footnote>
  <w:footnote w:type="continuationSeparator" w:id="0">
    <w:p w14:paraId="6594B81E" w14:textId="77777777" w:rsidR="00213657" w:rsidRDefault="00213657" w:rsidP="008A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BBC0" w14:textId="77777777" w:rsidR="000607DF" w:rsidRDefault="000607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C616" w14:textId="77777777" w:rsidR="000607DF" w:rsidRDefault="000607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7354" w14:textId="77777777" w:rsidR="000607DF" w:rsidRDefault="000607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0F08"/>
    <w:multiLevelType w:val="hybridMultilevel"/>
    <w:tmpl w:val="15D28C42"/>
    <w:lvl w:ilvl="0" w:tplc="D2A0C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2A1D"/>
    <w:multiLevelType w:val="hybridMultilevel"/>
    <w:tmpl w:val="66100430"/>
    <w:lvl w:ilvl="0" w:tplc="1B40A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4E4"/>
    <w:multiLevelType w:val="hybridMultilevel"/>
    <w:tmpl w:val="D4AC5878"/>
    <w:lvl w:ilvl="0" w:tplc="F16C6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E53B7"/>
    <w:multiLevelType w:val="hybridMultilevel"/>
    <w:tmpl w:val="B6D8FB66"/>
    <w:lvl w:ilvl="0" w:tplc="7F46343E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1DDE"/>
    <w:multiLevelType w:val="hybridMultilevel"/>
    <w:tmpl w:val="A7F28098"/>
    <w:lvl w:ilvl="0" w:tplc="183AA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6D6B"/>
    <w:multiLevelType w:val="hybridMultilevel"/>
    <w:tmpl w:val="AD588D7C"/>
    <w:lvl w:ilvl="0" w:tplc="BED6B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73453"/>
    <w:multiLevelType w:val="hybridMultilevel"/>
    <w:tmpl w:val="980EBF9E"/>
    <w:lvl w:ilvl="0" w:tplc="1180A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535F"/>
    <w:multiLevelType w:val="hybridMultilevel"/>
    <w:tmpl w:val="10FC1678"/>
    <w:lvl w:ilvl="0" w:tplc="AC8C1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CB"/>
    <w:rsid w:val="00010E8D"/>
    <w:rsid w:val="00013F3D"/>
    <w:rsid w:val="000143A6"/>
    <w:rsid w:val="000152DC"/>
    <w:rsid w:val="00015AED"/>
    <w:rsid w:val="00026DB5"/>
    <w:rsid w:val="00030AB8"/>
    <w:rsid w:val="000325DA"/>
    <w:rsid w:val="00051E50"/>
    <w:rsid w:val="000607DF"/>
    <w:rsid w:val="000646E3"/>
    <w:rsid w:val="0006649D"/>
    <w:rsid w:val="00072DB1"/>
    <w:rsid w:val="0008332F"/>
    <w:rsid w:val="00085BE5"/>
    <w:rsid w:val="00094D60"/>
    <w:rsid w:val="000A3B31"/>
    <w:rsid w:val="000A4343"/>
    <w:rsid w:val="000A593A"/>
    <w:rsid w:val="000A6961"/>
    <w:rsid w:val="000B0A12"/>
    <w:rsid w:val="000B0E29"/>
    <w:rsid w:val="000B21FE"/>
    <w:rsid w:val="000B56C9"/>
    <w:rsid w:val="000B71CC"/>
    <w:rsid w:val="000C0E22"/>
    <w:rsid w:val="000C32AD"/>
    <w:rsid w:val="000C4087"/>
    <w:rsid w:val="000D0F00"/>
    <w:rsid w:val="000D3E7C"/>
    <w:rsid w:val="000E3641"/>
    <w:rsid w:val="000E3731"/>
    <w:rsid w:val="000F59E8"/>
    <w:rsid w:val="001068FB"/>
    <w:rsid w:val="00111BE3"/>
    <w:rsid w:val="00114CF4"/>
    <w:rsid w:val="00115ED0"/>
    <w:rsid w:val="00124210"/>
    <w:rsid w:val="00137401"/>
    <w:rsid w:val="001539AB"/>
    <w:rsid w:val="001556FB"/>
    <w:rsid w:val="00155BAC"/>
    <w:rsid w:val="00162014"/>
    <w:rsid w:val="00163953"/>
    <w:rsid w:val="001716D9"/>
    <w:rsid w:val="001718D8"/>
    <w:rsid w:val="001A02D1"/>
    <w:rsid w:val="001C0E04"/>
    <w:rsid w:val="001C7CDD"/>
    <w:rsid w:val="001E3B8F"/>
    <w:rsid w:val="001E4708"/>
    <w:rsid w:val="001E5783"/>
    <w:rsid w:val="001F0A8A"/>
    <w:rsid w:val="001F0C45"/>
    <w:rsid w:val="001F2BE9"/>
    <w:rsid w:val="001F737D"/>
    <w:rsid w:val="001F7AB1"/>
    <w:rsid w:val="00201634"/>
    <w:rsid w:val="00207166"/>
    <w:rsid w:val="00213657"/>
    <w:rsid w:val="00227D59"/>
    <w:rsid w:val="00250B73"/>
    <w:rsid w:val="0025293E"/>
    <w:rsid w:val="00254636"/>
    <w:rsid w:val="0025582B"/>
    <w:rsid w:val="0025748C"/>
    <w:rsid w:val="002618A8"/>
    <w:rsid w:val="00266555"/>
    <w:rsid w:val="00271140"/>
    <w:rsid w:val="00281EDE"/>
    <w:rsid w:val="00283EB6"/>
    <w:rsid w:val="0029578F"/>
    <w:rsid w:val="002966ED"/>
    <w:rsid w:val="00296DBD"/>
    <w:rsid w:val="002A4208"/>
    <w:rsid w:val="002A44C6"/>
    <w:rsid w:val="002A70B7"/>
    <w:rsid w:val="002B3228"/>
    <w:rsid w:val="002B6777"/>
    <w:rsid w:val="002C3E22"/>
    <w:rsid w:val="002E696F"/>
    <w:rsid w:val="00300391"/>
    <w:rsid w:val="0030595E"/>
    <w:rsid w:val="00310B1B"/>
    <w:rsid w:val="003123D9"/>
    <w:rsid w:val="00316711"/>
    <w:rsid w:val="0032462D"/>
    <w:rsid w:val="00342B1E"/>
    <w:rsid w:val="00347591"/>
    <w:rsid w:val="003478C1"/>
    <w:rsid w:val="00351731"/>
    <w:rsid w:val="00351C6B"/>
    <w:rsid w:val="00374524"/>
    <w:rsid w:val="00381CAA"/>
    <w:rsid w:val="00384D3E"/>
    <w:rsid w:val="00385485"/>
    <w:rsid w:val="003A19F2"/>
    <w:rsid w:val="003A33D4"/>
    <w:rsid w:val="003A360F"/>
    <w:rsid w:val="003A364B"/>
    <w:rsid w:val="003A365A"/>
    <w:rsid w:val="003B747A"/>
    <w:rsid w:val="003D3488"/>
    <w:rsid w:val="003D41AD"/>
    <w:rsid w:val="003D75A6"/>
    <w:rsid w:val="003E65C9"/>
    <w:rsid w:val="003F07C8"/>
    <w:rsid w:val="00404BBE"/>
    <w:rsid w:val="00412107"/>
    <w:rsid w:val="00416BB4"/>
    <w:rsid w:val="004226C1"/>
    <w:rsid w:val="00435E19"/>
    <w:rsid w:val="00441F12"/>
    <w:rsid w:val="00445469"/>
    <w:rsid w:val="00446FEA"/>
    <w:rsid w:val="004626F0"/>
    <w:rsid w:val="00470C3D"/>
    <w:rsid w:val="004853C6"/>
    <w:rsid w:val="0049082A"/>
    <w:rsid w:val="00491C5F"/>
    <w:rsid w:val="004933DF"/>
    <w:rsid w:val="004945C2"/>
    <w:rsid w:val="004A2766"/>
    <w:rsid w:val="004B06FD"/>
    <w:rsid w:val="004C2102"/>
    <w:rsid w:val="004D0C06"/>
    <w:rsid w:val="004E00E2"/>
    <w:rsid w:val="004E35EE"/>
    <w:rsid w:val="004E4209"/>
    <w:rsid w:val="004F02E9"/>
    <w:rsid w:val="004F1459"/>
    <w:rsid w:val="00501E2B"/>
    <w:rsid w:val="005106EF"/>
    <w:rsid w:val="005154EC"/>
    <w:rsid w:val="00517626"/>
    <w:rsid w:val="00517826"/>
    <w:rsid w:val="00522D02"/>
    <w:rsid w:val="005369BA"/>
    <w:rsid w:val="00536E55"/>
    <w:rsid w:val="00544006"/>
    <w:rsid w:val="00546F3A"/>
    <w:rsid w:val="0055060C"/>
    <w:rsid w:val="00550E5F"/>
    <w:rsid w:val="00581BB8"/>
    <w:rsid w:val="00582BD1"/>
    <w:rsid w:val="005841F7"/>
    <w:rsid w:val="005875E7"/>
    <w:rsid w:val="00591CAF"/>
    <w:rsid w:val="005962D7"/>
    <w:rsid w:val="005A1E21"/>
    <w:rsid w:val="005B6A00"/>
    <w:rsid w:val="005D4984"/>
    <w:rsid w:val="005E43D7"/>
    <w:rsid w:val="005F0F3A"/>
    <w:rsid w:val="005F63D5"/>
    <w:rsid w:val="00610C67"/>
    <w:rsid w:val="006133B7"/>
    <w:rsid w:val="0061353B"/>
    <w:rsid w:val="00616705"/>
    <w:rsid w:val="0061755C"/>
    <w:rsid w:val="00631E3F"/>
    <w:rsid w:val="00645FA0"/>
    <w:rsid w:val="00650E92"/>
    <w:rsid w:val="006544D8"/>
    <w:rsid w:val="00654865"/>
    <w:rsid w:val="0066116F"/>
    <w:rsid w:val="00661C1D"/>
    <w:rsid w:val="00670E88"/>
    <w:rsid w:val="00672CE7"/>
    <w:rsid w:val="00673614"/>
    <w:rsid w:val="006754B7"/>
    <w:rsid w:val="006806B8"/>
    <w:rsid w:val="00684852"/>
    <w:rsid w:val="00684B49"/>
    <w:rsid w:val="006A5512"/>
    <w:rsid w:val="006B7517"/>
    <w:rsid w:val="006C222B"/>
    <w:rsid w:val="006C38D4"/>
    <w:rsid w:val="006E1C46"/>
    <w:rsid w:val="006E2B1B"/>
    <w:rsid w:val="006E7BC6"/>
    <w:rsid w:val="006F7BFF"/>
    <w:rsid w:val="0071030E"/>
    <w:rsid w:val="007105A0"/>
    <w:rsid w:val="00713E0C"/>
    <w:rsid w:val="00713FF3"/>
    <w:rsid w:val="007144D6"/>
    <w:rsid w:val="007157E2"/>
    <w:rsid w:val="00715CB1"/>
    <w:rsid w:val="00725DEE"/>
    <w:rsid w:val="0073128F"/>
    <w:rsid w:val="007326F5"/>
    <w:rsid w:val="00742097"/>
    <w:rsid w:val="007433C0"/>
    <w:rsid w:val="00754E88"/>
    <w:rsid w:val="007606D3"/>
    <w:rsid w:val="007644E5"/>
    <w:rsid w:val="00765DC0"/>
    <w:rsid w:val="007667F8"/>
    <w:rsid w:val="0077618D"/>
    <w:rsid w:val="00783050"/>
    <w:rsid w:val="007869A6"/>
    <w:rsid w:val="00787847"/>
    <w:rsid w:val="00792502"/>
    <w:rsid w:val="007925E7"/>
    <w:rsid w:val="007955AA"/>
    <w:rsid w:val="007A12BE"/>
    <w:rsid w:val="007A16F6"/>
    <w:rsid w:val="007B2039"/>
    <w:rsid w:val="007C21F5"/>
    <w:rsid w:val="007C5948"/>
    <w:rsid w:val="007D26CB"/>
    <w:rsid w:val="007D2834"/>
    <w:rsid w:val="007F0508"/>
    <w:rsid w:val="007F2255"/>
    <w:rsid w:val="008019CB"/>
    <w:rsid w:val="00805B73"/>
    <w:rsid w:val="008275F0"/>
    <w:rsid w:val="008352D4"/>
    <w:rsid w:val="008404DF"/>
    <w:rsid w:val="00840F2A"/>
    <w:rsid w:val="00841AAB"/>
    <w:rsid w:val="00843C1B"/>
    <w:rsid w:val="00853311"/>
    <w:rsid w:val="00854A71"/>
    <w:rsid w:val="00862E20"/>
    <w:rsid w:val="0086305E"/>
    <w:rsid w:val="00864FE9"/>
    <w:rsid w:val="00873FF5"/>
    <w:rsid w:val="00876F3D"/>
    <w:rsid w:val="008926A8"/>
    <w:rsid w:val="00893A8F"/>
    <w:rsid w:val="008A2A05"/>
    <w:rsid w:val="008A2A41"/>
    <w:rsid w:val="008A40CA"/>
    <w:rsid w:val="008A5B52"/>
    <w:rsid w:val="008A7875"/>
    <w:rsid w:val="008B018A"/>
    <w:rsid w:val="008C245B"/>
    <w:rsid w:val="008D2676"/>
    <w:rsid w:val="008D52A6"/>
    <w:rsid w:val="008D6512"/>
    <w:rsid w:val="008D71C1"/>
    <w:rsid w:val="008E3AC5"/>
    <w:rsid w:val="008F0F65"/>
    <w:rsid w:val="008F51D3"/>
    <w:rsid w:val="008F6816"/>
    <w:rsid w:val="0090601C"/>
    <w:rsid w:val="0091306E"/>
    <w:rsid w:val="00917502"/>
    <w:rsid w:val="00922599"/>
    <w:rsid w:val="00924AA9"/>
    <w:rsid w:val="009500D1"/>
    <w:rsid w:val="009771D3"/>
    <w:rsid w:val="00990358"/>
    <w:rsid w:val="00993089"/>
    <w:rsid w:val="009931AA"/>
    <w:rsid w:val="009A20B9"/>
    <w:rsid w:val="009A3A59"/>
    <w:rsid w:val="009B2083"/>
    <w:rsid w:val="009C09B2"/>
    <w:rsid w:val="009C7C9E"/>
    <w:rsid w:val="009E1623"/>
    <w:rsid w:val="009E2C56"/>
    <w:rsid w:val="009E4A61"/>
    <w:rsid w:val="009E4FD3"/>
    <w:rsid w:val="009E779F"/>
    <w:rsid w:val="00A02BB2"/>
    <w:rsid w:val="00A04949"/>
    <w:rsid w:val="00A144E5"/>
    <w:rsid w:val="00A148D6"/>
    <w:rsid w:val="00A20472"/>
    <w:rsid w:val="00A24121"/>
    <w:rsid w:val="00A25247"/>
    <w:rsid w:val="00A25A83"/>
    <w:rsid w:val="00A25E09"/>
    <w:rsid w:val="00A274B3"/>
    <w:rsid w:val="00A30C58"/>
    <w:rsid w:val="00A37FD1"/>
    <w:rsid w:val="00A44C73"/>
    <w:rsid w:val="00A44E8D"/>
    <w:rsid w:val="00A47BFB"/>
    <w:rsid w:val="00A50773"/>
    <w:rsid w:val="00A51AF0"/>
    <w:rsid w:val="00A55AF1"/>
    <w:rsid w:val="00A569DD"/>
    <w:rsid w:val="00A6030F"/>
    <w:rsid w:val="00A736F3"/>
    <w:rsid w:val="00A744C7"/>
    <w:rsid w:val="00A75F99"/>
    <w:rsid w:val="00A81568"/>
    <w:rsid w:val="00A854E1"/>
    <w:rsid w:val="00AA09B2"/>
    <w:rsid w:val="00AA0FD1"/>
    <w:rsid w:val="00AA6242"/>
    <w:rsid w:val="00AB0941"/>
    <w:rsid w:val="00AB4A7B"/>
    <w:rsid w:val="00AB59AC"/>
    <w:rsid w:val="00AB7F2D"/>
    <w:rsid w:val="00AC3B88"/>
    <w:rsid w:val="00AC5E9D"/>
    <w:rsid w:val="00AD25D9"/>
    <w:rsid w:val="00AD3772"/>
    <w:rsid w:val="00AF2235"/>
    <w:rsid w:val="00AF4BCB"/>
    <w:rsid w:val="00AF7101"/>
    <w:rsid w:val="00AF7AA7"/>
    <w:rsid w:val="00B00A78"/>
    <w:rsid w:val="00B06E2F"/>
    <w:rsid w:val="00B13E37"/>
    <w:rsid w:val="00B33E74"/>
    <w:rsid w:val="00B35F0F"/>
    <w:rsid w:val="00B36963"/>
    <w:rsid w:val="00B41AA5"/>
    <w:rsid w:val="00B43A82"/>
    <w:rsid w:val="00B44D26"/>
    <w:rsid w:val="00B574B7"/>
    <w:rsid w:val="00B616B3"/>
    <w:rsid w:val="00B72D4E"/>
    <w:rsid w:val="00B74454"/>
    <w:rsid w:val="00B844F4"/>
    <w:rsid w:val="00B84E78"/>
    <w:rsid w:val="00B92041"/>
    <w:rsid w:val="00B92450"/>
    <w:rsid w:val="00B92798"/>
    <w:rsid w:val="00B96E5A"/>
    <w:rsid w:val="00BA1551"/>
    <w:rsid w:val="00BA3525"/>
    <w:rsid w:val="00BA3D61"/>
    <w:rsid w:val="00BA541C"/>
    <w:rsid w:val="00BB1F00"/>
    <w:rsid w:val="00BC0039"/>
    <w:rsid w:val="00BC1E57"/>
    <w:rsid w:val="00BC2654"/>
    <w:rsid w:val="00BC53AA"/>
    <w:rsid w:val="00BC66E3"/>
    <w:rsid w:val="00BD1E14"/>
    <w:rsid w:val="00BD3025"/>
    <w:rsid w:val="00BE10BE"/>
    <w:rsid w:val="00BE766F"/>
    <w:rsid w:val="00BF119A"/>
    <w:rsid w:val="00C02197"/>
    <w:rsid w:val="00C04173"/>
    <w:rsid w:val="00C07C88"/>
    <w:rsid w:val="00C10640"/>
    <w:rsid w:val="00C165D4"/>
    <w:rsid w:val="00C16894"/>
    <w:rsid w:val="00C17C00"/>
    <w:rsid w:val="00C26EE7"/>
    <w:rsid w:val="00C32075"/>
    <w:rsid w:val="00C33764"/>
    <w:rsid w:val="00C377B4"/>
    <w:rsid w:val="00C545FE"/>
    <w:rsid w:val="00C61244"/>
    <w:rsid w:val="00C6172E"/>
    <w:rsid w:val="00C634A9"/>
    <w:rsid w:val="00C64E9C"/>
    <w:rsid w:val="00C9314E"/>
    <w:rsid w:val="00C952E1"/>
    <w:rsid w:val="00C97C66"/>
    <w:rsid w:val="00CA16EA"/>
    <w:rsid w:val="00CB6BE5"/>
    <w:rsid w:val="00CC1D0D"/>
    <w:rsid w:val="00CC43B5"/>
    <w:rsid w:val="00CE585A"/>
    <w:rsid w:val="00CE61C7"/>
    <w:rsid w:val="00CF381C"/>
    <w:rsid w:val="00CF3E45"/>
    <w:rsid w:val="00CF7DBB"/>
    <w:rsid w:val="00D0039E"/>
    <w:rsid w:val="00D04120"/>
    <w:rsid w:val="00D32CA2"/>
    <w:rsid w:val="00D32D99"/>
    <w:rsid w:val="00D470E5"/>
    <w:rsid w:val="00D4712D"/>
    <w:rsid w:val="00D562EF"/>
    <w:rsid w:val="00D56AFC"/>
    <w:rsid w:val="00D62FB8"/>
    <w:rsid w:val="00D76A71"/>
    <w:rsid w:val="00D80747"/>
    <w:rsid w:val="00D87EC9"/>
    <w:rsid w:val="00D92F6C"/>
    <w:rsid w:val="00D97771"/>
    <w:rsid w:val="00DA5DD6"/>
    <w:rsid w:val="00DB1DAF"/>
    <w:rsid w:val="00DB6CCE"/>
    <w:rsid w:val="00DC0B74"/>
    <w:rsid w:val="00DD4EED"/>
    <w:rsid w:val="00DD5A37"/>
    <w:rsid w:val="00DE20F2"/>
    <w:rsid w:val="00DE2EB2"/>
    <w:rsid w:val="00DF0857"/>
    <w:rsid w:val="00DF4F8A"/>
    <w:rsid w:val="00E243B3"/>
    <w:rsid w:val="00E25286"/>
    <w:rsid w:val="00E27CCF"/>
    <w:rsid w:val="00E31D92"/>
    <w:rsid w:val="00E32ACF"/>
    <w:rsid w:val="00E3316A"/>
    <w:rsid w:val="00E44966"/>
    <w:rsid w:val="00E51EFB"/>
    <w:rsid w:val="00E529D3"/>
    <w:rsid w:val="00E624F4"/>
    <w:rsid w:val="00E648E7"/>
    <w:rsid w:val="00E65E13"/>
    <w:rsid w:val="00E71061"/>
    <w:rsid w:val="00E739EA"/>
    <w:rsid w:val="00E75AFD"/>
    <w:rsid w:val="00E80D6A"/>
    <w:rsid w:val="00E86046"/>
    <w:rsid w:val="00EA192F"/>
    <w:rsid w:val="00EB1CE1"/>
    <w:rsid w:val="00EB2D44"/>
    <w:rsid w:val="00EC15BA"/>
    <w:rsid w:val="00EC2F6B"/>
    <w:rsid w:val="00EC39BF"/>
    <w:rsid w:val="00EC455C"/>
    <w:rsid w:val="00EC686D"/>
    <w:rsid w:val="00ED01E1"/>
    <w:rsid w:val="00ED4D1E"/>
    <w:rsid w:val="00ED61D3"/>
    <w:rsid w:val="00EF13FE"/>
    <w:rsid w:val="00EF49DF"/>
    <w:rsid w:val="00F0627C"/>
    <w:rsid w:val="00F0711F"/>
    <w:rsid w:val="00F13221"/>
    <w:rsid w:val="00F22CA6"/>
    <w:rsid w:val="00F22EFB"/>
    <w:rsid w:val="00F25F1D"/>
    <w:rsid w:val="00F27744"/>
    <w:rsid w:val="00F27B20"/>
    <w:rsid w:val="00F415A4"/>
    <w:rsid w:val="00F43684"/>
    <w:rsid w:val="00F4706C"/>
    <w:rsid w:val="00F5086B"/>
    <w:rsid w:val="00F50C47"/>
    <w:rsid w:val="00F511E9"/>
    <w:rsid w:val="00F61CA5"/>
    <w:rsid w:val="00F64C92"/>
    <w:rsid w:val="00F67A44"/>
    <w:rsid w:val="00F717DF"/>
    <w:rsid w:val="00F74429"/>
    <w:rsid w:val="00FA29DF"/>
    <w:rsid w:val="00FB0D51"/>
    <w:rsid w:val="00FB49C7"/>
    <w:rsid w:val="00FC16DF"/>
    <w:rsid w:val="00FE5804"/>
    <w:rsid w:val="00FE691E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FD16"/>
  <w15:chartTrackingRefBased/>
  <w15:docId w15:val="{FE774FBB-510C-4597-AB8A-32E6EBFB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651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65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D65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B52"/>
  </w:style>
  <w:style w:type="paragraph" w:styleId="Pieddepage">
    <w:name w:val="footer"/>
    <w:basedOn w:val="Normal"/>
    <w:link w:val="PieddepageCar"/>
    <w:uiPriority w:val="99"/>
    <w:unhideWhenUsed/>
    <w:rsid w:val="008A5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B52"/>
  </w:style>
  <w:style w:type="character" w:styleId="Textedelespacerserv">
    <w:name w:val="Placeholder Text"/>
    <w:basedOn w:val="Policepardfaut"/>
    <w:uiPriority w:val="99"/>
    <w:semiHidden/>
    <w:rsid w:val="00B616B3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52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52E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8B3A-CD64-4679-956B-915320A9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8615</TotalTime>
  <Pages>5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Noel FLIS</dc:creator>
  <cp:keywords/>
  <dc:description/>
  <cp:lastModifiedBy>RANCILLAC Pascale</cp:lastModifiedBy>
  <cp:revision>389</cp:revision>
  <cp:lastPrinted>2022-06-17T06:26:00Z</cp:lastPrinted>
  <dcterms:created xsi:type="dcterms:W3CDTF">2022-05-11T07:04:00Z</dcterms:created>
  <dcterms:modified xsi:type="dcterms:W3CDTF">2022-08-31T13:10:00Z</dcterms:modified>
</cp:coreProperties>
</file>