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57AD" w14:textId="752CCBD7" w:rsidR="008A5B52" w:rsidRDefault="008A5B52" w:rsidP="008A5B52">
      <w:pPr>
        <w:jc w:val="center"/>
        <w:rPr>
          <w:b/>
          <w:bCs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38B30E6B" wp14:editId="6BF43F9D">
            <wp:extent cx="1382395" cy="197739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4E15A" w14:textId="505FEA39" w:rsidR="008A5B52" w:rsidRPr="00E648E7" w:rsidRDefault="00EC2F6B" w:rsidP="008A5B52">
      <w:pPr>
        <w:jc w:val="center"/>
        <w:rPr>
          <w:b/>
          <w:bCs/>
          <w:color w:val="5F497A" w:themeColor="accent4" w:themeShade="BF"/>
          <w:sz w:val="28"/>
          <w:szCs w:val="28"/>
        </w:rPr>
      </w:pPr>
      <w:r>
        <w:rPr>
          <w:b/>
          <w:bCs/>
          <w:color w:val="5F497A" w:themeColor="accent4" w:themeShade="BF"/>
          <w:sz w:val="28"/>
          <w:szCs w:val="28"/>
        </w:rPr>
        <w:t>INT</w:t>
      </w:r>
      <w:r>
        <w:rPr>
          <w:rFonts w:cstheme="minorHAnsi"/>
          <w:b/>
          <w:bCs/>
          <w:color w:val="5F497A" w:themeColor="accent4" w:themeShade="BF"/>
          <w:sz w:val="28"/>
          <w:szCs w:val="28"/>
        </w:rPr>
        <w:t>É</w:t>
      </w:r>
      <w:r>
        <w:rPr>
          <w:b/>
          <w:bCs/>
          <w:color w:val="5F497A" w:themeColor="accent4" w:themeShade="BF"/>
          <w:sz w:val="28"/>
          <w:szCs w:val="28"/>
        </w:rPr>
        <w:t>RESSEMENT &amp; PARTICIPATION</w:t>
      </w:r>
    </w:p>
    <w:p w14:paraId="56C2326B" w14:textId="0EFB7219" w:rsidR="008A5B52" w:rsidRPr="00E648E7" w:rsidRDefault="008A5B52" w:rsidP="008A5B52">
      <w:pPr>
        <w:jc w:val="center"/>
        <w:rPr>
          <w:b/>
          <w:bCs/>
          <w:color w:val="5F497A" w:themeColor="accent4" w:themeShade="BF"/>
          <w:sz w:val="28"/>
          <w:szCs w:val="28"/>
        </w:rPr>
      </w:pPr>
      <w:r w:rsidRPr="00E648E7">
        <w:rPr>
          <w:b/>
          <w:bCs/>
          <w:color w:val="5F497A" w:themeColor="accent4" w:themeShade="BF"/>
          <w:sz w:val="28"/>
          <w:szCs w:val="28"/>
        </w:rPr>
        <w:t xml:space="preserve">Note d’études CGT GOC – </w:t>
      </w:r>
      <w:r w:rsidR="00EC2F6B">
        <w:rPr>
          <w:b/>
          <w:bCs/>
          <w:color w:val="5F497A" w:themeColor="accent4" w:themeShade="BF"/>
          <w:sz w:val="28"/>
          <w:szCs w:val="28"/>
        </w:rPr>
        <w:t xml:space="preserve">juin </w:t>
      </w:r>
      <w:r w:rsidRPr="00E648E7">
        <w:rPr>
          <w:b/>
          <w:bCs/>
          <w:color w:val="5F497A" w:themeColor="accent4" w:themeShade="BF"/>
          <w:sz w:val="28"/>
          <w:szCs w:val="28"/>
        </w:rPr>
        <w:t>2022</w:t>
      </w:r>
    </w:p>
    <w:p w14:paraId="51D77EC4" w14:textId="149B3B4C" w:rsidR="008A5B52" w:rsidRDefault="008A5B52">
      <w:pPr>
        <w:rPr>
          <w:b/>
          <w:bCs/>
          <w:i/>
          <w:iCs/>
          <w:sz w:val="20"/>
          <w:szCs w:val="20"/>
        </w:rPr>
      </w:pPr>
    </w:p>
    <w:p w14:paraId="223E8B55" w14:textId="77777777" w:rsidR="00C07C88" w:rsidRDefault="00C07C88">
      <w:pPr>
        <w:rPr>
          <w:b/>
          <w:bCs/>
          <w:i/>
          <w:iCs/>
          <w:sz w:val="20"/>
          <w:szCs w:val="20"/>
        </w:rPr>
      </w:pPr>
    </w:p>
    <w:p w14:paraId="570071B9" w14:textId="041C6EE8" w:rsidR="000E3731" w:rsidRPr="0025582B" w:rsidRDefault="000E3731" w:rsidP="00C952E1">
      <w:pPr>
        <w:jc w:val="both"/>
        <w:rPr>
          <w:b/>
          <w:bCs/>
          <w:i/>
          <w:iCs/>
          <w:sz w:val="20"/>
          <w:szCs w:val="20"/>
        </w:rPr>
      </w:pPr>
      <w:r w:rsidRPr="0025582B">
        <w:rPr>
          <w:b/>
          <w:bCs/>
          <w:i/>
          <w:iCs/>
          <w:sz w:val="20"/>
          <w:szCs w:val="20"/>
        </w:rPr>
        <w:t>Préambule</w:t>
      </w:r>
    </w:p>
    <w:p w14:paraId="2118EEFD" w14:textId="77777777" w:rsidR="0025582B" w:rsidRPr="0025582B" w:rsidRDefault="000E3731" w:rsidP="00C952E1">
      <w:pPr>
        <w:spacing w:after="0"/>
        <w:jc w:val="both"/>
        <w:rPr>
          <w:i/>
          <w:iCs/>
          <w:sz w:val="20"/>
          <w:szCs w:val="20"/>
        </w:rPr>
      </w:pPr>
      <w:r w:rsidRPr="0025582B">
        <w:rPr>
          <w:i/>
          <w:iCs/>
          <w:sz w:val="20"/>
          <w:szCs w:val="20"/>
        </w:rPr>
        <w:t>Cette note d’études CGT GOC vise à</w:t>
      </w:r>
      <w:r w:rsidR="0025582B" w:rsidRPr="0025582B">
        <w:rPr>
          <w:i/>
          <w:iCs/>
          <w:sz w:val="20"/>
          <w:szCs w:val="20"/>
        </w:rPr>
        <w:t> :</w:t>
      </w:r>
    </w:p>
    <w:p w14:paraId="401BEC21" w14:textId="2E58A4A8" w:rsidR="00EC2F6B" w:rsidRDefault="00EC2F6B" w:rsidP="00C952E1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Répondre à no</w:t>
      </w:r>
      <w:r w:rsidR="00C61244">
        <w:rPr>
          <w:i/>
          <w:iCs/>
          <w:sz w:val="20"/>
          <w:szCs w:val="20"/>
        </w:rPr>
        <w:t>tre collègue qui a demandé à</w:t>
      </w:r>
      <w:r>
        <w:rPr>
          <w:i/>
          <w:iCs/>
          <w:sz w:val="20"/>
          <w:szCs w:val="20"/>
        </w:rPr>
        <w:t xml:space="preserve"> la CGT GOC, </w:t>
      </w:r>
      <w:r w:rsidR="00C61244">
        <w:rPr>
          <w:i/>
          <w:iCs/>
          <w:sz w:val="20"/>
          <w:szCs w:val="20"/>
        </w:rPr>
        <w:t xml:space="preserve">des informations </w:t>
      </w:r>
      <w:r>
        <w:rPr>
          <w:i/>
          <w:iCs/>
          <w:sz w:val="20"/>
          <w:szCs w:val="20"/>
        </w:rPr>
        <w:t xml:space="preserve">sur le sujet, </w:t>
      </w:r>
    </w:p>
    <w:p w14:paraId="621383DD" w14:textId="2E38AB7D" w:rsidR="000E3641" w:rsidRDefault="00C61244" w:rsidP="00C952E1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Partager cette note avec les collègues et s</w:t>
      </w:r>
      <w:r w:rsidR="000E3641">
        <w:rPr>
          <w:i/>
          <w:iCs/>
          <w:sz w:val="20"/>
          <w:szCs w:val="20"/>
        </w:rPr>
        <w:t>usciter des questions en vue d</w:t>
      </w:r>
      <w:r>
        <w:rPr>
          <w:i/>
          <w:iCs/>
          <w:sz w:val="20"/>
          <w:szCs w:val="20"/>
        </w:rPr>
        <w:t>e l</w:t>
      </w:r>
      <w:r w:rsidR="000E3641">
        <w:rPr>
          <w:i/>
          <w:iCs/>
          <w:sz w:val="20"/>
          <w:szCs w:val="20"/>
        </w:rPr>
        <w:t xml:space="preserve">’enrichir, </w:t>
      </w:r>
    </w:p>
    <w:p w14:paraId="1E318466" w14:textId="541632E6" w:rsidR="00EC2F6B" w:rsidRDefault="00EC2F6B" w:rsidP="00C952E1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Identifier les axes de réflexion </w:t>
      </w:r>
      <w:r w:rsidR="00C61244">
        <w:rPr>
          <w:i/>
          <w:iCs/>
          <w:sz w:val="20"/>
          <w:szCs w:val="20"/>
        </w:rPr>
        <w:t>dans la perspective de</w:t>
      </w:r>
      <w:r>
        <w:rPr>
          <w:i/>
          <w:iCs/>
          <w:sz w:val="20"/>
          <w:szCs w:val="20"/>
        </w:rPr>
        <w:t xml:space="preserve"> la prochaine négociation, </w:t>
      </w:r>
    </w:p>
    <w:p w14:paraId="4E52A53A" w14:textId="5738455F" w:rsidR="00EC2F6B" w:rsidRDefault="00EC2F6B" w:rsidP="00C952E1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Disposer d’un socle de connaissances réuni dans un seul document. </w:t>
      </w:r>
    </w:p>
    <w:p w14:paraId="50457B84" w14:textId="77777777" w:rsidR="006C38D4" w:rsidRPr="006C38D4" w:rsidRDefault="006C38D4" w:rsidP="00C952E1">
      <w:pPr>
        <w:jc w:val="both"/>
        <w:rPr>
          <w:i/>
          <w:iCs/>
          <w:sz w:val="2"/>
          <w:szCs w:val="2"/>
        </w:rPr>
      </w:pPr>
    </w:p>
    <w:p w14:paraId="24CA2448" w14:textId="6131D857" w:rsidR="0071030E" w:rsidRDefault="0071030E" w:rsidP="00C952E1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Les sources de l’étude :</w:t>
      </w:r>
    </w:p>
    <w:p w14:paraId="09F59ACA" w14:textId="6CFA1855" w:rsidR="0071030E" w:rsidRDefault="0071030E" w:rsidP="00C952E1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Accord d’Intéressement de GOC 2021 / 2023 du 22 juin 2021</w:t>
      </w:r>
    </w:p>
    <w:p w14:paraId="5184687E" w14:textId="22C2B6DC" w:rsidR="0071030E" w:rsidRDefault="0071030E" w:rsidP="00C952E1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Accord de Participation de GOC 2021 / 2023 du 22 juin 2021</w:t>
      </w:r>
    </w:p>
    <w:p w14:paraId="22EDCA39" w14:textId="04FE2666" w:rsidR="0071030E" w:rsidRDefault="0071030E" w:rsidP="00C952E1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Accord </w:t>
      </w:r>
      <w:r w:rsidR="00993089">
        <w:rPr>
          <w:i/>
          <w:iCs/>
          <w:sz w:val="20"/>
          <w:szCs w:val="20"/>
        </w:rPr>
        <w:t>Plan d’</w:t>
      </w:r>
      <w:r w:rsidR="00993089">
        <w:rPr>
          <w:rFonts w:cstheme="minorHAnsi"/>
          <w:i/>
          <w:iCs/>
          <w:sz w:val="20"/>
          <w:szCs w:val="20"/>
        </w:rPr>
        <w:t>É</w:t>
      </w:r>
      <w:r w:rsidR="00993089">
        <w:rPr>
          <w:i/>
          <w:iCs/>
          <w:sz w:val="20"/>
          <w:szCs w:val="20"/>
        </w:rPr>
        <w:t>pargne d’Entreprise du 22 juin 2021</w:t>
      </w:r>
    </w:p>
    <w:p w14:paraId="5758156E" w14:textId="6ECE34BC" w:rsidR="0071030E" w:rsidRDefault="0071030E" w:rsidP="00C952E1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Sources internes CGT Groupama</w:t>
      </w:r>
    </w:p>
    <w:p w14:paraId="1B0C7E23" w14:textId="43DC65FC" w:rsidR="0071030E" w:rsidRPr="0071030E" w:rsidRDefault="0071030E" w:rsidP="00C952E1">
      <w:pPr>
        <w:pStyle w:val="Paragraphedeliste"/>
        <w:numPr>
          <w:ilvl w:val="0"/>
          <w:numId w:val="3"/>
        </w:num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Légifrance</w:t>
      </w:r>
    </w:p>
    <w:p w14:paraId="055E23BB" w14:textId="77777777" w:rsidR="006C38D4" w:rsidRPr="006C38D4" w:rsidRDefault="006C38D4" w:rsidP="00C952E1">
      <w:pPr>
        <w:jc w:val="both"/>
        <w:rPr>
          <w:b/>
          <w:bCs/>
          <w:color w:val="5F497A" w:themeColor="accent4" w:themeShade="BF"/>
          <w:sz w:val="12"/>
          <w:szCs w:val="12"/>
        </w:rPr>
      </w:pPr>
    </w:p>
    <w:p w14:paraId="720A4B05" w14:textId="425FEBF5" w:rsidR="000E3731" w:rsidRPr="00E648E7" w:rsidRDefault="008D6512" w:rsidP="00993089">
      <w:pPr>
        <w:rPr>
          <w:b/>
          <w:bCs/>
          <w:color w:val="5F497A" w:themeColor="accent4" w:themeShade="BF"/>
          <w:sz w:val="28"/>
          <w:szCs w:val="28"/>
        </w:rPr>
      </w:pPr>
      <w:r w:rsidRPr="00E648E7">
        <w:rPr>
          <w:b/>
          <w:bCs/>
          <w:color w:val="5F497A" w:themeColor="accent4" w:themeShade="BF"/>
          <w:sz w:val="28"/>
          <w:szCs w:val="28"/>
        </w:rPr>
        <w:t>Sommaire de l’étude</w:t>
      </w:r>
    </w:p>
    <w:p w14:paraId="18F11CE8" w14:textId="7C8ECD1E" w:rsidR="00E86046" w:rsidRDefault="00E86046" w:rsidP="00993089">
      <w:pPr>
        <w:pStyle w:val="Paragraphedeliste"/>
        <w:numPr>
          <w:ilvl w:val="0"/>
          <w:numId w:val="1"/>
        </w:numPr>
        <w:rPr>
          <w:b/>
          <w:bCs/>
          <w:color w:val="5F497A" w:themeColor="accent4" w:themeShade="BF"/>
        </w:rPr>
      </w:pPr>
      <w:r>
        <w:rPr>
          <w:b/>
          <w:bCs/>
          <w:color w:val="5F497A" w:themeColor="accent4" w:themeShade="BF"/>
        </w:rPr>
        <w:t>Les salarié.es concerné.es</w:t>
      </w:r>
    </w:p>
    <w:p w14:paraId="0D5FF269" w14:textId="385F38FA" w:rsidR="008019CB" w:rsidRDefault="008019CB" w:rsidP="00993089">
      <w:pPr>
        <w:pStyle w:val="Paragraphedeliste"/>
        <w:numPr>
          <w:ilvl w:val="0"/>
          <w:numId w:val="1"/>
        </w:numPr>
        <w:rPr>
          <w:b/>
          <w:bCs/>
          <w:color w:val="5F497A" w:themeColor="accent4" w:themeShade="BF"/>
        </w:rPr>
      </w:pPr>
      <w:r>
        <w:rPr>
          <w:b/>
          <w:bCs/>
          <w:color w:val="5F497A" w:themeColor="accent4" w:themeShade="BF"/>
        </w:rPr>
        <w:t>Le panorama Intéressement 2016 / 2021</w:t>
      </w:r>
    </w:p>
    <w:p w14:paraId="325A73E7" w14:textId="19358232" w:rsidR="008D6512" w:rsidRDefault="008D6512" w:rsidP="00993089">
      <w:pPr>
        <w:pStyle w:val="Paragraphedeliste"/>
        <w:numPr>
          <w:ilvl w:val="0"/>
          <w:numId w:val="1"/>
        </w:numPr>
        <w:rPr>
          <w:b/>
          <w:bCs/>
          <w:color w:val="5F497A" w:themeColor="accent4" w:themeShade="BF"/>
        </w:rPr>
      </w:pPr>
      <w:r w:rsidRPr="00F64C92">
        <w:rPr>
          <w:b/>
          <w:bCs/>
          <w:color w:val="5F497A" w:themeColor="accent4" w:themeShade="BF"/>
        </w:rPr>
        <w:t>L</w:t>
      </w:r>
      <w:r w:rsidR="00EC2F6B">
        <w:rPr>
          <w:b/>
          <w:bCs/>
          <w:color w:val="5F497A" w:themeColor="accent4" w:themeShade="BF"/>
        </w:rPr>
        <w:t>’élément déclencheur de l’intéressement</w:t>
      </w:r>
    </w:p>
    <w:p w14:paraId="1BED74C3" w14:textId="11B5EC01" w:rsidR="00EC2F6B" w:rsidRDefault="00B616B3" w:rsidP="00993089">
      <w:pPr>
        <w:pStyle w:val="Paragraphedeliste"/>
        <w:numPr>
          <w:ilvl w:val="0"/>
          <w:numId w:val="1"/>
        </w:numPr>
        <w:rPr>
          <w:b/>
          <w:bCs/>
          <w:color w:val="5F497A" w:themeColor="accent4" w:themeShade="BF"/>
        </w:rPr>
      </w:pPr>
      <w:r>
        <w:rPr>
          <w:b/>
          <w:bCs/>
          <w:color w:val="5F497A" w:themeColor="accent4" w:themeShade="BF"/>
        </w:rPr>
        <w:t>Le montant de l’enveloppe « Intéressement »</w:t>
      </w:r>
    </w:p>
    <w:p w14:paraId="05668A1D" w14:textId="54E39757" w:rsidR="00B616B3" w:rsidRDefault="00B616B3" w:rsidP="00993089">
      <w:pPr>
        <w:pStyle w:val="Paragraphedeliste"/>
        <w:numPr>
          <w:ilvl w:val="0"/>
          <w:numId w:val="1"/>
        </w:numPr>
        <w:rPr>
          <w:b/>
          <w:bCs/>
          <w:color w:val="5F497A" w:themeColor="accent4" w:themeShade="BF"/>
        </w:rPr>
      </w:pPr>
      <w:r>
        <w:rPr>
          <w:b/>
          <w:bCs/>
          <w:color w:val="5F497A" w:themeColor="accent4" w:themeShade="BF"/>
        </w:rPr>
        <w:t>Les critères de répartition</w:t>
      </w:r>
    </w:p>
    <w:p w14:paraId="3A31B60E" w14:textId="7FFA8238" w:rsidR="0090601C" w:rsidRDefault="0090601C" w:rsidP="00993089">
      <w:pPr>
        <w:pStyle w:val="Paragraphedeliste"/>
        <w:numPr>
          <w:ilvl w:val="0"/>
          <w:numId w:val="1"/>
        </w:numPr>
        <w:rPr>
          <w:b/>
          <w:bCs/>
          <w:color w:val="5F497A" w:themeColor="accent4" w:themeShade="BF"/>
        </w:rPr>
      </w:pPr>
      <w:r>
        <w:rPr>
          <w:b/>
          <w:bCs/>
          <w:color w:val="5F497A" w:themeColor="accent4" w:themeShade="BF"/>
        </w:rPr>
        <w:t>L’enveloppe supplémentaire</w:t>
      </w:r>
    </w:p>
    <w:p w14:paraId="48629421" w14:textId="124624A7" w:rsidR="00616705" w:rsidRDefault="00616705" w:rsidP="00993089">
      <w:pPr>
        <w:pStyle w:val="Paragraphedeliste"/>
        <w:numPr>
          <w:ilvl w:val="0"/>
          <w:numId w:val="1"/>
        </w:numPr>
        <w:rPr>
          <w:b/>
          <w:bCs/>
          <w:color w:val="5F497A" w:themeColor="accent4" w:themeShade="BF"/>
        </w:rPr>
      </w:pPr>
      <w:r>
        <w:rPr>
          <w:b/>
          <w:bCs/>
          <w:color w:val="5F497A" w:themeColor="accent4" w:themeShade="BF"/>
        </w:rPr>
        <w:t>Groupama d’OC vs les autres caisses régionales</w:t>
      </w:r>
    </w:p>
    <w:p w14:paraId="5562359B" w14:textId="7425F9A2" w:rsidR="00BA541C" w:rsidRDefault="00BA541C" w:rsidP="00993089">
      <w:pPr>
        <w:pStyle w:val="Paragraphedeliste"/>
        <w:numPr>
          <w:ilvl w:val="0"/>
          <w:numId w:val="1"/>
        </w:numPr>
        <w:rPr>
          <w:b/>
          <w:bCs/>
          <w:color w:val="5F497A" w:themeColor="accent4" w:themeShade="BF"/>
        </w:rPr>
      </w:pPr>
      <w:r>
        <w:rPr>
          <w:b/>
          <w:bCs/>
          <w:color w:val="5F497A" w:themeColor="accent4" w:themeShade="BF"/>
        </w:rPr>
        <w:t>La participation</w:t>
      </w:r>
    </w:p>
    <w:p w14:paraId="6FE6A98B" w14:textId="23C7859E" w:rsidR="00C6172E" w:rsidRPr="00F64C92" w:rsidRDefault="00C6172E" w:rsidP="00993089">
      <w:pPr>
        <w:pStyle w:val="Paragraphedeliste"/>
        <w:numPr>
          <w:ilvl w:val="0"/>
          <w:numId w:val="1"/>
        </w:numPr>
        <w:rPr>
          <w:b/>
          <w:bCs/>
          <w:color w:val="5F497A" w:themeColor="accent4" w:themeShade="BF"/>
        </w:rPr>
      </w:pPr>
      <w:r>
        <w:rPr>
          <w:b/>
          <w:bCs/>
          <w:color w:val="5F497A" w:themeColor="accent4" w:themeShade="BF"/>
        </w:rPr>
        <w:t>L’abondement</w:t>
      </w:r>
    </w:p>
    <w:p w14:paraId="44CCC9BF" w14:textId="77777777" w:rsidR="00201634" w:rsidRDefault="00201634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46132F9A" w14:textId="017A1D90" w:rsidR="00E86046" w:rsidRPr="00E86046" w:rsidRDefault="00E86046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  <w:r w:rsidRPr="00E86046">
        <w:rPr>
          <w:b/>
          <w:bCs/>
          <w:color w:val="5F497A" w:themeColor="accent4" w:themeShade="BF"/>
          <w:sz w:val="28"/>
          <w:szCs w:val="28"/>
        </w:rPr>
        <w:lastRenderedPageBreak/>
        <w:t xml:space="preserve">Les salarié.es concerné.es </w:t>
      </w:r>
    </w:p>
    <w:p w14:paraId="6915F7CA" w14:textId="53C00ECF" w:rsidR="00E86046" w:rsidRDefault="00C952E1" w:rsidP="00C952E1">
      <w:pPr>
        <w:jc w:val="both"/>
      </w:pPr>
      <w:r>
        <w:t>P</w:t>
      </w:r>
      <w:r w:rsidR="00E86046">
        <w:t>erçoivent une prime d’intéressement</w:t>
      </w:r>
      <w:r>
        <w:t xml:space="preserve">, les salarié.es ayant </w:t>
      </w:r>
      <w:r w:rsidR="00E86046">
        <w:t xml:space="preserve">a minima 3 mois d’ancienneté au sein de l’entreprise ou </w:t>
      </w:r>
      <w:r w:rsidR="00201634">
        <w:t xml:space="preserve">au </w:t>
      </w:r>
      <w:r w:rsidR="00E86046">
        <w:t>minimum 90 jours calendaires en cumul (</w:t>
      </w:r>
      <w:r>
        <w:t xml:space="preserve">Situation d’un </w:t>
      </w:r>
      <w:r w:rsidR="00E86046">
        <w:t>CDD par exemple)</w:t>
      </w:r>
    </w:p>
    <w:p w14:paraId="0AD00037" w14:textId="1E9A5B6B" w:rsidR="00E86046" w:rsidRDefault="00E86046" w:rsidP="00C952E1">
      <w:pPr>
        <w:jc w:val="both"/>
      </w:pPr>
      <w:r>
        <w:t xml:space="preserve">Pour déterminer l’ancienneté, il convient de prendre la période de référence de l’année N et les 12 mois qui la précède. </w:t>
      </w:r>
    </w:p>
    <w:p w14:paraId="68A4ECCF" w14:textId="526B1B0F" w:rsidR="00E86046" w:rsidRPr="00C952E1" w:rsidRDefault="00E86046" w:rsidP="00C952E1">
      <w:pPr>
        <w:pStyle w:val="Citationintense"/>
        <w:rPr>
          <w:b/>
          <w:bCs/>
          <w:color w:val="C00000"/>
          <w:sz w:val="24"/>
          <w:szCs w:val="24"/>
        </w:rPr>
      </w:pPr>
      <w:r w:rsidRPr="00C952E1">
        <w:rPr>
          <w:b/>
          <w:bCs/>
          <w:color w:val="C00000"/>
          <w:sz w:val="24"/>
          <w:szCs w:val="24"/>
        </w:rPr>
        <w:t xml:space="preserve">La mise en débat CGT GOC </w:t>
      </w:r>
    </w:p>
    <w:p w14:paraId="1A1DAF32" w14:textId="70B4F878" w:rsidR="00E86046" w:rsidRPr="00C33764" w:rsidRDefault="00E86046" w:rsidP="00C952E1">
      <w:pPr>
        <w:pStyle w:val="Citationintense"/>
        <w:rPr>
          <w:rFonts w:cstheme="minorHAnsi"/>
          <w:color w:val="C00000"/>
        </w:rPr>
      </w:pPr>
      <w:r w:rsidRPr="00C33764">
        <w:rPr>
          <w:rFonts w:cstheme="minorHAnsi"/>
          <w:color w:val="C00000"/>
        </w:rPr>
        <w:t xml:space="preserve">N’y aurait-il pas une piste pour ouvrir l’intéressement aux salarié.es </w:t>
      </w:r>
      <w:r w:rsidR="00C952E1" w:rsidRPr="00C33764">
        <w:rPr>
          <w:rFonts w:cstheme="minorHAnsi"/>
          <w:color w:val="C00000"/>
        </w:rPr>
        <w:t xml:space="preserve">                            </w:t>
      </w:r>
      <w:r w:rsidRPr="00C33764">
        <w:rPr>
          <w:rFonts w:cstheme="minorHAnsi"/>
          <w:color w:val="C00000"/>
        </w:rPr>
        <w:t xml:space="preserve">avec un mois de présence au lieu de trois ? </w:t>
      </w:r>
    </w:p>
    <w:p w14:paraId="7FD6DD83" w14:textId="55CB489E" w:rsidR="00E86046" w:rsidRPr="00C33764" w:rsidRDefault="00E86046" w:rsidP="00C952E1">
      <w:pPr>
        <w:pStyle w:val="Citationintense"/>
        <w:rPr>
          <w:color w:val="C00000"/>
        </w:rPr>
      </w:pPr>
      <w:r w:rsidRPr="00C33764">
        <w:rPr>
          <w:rFonts w:cstheme="minorHAnsi"/>
          <w:color w:val="C00000"/>
        </w:rPr>
        <w:t xml:space="preserve">L’impact financier serait indolore et ce pécule versé à ces salarié.es </w:t>
      </w:r>
      <w:r w:rsidR="00C952E1" w:rsidRPr="00C33764">
        <w:rPr>
          <w:rFonts w:cstheme="minorHAnsi"/>
          <w:color w:val="C00000"/>
        </w:rPr>
        <w:t xml:space="preserve">                                </w:t>
      </w:r>
      <w:r w:rsidRPr="00C33764">
        <w:rPr>
          <w:rFonts w:cstheme="minorHAnsi"/>
          <w:color w:val="C00000"/>
        </w:rPr>
        <w:t>serait un plus</w:t>
      </w:r>
      <w:r w:rsidR="00993089">
        <w:rPr>
          <w:rFonts w:cstheme="minorHAnsi"/>
          <w:color w:val="C00000"/>
        </w:rPr>
        <w:t xml:space="preserve">, </w:t>
      </w:r>
      <w:r w:rsidRPr="00C33764">
        <w:rPr>
          <w:rFonts w:cstheme="minorHAnsi"/>
          <w:color w:val="C00000"/>
        </w:rPr>
        <w:t xml:space="preserve">conforme avec nos valeurs mutualistes.  </w:t>
      </w:r>
    </w:p>
    <w:p w14:paraId="16956021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415D5BE6" w14:textId="1DB3D23E" w:rsidR="008019CB" w:rsidRPr="00E86046" w:rsidRDefault="008019CB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  <w:r w:rsidRPr="00E86046">
        <w:rPr>
          <w:b/>
          <w:bCs/>
          <w:color w:val="5F497A" w:themeColor="accent4" w:themeShade="BF"/>
          <w:sz w:val="28"/>
          <w:szCs w:val="28"/>
        </w:rPr>
        <w:t>Le</w:t>
      </w:r>
      <w:r>
        <w:rPr>
          <w:b/>
          <w:bCs/>
          <w:color w:val="5F497A" w:themeColor="accent4" w:themeShade="BF"/>
          <w:sz w:val="28"/>
          <w:szCs w:val="28"/>
        </w:rPr>
        <w:t xml:space="preserve"> panorama Intéressement 2016 / 2021</w:t>
      </w:r>
      <w:r w:rsidRPr="00E86046">
        <w:rPr>
          <w:b/>
          <w:bCs/>
          <w:color w:val="5F497A" w:themeColor="accent4" w:themeShade="BF"/>
          <w:sz w:val="28"/>
          <w:szCs w:val="28"/>
        </w:rPr>
        <w:t xml:space="preserve"> </w:t>
      </w:r>
    </w:p>
    <w:p w14:paraId="3BAF105A" w14:textId="45233D7A" w:rsidR="00E86046" w:rsidRDefault="008019CB" w:rsidP="00C952E1">
      <w:pPr>
        <w:jc w:val="both"/>
      </w:pPr>
      <w:r>
        <w:t xml:space="preserve">Le tableau reprend les données </w:t>
      </w:r>
      <w:r w:rsidR="00993089">
        <w:t>financières</w:t>
      </w:r>
      <w:r>
        <w:t xml:space="preserve"> sur la période 2016 / 2021.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1"/>
        <w:gridCol w:w="1291"/>
        <w:gridCol w:w="1292"/>
        <w:gridCol w:w="1292"/>
        <w:gridCol w:w="1292"/>
        <w:gridCol w:w="1292"/>
        <w:gridCol w:w="1292"/>
      </w:tblGrid>
      <w:tr w:rsidR="008019CB" w14:paraId="6FD237C9" w14:textId="77777777" w:rsidTr="008019CB">
        <w:tc>
          <w:tcPr>
            <w:tcW w:w="1291" w:type="dxa"/>
            <w:tcBorders>
              <w:top w:val="double" w:sz="4" w:space="0" w:color="8064A2" w:themeColor="accent4"/>
              <w:left w:val="double" w:sz="4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1CD5276E" w14:textId="261149CF" w:rsidR="008019CB" w:rsidRPr="00384D3E" w:rsidRDefault="008019CB" w:rsidP="00C952E1">
            <w:pPr>
              <w:jc w:val="both"/>
              <w:rPr>
                <w:b/>
                <w:bCs/>
                <w:color w:val="403152" w:themeColor="accent4" w:themeShade="80"/>
              </w:rPr>
            </w:pPr>
          </w:p>
        </w:tc>
        <w:tc>
          <w:tcPr>
            <w:tcW w:w="1291" w:type="dxa"/>
            <w:tcBorders>
              <w:top w:val="double" w:sz="4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48072F8D" w14:textId="19ADD7DF" w:rsidR="008019CB" w:rsidRPr="00384D3E" w:rsidRDefault="008019CB" w:rsidP="00C952E1">
            <w:pPr>
              <w:jc w:val="center"/>
              <w:rPr>
                <w:b/>
                <w:bCs/>
                <w:color w:val="403152" w:themeColor="accent4" w:themeShade="80"/>
              </w:rPr>
            </w:pPr>
            <w:r>
              <w:rPr>
                <w:b/>
                <w:bCs/>
                <w:color w:val="403152" w:themeColor="accent4" w:themeShade="80"/>
              </w:rPr>
              <w:t>2016</w:t>
            </w:r>
          </w:p>
        </w:tc>
        <w:tc>
          <w:tcPr>
            <w:tcW w:w="1292" w:type="dxa"/>
            <w:tcBorders>
              <w:top w:val="double" w:sz="4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49E58CAF" w14:textId="33FE83D6" w:rsidR="008019CB" w:rsidRPr="00384D3E" w:rsidRDefault="008019CB" w:rsidP="00C952E1">
            <w:pPr>
              <w:jc w:val="center"/>
              <w:rPr>
                <w:b/>
                <w:bCs/>
                <w:color w:val="403152" w:themeColor="accent4" w:themeShade="80"/>
              </w:rPr>
            </w:pPr>
            <w:r>
              <w:rPr>
                <w:b/>
                <w:bCs/>
                <w:color w:val="403152" w:themeColor="accent4" w:themeShade="80"/>
              </w:rPr>
              <w:t>2017</w:t>
            </w:r>
          </w:p>
        </w:tc>
        <w:tc>
          <w:tcPr>
            <w:tcW w:w="1292" w:type="dxa"/>
            <w:tcBorders>
              <w:top w:val="double" w:sz="4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60EDB540" w14:textId="28C5CE6E" w:rsidR="008019CB" w:rsidRPr="00384D3E" w:rsidRDefault="008019CB" w:rsidP="00C952E1">
            <w:pPr>
              <w:jc w:val="center"/>
              <w:rPr>
                <w:b/>
                <w:bCs/>
                <w:color w:val="403152" w:themeColor="accent4" w:themeShade="80"/>
              </w:rPr>
            </w:pPr>
            <w:r>
              <w:rPr>
                <w:b/>
                <w:bCs/>
                <w:color w:val="403152" w:themeColor="accent4" w:themeShade="80"/>
              </w:rPr>
              <w:t>2018</w:t>
            </w:r>
          </w:p>
        </w:tc>
        <w:tc>
          <w:tcPr>
            <w:tcW w:w="1292" w:type="dxa"/>
            <w:tcBorders>
              <w:top w:val="double" w:sz="4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3AA9034E" w14:textId="2C9756D4" w:rsidR="008019CB" w:rsidRPr="00384D3E" w:rsidRDefault="008019CB" w:rsidP="00C952E1">
            <w:pPr>
              <w:jc w:val="center"/>
              <w:rPr>
                <w:b/>
                <w:bCs/>
                <w:color w:val="403152" w:themeColor="accent4" w:themeShade="80"/>
              </w:rPr>
            </w:pPr>
            <w:r>
              <w:rPr>
                <w:b/>
                <w:bCs/>
                <w:color w:val="403152" w:themeColor="accent4" w:themeShade="80"/>
              </w:rPr>
              <w:t>2019</w:t>
            </w:r>
          </w:p>
        </w:tc>
        <w:tc>
          <w:tcPr>
            <w:tcW w:w="1292" w:type="dxa"/>
            <w:tcBorders>
              <w:top w:val="double" w:sz="4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3856677A" w14:textId="3F7489ED" w:rsidR="008019CB" w:rsidRPr="00384D3E" w:rsidRDefault="008019CB" w:rsidP="00C952E1">
            <w:pPr>
              <w:jc w:val="center"/>
              <w:rPr>
                <w:b/>
                <w:bCs/>
                <w:color w:val="403152" w:themeColor="accent4" w:themeShade="80"/>
              </w:rPr>
            </w:pPr>
            <w:r>
              <w:rPr>
                <w:b/>
                <w:bCs/>
                <w:color w:val="403152" w:themeColor="accent4" w:themeShade="80"/>
              </w:rPr>
              <w:t>2020</w:t>
            </w:r>
          </w:p>
        </w:tc>
        <w:tc>
          <w:tcPr>
            <w:tcW w:w="1292" w:type="dxa"/>
            <w:tcBorders>
              <w:top w:val="double" w:sz="4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double" w:sz="4" w:space="0" w:color="8064A2" w:themeColor="accent4"/>
            </w:tcBorders>
          </w:tcPr>
          <w:p w14:paraId="65CC75DB" w14:textId="534FADC0" w:rsidR="008019CB" w:rsidRPr="00384D3E" w:rsidRDefault="008019CB" w:rsidP="00C952E1">
            <w:pPr>
              <w:jc w:val="center"/>
              <w:rPr>
                <w:b/>
                <w:bCs/>
                <w:color w:val="403152" w:themeColor="accent4" w:themeShade="80"/>
              </w:rPr>
            </w:pPr>
            <w:r>
              <w:rPr>
                <w:b/>
                <w:bCs/>
                <w:color w:val="403152" w:themeColor="accent4" w:themeShade="80"/>
              </w:rPr>
              <w:t>2021</w:t>
            </w:r>
          </w:p>
        </w:tc>
      </w:tr>
      <w:tr w:rsidR="008019CB" w14:paraId="15DCF510" w14:textId="77777777" w:rsidTr="008019CB">
        <w:tc>
          <w:tcPr>
            <w:tcW w:w="1291" w:type="dxa"/>
            <w:tcBorders>
              <w:top w:val="single" w:sz="12" w:space="0" w:color="8064A2" w:themeColor="accent4"/>
              <w:left w:val="double" w:sz="4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0D5F283C" w14:textId="122646FD" w:rsidR="008019CB" w:rsidRPr="00A25A83" w:rsidRDefault="008019CB" w:rsidP="00C952E1">
            <w:pPr>
              <w:jc w:val="both"/>
              <w:rPr>
                <w:b/>
                <w:bCs/>
                <w:color w:val="5F497A" w:themeColor="accent4" w:themeShade="BF"/>
              </w:rPr>
            </w:pPr>
            <w:r w:rsidRPr="00A25A83">
              <w:rPr>
                <w:b/>
                <w:bCs/>
                <w:color w:val="5F497A" w:themeColor="accent4" w:themeShade="BF"/>
              </w:rPr>
              <w:t xml:space="preserve">RNC </w:t>
            </w:r>
          </w:p>
        </w:tc>
        <w:tc>
          <w:tcPr>
            <w:tcW w:w="1291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6C37420B" w14:textId="078EE4ED" w:rsidR="008019CB" w:rsidRPr="00384D3E" w:rsidRDefault="008019CB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26 055 k€</w:t>
            </w:r>
          </w:p>
        </w:tc>
        <w:tc>
          <w:tcPr>
            <w:tcW w:w="12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35AC3335" w14:textId="1A6AB19C" w:rsidR="008019CB" w:rsidRPr="00384D3E" w:rsidRDefault="008019CB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21 933 k€</w:t>
            </w:r>
          </w:p>
        </w:tc>
        <w:tc>
          <w:tcPr>
            <w:tcW w:w="12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6EF8E338" w14:textId="7E767B75" w:rsidR="008019CB" w:rsidRPr="00384D3E" w:rsidRDefault="008019CB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50 376 K€</w:t>
            </w:r>
          </w:p>
        </w:tc>
        <w:tc>
          <w:tcPr>
            <w:tcW w:w="12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290B1C8A" w14:textId="4FEBF954" w:rsidR="008019CB" w:rsidRPr="00384D3E" w:rsidRDefault="008019CB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5 591 K€</w:t>
            </w:r>
          </w:p>
        </w:tc>
        <w:tc>
          <w:tcPr>
            <w:tcW w:w="12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594A54A0" w14:textId="1CB3BFB3" w:rsidR="008019CB" w:rsidRPr="00384D3E" w:rsidRDefault="008019CB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16 274 K€</w:t>
            </w:r>
          </w:p>
        </w:tc>
        <w:tc>
          <w:tcPr>
            <w:tcW w:w="12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double" w:sz="4" w:space="0" w:color="8064A2" w:themeColor="accent4"/>
            </w:tcBorders>
          </w:tcPr>
          <w:p w14:paraId="139D5545" w14:textId="6316E198" w:rsidR="008019CB" w:rsidRPr="00384D3E" w:rsidRDefault="00993089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ND</w:t>
            </w:r>
          </w:p>
        </w:tc>
      </w:tr>
      <w:tr w:rsidR="008019CB" w14:paraId="38306C98" w14:textId="77777777" w:rsidTr="008019CB">
        <w:tc>
          <w:tcPr>
            <w:tcW w:w="1291" w:type="dxa"/>
            <w:tcBorders>
              <w:top w:val="single" w:sz="12" w:space="0" w:color="8064A2" w:themeColor="accent4"/>
              <w:left w:val="double" w:sz="4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58388A11" w14:textId="3BD26346" w:rsidR="008019CB" w:rsidRPr="00A25A83" w:rsidRDefault="008019CB" w:rsidP="00C952E1">
            <w:pPr>
              <w:jc w:val="both"/>
              <w:rPr>
                <w:b/>
                <w:bCs/>
                <w:color w:val="5F497A" w:themeColor="accent4" w:themeShade="BF"/>
              </w:rPr>
            </w:pPr>
            <w:r w:rsidRPr="00A25A83">
              <w:rPr>
                <w:b/>
                <w:bCs/>
                <w:color w:val="5F497A" w:themeColor="accent4" w:themeShade="BF"/>
              </w:rPr>
              <w:t>MS</w:t>
            </w:r>
          </w:p>
        </w:tc>
        <w:tc>
          <w:tcPr>
            <w:tcW w:w="1291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0C159595" w14:textId="75A32EC3" w:rsidR="008019CB" w:rsidRPr="00384D3E" w:rsidRDefault="008019CB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63 152 K€</w:t>
            </w:r>
          </w:p>
        </w:tc>
        <w:tc>
          <w:tcPr>
            <w:tcW w:w="12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33181BB8" w14:textId="798937B3" w:rsidR="008019CB" w:rsidRPr="00384D3E" w:rsidRDefault="008019CB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60 097 K€</w:t>
            </w:r>
          </w:p>
        </w:tc>
        <w:tc>
          <w:tcPr>
            <w:tcW w:w="12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3EEC2A3A" w14:textId="7EC020D2" w:rsidR="008019CB" w:rsidRPr="00384D3E" w:rsidRDefault="008019CB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63 116 K€</w:t>
            </w:r>
          </w:p>
        </w:tc>
        <w:tc>
          <w:tcPr>
            <w:tcW w:w="12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051CB862" w14:textId="3CFF06BF" w:rsidR="008019CB" w:rsidRPr="00384D3E" w:rsidRDefault="008019CB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65 085 K€</w:t>
            </w:r>
          </w:p>
        </w:tc>
        <w:tc>
          <w:tcPr>
            <w:tcW w:w="12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39DA3BC1" w14:textId="6AAF295C" w:rsidR="008019CB" w:rsidRPr="00384D3E" w:rsidRDefault="008019CB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71 734 K€</w:t>
            </w:r>
          </w:p>
        </w:tc>
        <w:tc>
          <w:tcPr>
            <w:tcW w:w="12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double" w:sz="4" w:space="0" w:color="8064A2" w:themeColor="accent4"/>
            </w:tcBorders>
          </w:tcPr>
          <w:p w14:paraId="04331EC7" w14:textId="50DD786A" w:rsidR="008019CB" w:rsidRPr="00384D3E" w:rsidRDefault="00993089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ND</w:t>
            </w:r>
          </w:p>
        </w:tc>
      </w:tr>
      <w:tr w:rsidR="008019CB" w14:paraId="04804381" w14:textId="77777777" w:rsidTr="008019CB">
        <w:tc>
          <w:tcPr>
            <w:tcW w:w="1291" w:type="dxa"/>
            <w:tcBorders>
              <w:top w:val="single" w:sz="12" w:space="0" w:color="8064A2" w:themeColor="accent4"/>
              <w:left w:val="double" w:sz="4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34C2D4D1" w14:textId="474F8625" w:rsidR="008019CB" w:rsidRPr="00A25A83" w:rsidRDefault="008019CB" w:rsidP="00C952E1">
            <w:pPr>
              <w:jc w:val="both"/>
              <w:rPr>
                <w:b/>
                <w:bCs/>
                <w:color w:val="5F497A" w:themeColor="accent4" w:themeShade="BF"/>
              </w:rPr>
            </w:pPr>
            <w:r w:rsidRPr="00A25A83">
              <w:rPr>
                <w:b/>
                <w:bCs/>
                <w:color w:val="5F497A" w:themeColor="accent4" w:themeShade="BF"/>
              </w:rPr>
              <w:t>Enveloppe</w:t>
            </w:r>
          </w:p>
        </w:tc>
        <w:tc>
          <w:tcPr>
            <w:tcW w:w="1291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316B2859" w14:textId="7924F3AF" w:rsidR="008019CB" w:rsidRPr="00384D3E" w:rsidRDefault="008019CB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5 211 K€</w:t>
            </w:r>
          </w:p>
        </w:tc>
        <w:tc>
          <w:tcPr>
            <w:tcW w:w="12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76F7B0AD" w14:textId="4FB23125" w:rsidR="008019CB" w:rsidRPr="00384D3E" w:rsidRDefault="008019CB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4 386 K€</w:t>
            </w:r>
          </w:p>
        </w:tc>
        <w:tc>
          <w:tcPr>
            <w:tcW w:w="12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1741CE97" w14:textId="1BA8D56C" w:rsidR="008019CB" w:rsidRPr="00384D3E" w:rsidRDefault="008019CB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10 075 K€</w:t>
            </w:r>
          </w:p>
        </w:tc>
        <w:tc>
          <w:tcPr>
            <w:tcW w:w="12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529F4681" w14:textId="72FB896B" w:rsidR="008019CB" w:rsidRPr="00384D3E" w:rsidRDefault="008019CB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1 118 K€</w:t>
            </w:r>
          </w:p>
        </w:tc>
        <w:tc>
          <w:tcPr>
            <w:tcW w:w="12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43609FED" w14:textId="5F07928A" w:rsidR="008019CB" w:rsidRPr="00384D3E" w:rsidRDefault="008019CB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3 254 K€</w:t>
            </w:r>
          </w:p>
        </w:tc>
        <w:tc>
          <w:tcPr>
            <w:tcW w:w="12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double" w:sz="4" w:space="0" w:color="8064A2" w:themeColor="accent4"/>
            </w:tcBorders>
          </w:tcPr>
          <w:p w14:paraId="6CE41180" w14:textId="55D6FE72" w:rsidR="008019CB" w:rsidRPr="00384D3E" w:rsidRDefault="00F61CA5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7 226 K€</w:t>
            </w:r>
          </w:p>
        </w:tc>
      </w:tr>
      <w:tr w:rsidR="008019CB" w14:paraId="744292AC" w14:textId="77777777" w:rsidTr="008019CB">
        <w:tc>
          <w:tcPr>
            <w:tcW w:w="1291" w:type="dxa"/>
            <w:tcBorders>
              <w:top w:val="single" w:sz="12" w:space="0" w:color="8064A2" w:themeColor="accent4"/>
              <w:left w:val="double" w:sz="4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0726172C" w14:textId="6E92F0B3" w:rsidR="008019CB" w:rsidRPr="00A25A83" w:rsidRDefault="008019CB" w:rsidP="00C952E1">
            <w:pPr>
              <w:jc w:val="both"/>
              <w:rPr>
                <w:b/>
                <w:bCs/>
                <w:color w:val="5F497A" w:themeColor="accent4" w:themeShade="BF"/>
              </w:rPr>
            </w:pPr>
            <w:r w:rsidRPr="00A25A83">
              <w:rPr>
                <w:b/>
                <w:bCs/>
                <w:color w:val="5F497A" w:themeColor="accent4" w:themeShade="BF"/>
              </w:rPr>
              <w:t>Plafond</w:t>
            </w:r>
          </w:p>
        </w:tc>
        <w:tc>
          <w:tcPr>
            <w:tcW w:w="1291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5B53AACE" w14:textId="0CC61646" w:rsidR="008019CB" w:rsidRPr="00384D3E" w:rsidRDefault="008019CB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7 578 KE</w:t>
            </w:r>
          </w:p>
        </w:tc>
        <w:tc>
          <w:tcPr>
            <w:tcW w:w="12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33CC870A" w14:textId="27F0A362" w:rsidR="008019CB" w:rsidRPr="00384D3E" w:rsidRDefault="008019CB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7 211 K€</w:t>
            </w:r>
          </w:p>
        </w:tc>
        <w:tc>
          <w:tcPr>
            <w:tcW w:w="12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48655B2E" w14:textId="393DD027" w:rsidR="008019CB" w:rsidRPr="00384D3E" w:rsidRDefault="008019CB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7 573 K€</w:t>
            </w:r>
          </w:p>
        </w:tc>
        <w:tc>
          <w:tcPr>
            <w:tcW w:w="12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7367D7AA" w14:textId="4D70EB53" w:rsidR="008019CB" w:rsidRPr="00384D3E" w:rsidRDefault="008019CB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7 810 K€</w:t>
            </w:r>
          </w:p>
        </w:tc>
        <w:tc>
          <w:tcPr>
            <w:tcW w:w="12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71C97A6F" w14:textId="091593A9" w:rsidR="008019CB" w:rsidRPr="00384D3E" w:rsidRDefault="008019CB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8 608 K€</w:t>
            </w:r>
          </w:p>
        </w:tc>
        <w:tc>
          <w:tcPr>
            <w:tcW w:w="1292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double" w:sz="4" w:space="0" w:color="8064A2" w:themeColor="accent4"/>
            </w:tcBorders>
          </w:tcPr>
          <w:p w14:paraId="596AE0E5" w14:textId="4049A7DE" w:rsidR="008019CB" w:rsidRPr="00384D3E" w:rsidRDefault="00993089" w:rsidP="00C952E1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ND</w:t>
            </w:r>
          </w:p>
        </w:tc>
      </w:tr>
    </w:tbl>
    <w:p w14:paraId="5C26695E" w14:textId="77777777" w:rsidR="00A25A83" w:rsidRDefault="00A25A83" w:rsidP="00C952E1">
      <w:pPr>
        <w:spacing w:after="0" w:line="240" w:lineRule="auto"/>
        <w:jc w:val="both"/>
      </w:pPr>
    </w:p>
    <w:p w14:paraId="4B0D9788" w14:textId="3ED58643" w:rsidR="008019CB" w:rsidRPr="00A25A83" w:rsidRDefault="008019CB" w:rsidP="00C952E1">
      <w:pPr>
        <w:spacing w:after="0" w:line="240" w:lineRule="auto"/>
        <w:jc w:val="both"/>
        <w:rPr>
          <w:i/>
          <w:iCs/>
        </w:rPr>
      </w:pPr>
      <w:r w:rsidRPr="00A25A83">
        <w:rPr>
          <w:i/>
          <w:iCs/>
        </w:rPr>
        <w:t>RNC = Résultat Net Comptable après impôts</w:t>
      </w:r>
    </w:p>
    <w:p w14:paraId="12E1F1CF" w14:textId="50DA251D" w:rsidR="008019CB" w:rsidRPr="00A25A83" w:rsidRDefault="008019CB" w:rsidP="00C952E1">
      <w:pPr>
        <w:spacing w:after="0" w:line="240" w:lineRule="auto"/>
        <w:jc w:val="both"/>
        <w:rPr>
          <w:i/>
          <w:iCs/>
        </w:rPr>
      </w:pPr>
      <w:r w:rsidRPr="00A25A83">
        <w:rPr>
          <w:i/>
          <w:iCs/>
        </w:rPr>
        <w:t>MS = Masse Salariale Brute</w:t>
      </w:r>
    </w:p>
    <w:p w14:paraId="5BCEA40C" w14:textId="162903C2" w:rsidR="008019CB" w:rsidRPr="00A25A83" w:rsidRDefault="008019CB" w:rsidP="00C952E1">
      <w:pPr>
        <w:spacing w:after="0" w:line="240" w:lineRule="auto"/>
        <w:jc w:val="both"/>
        <w:rPr>
          <w:i/>
          <w:iCs/>
        </w:rPr>
      </w:pPr>
      <w:r w:rsidRPr="00A25A83">
        <w:rPr>
          <w:i/>
          <w:iCs/>
        </w:rPr>
        <w:t>Enveloppe = Montant de l’enveloppe Intéressement hors Participation</w:t>
      </w:r>
    </w:p>
    <w:p w14:paraId="3E81DF5A" w14:textId="06934656" w:rsidR="008019CB" w:rsidRDefault="008019CB" w:rsidP="00C952E1">
      <w:pPr>
        <w:spacing w:after="0" w:line="240" w:lineRule="auto"/>
        <w:jc w:val="both"/>
        <w:rPr>
          <w:i/>
          <w:iCs/>
        </w:rPr>
      </w:pPr>
      <w:r w:rsidRPr="00A25A83">
        <w:rPr>
          <w:i/>
          <w:iCs/>
        </w:rPr>
        <w:t>Plafond : Montant maximum de 12 % de la masse salariale hors participation</w:t>
      </w:r>
    </w:p>
    <w:p w14:paraId="3A548AA2" w14:textId="77777777" w:rsidR="00993089" w:rsidRDefault="00993089" w:rsidP="00C952E1">
      <w:pPr>
        <w:spacing w:after="0" w:line="240" w:lineRule="auto"/>
        <w:jc w:val="both"/>
        <w:rPr>
          <w:i/>
          <w:iCs/>
        </w:rPr>
      </w:pPr>
    </w:p>
    <w:p w14:paraId="5AFDFD13" w14:textId="2C86616E" w:rsidR="00993089" w:rsidRPr="00A25A83" w:rsidRDefault="00993089" w:rsidP="00C952E1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[Source Rapport Financier GOC 2020]</w:t>
      </w:r>
    </w:p>
    <w:p w14:paraId="02F19F41" w14:textId="77777777" w:rsidR="00A25A83" w:rsidRPr="00A25A83" w:rsidRDefault="00A25A83" w:rsidP="00C952E1">
      <w:pPr>
        <w:jc w:val="both"/>
        <w:rPr>
          <w:b/>
          <w:bCs/>
          <w:color w:val="5F497A" w:themeColor="accent4" w:themeShade="BF"/>
          <w:sz w:val="12"/>
          <w:szCs w:val="12"/>
        </w:rPr>
      </w:pPr>
    </w:p>
    <w:p w14:paraId="33C345AB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767DDB62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664D1242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7A32C41E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337C4B42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361C9C20" w14:textId="089ABE1E" w:rsidR="00F22EFB" w:rsidRPr="00E648E7" w:rsidRDefault="00AF4BCB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  <w:r w:rsidRPr="00E648E7">
        <w:rPr>
          <w:b/>
          <w:bCs/>
          <w:color w:val="5F497A" w:themeColor="accent4" w:themeShade="BF"/>
          <w:sz w:val="28"/>
          <w:szCs w:val="28"/>
        </w:rPr>
        <w:lastRenderedPageBreak/>
        <w:t>L</w:t>
      </w:r>
      <w:r w:rsidR="00B616B3">
        <w:rPr>
          <w:b/>
          <w:bCs/>
          <w:color w:val="5F497A" w:themeColor="accent4" w:themeShade="BF"/>
          <w:sz w:val="28"/>
          <w:szCs w:val="28"/>
        </w:rPr>
        <w:t>’élément déclencheur de l’intéressement</w:t>
      </w:r>
      <w:r w:rsidRPr="00E648E7">
        <w:rPr>
          <w:b/>
          <w:bCs/>
          <w:color w:val="5F497A" w:themeColor="accent4" w:themeShade="BF"/>
          <w:sz w:val="28"/>
          <w:szCs w:val="28"/>
        </w:rPr>
        <w:t xml:space="preserve"> </w:t>
      </w:r>
    </w:p>
    <w:p w14:paraId="68EC136A" w14:textId="77777777" w:rsidR="00B616B3" w:rsidRDefault="00B616B3" w:rsidP="00C952E1">
      <w:pPr>
        <w:jc w:val="both"/>
      </w:pPr>
      <w:r>
        <w:t>La condition unique qui autorise le versement d’un intéressement aux salarié.es est :</w:t>
      </w:r>
    </w:p>
    <w:p w14:paraId="083517A4" w14:textId="59CF535E" w:rsidR="00B616B3" w:rsidRPr="00B616B3" w:rsidRDefault="00B616B3" w:rsidP="00993089">
      <w:pPr>
        <w:jc w:val="center"/>
        <w:rPr>
          <w:rFonts w:eastAsiaTheme="minorEastAsia"/>
          <w:b/>
          <w:bCs/>
        </w:rPr>
      </w:pPr>
      <w:r w:rsidRPr="00B616B3">
        <w:rPr>
          <w:b/>
          <w:bCs/>
        </w:rPr>
        <w:t xml:space="preserve">Un Résultat Net Comptable après impôts </w:t>
      </w:r>
      <w:r w:rsidRPr="00B616B3">
        <w:rPr>
          <w:rFonts w:cstheme="minorHAnsi"/>
          <w:b/>
          <w:bCs/>
        </w:rPr>
        <w:t>≥</w:t>
      </w:r>
      <w:r w:rsidRPr="00B616B3">
        <w:rPr>
          <w:b/>
          <w:bCs/>
        </w:rPr>
        <w:t xml:space="preserve"> 5 000 000 €</w:t>
      </w:r>
    </w:p>
    <w:p w14:paraId="0AF4B58A" w14:textId="3DEC2376" w:rsidR="00AF4BCB" w:rsidRDefault="00B616B3" w:rsidP="00C952E1">
      <w:pPr>
        <w:jc w:val="both"/>
      </w:pPr>
      <w:r>
        <w:t>La direction justifie « cette franchise relative de 5 M€ » pour :</w:t>
      </w:r>
    </w:p>
    <w:p w14:paraId="417F945D" w14:textId="70A71C0C" w:rsidR="00B616B3" w:rsidRDefault="00B616B3" w:rsidP="00C952E1">
      <w:pPr>
        <w:pStyle w:val="Paragraphedeliste"/>
        <w:numPr>
          <w:ilvl w:val="0"/>
          <w:numId w:val="1"/>
        </w:numPr>
        <w:jc w:val="both"/>
      </w:pPr>
      <w:r>
        <w:t>Ne pas restreindre la capacité d’investissement de l’entreprise</w:t>
      </w:r>
    </w:p>
    <w:p w14:paraId="55EBEF45" w14:textId="09BE68B0" w:rsidR="00B616B3" w:rsidRDefault="00B616B3" w:rsidP="00C952E1">
      <w:pPr>
        <w:pStyle w:val="Paragraphedeliste"/>
        <w:numPr>
          <w:ilvl w:val="0"/>
          <w:numId w:val="1"/>
        </w:numPr>
        <w:jc w:val="both"/>
      </w:pPr>
      <w:r>
        <w:t>Préserver ses fonds propres</w:t>
      </w:r>
    </w:p>
    <w:p w14:paraId="68C2D39E" w14:textId="23AB1F59" w:rsidR="00B616B3" w:rsidRDefault="00B616B3" w:rsidP="00C952E1">
      <w:pPr>
        <w:pStyle w:val="Paragraphedeliste"/>
        <w:numPr>
          <w:ilvl w:val="0"/>
          <w:numId w:val="1"/>
        </w:numPr>
        <w:jc w:val="both"/>
      </w:pPr>
      <w:r>
        <w:t>Assurer sa solvabilité</w:t>
      </w:r>
    </w:p>
    <w:p w14:paraId="0C63E67E" w14:textId="77777777" w:rsidR="00C952E1" w:rsidRDefault="00C952E1" w:rsidP="00C952E1">
      <w:pPr>
        <w:jc w:val="both"/>
        <w:rPr>
          <w:b/>
          <w:bCs/>
          <w:i/>
          <w:iCs/>
          <w:color w:val="C00000"/>
        </w:rPr>
      </w:pPr>
    </w:p>
    <w:p w14:paraId="7FE35D11" w14:textId="6F8E2A84" w:rsidR="0055060C" w:rsidRPr="00C952E1" w:rsidRDefault="0055060C" w:rsidP="00C952E1">
      <w:pPr>
        <w:pStyle w:val="Citationintense"/>
        <w:rPr>
          <w:b/>
          <w:bCs/>
          <w:color w:val="C00000"/>
          <w:sz w:val="24"/>
          <w:szCs w:val="24"/>
        </w:rPr>
      </w:pPr>
      <w:r w:rsidRPr="00C952E1">
        <w:rPr>
          <w:b/>
          <w:bCs/>
          <w:color w:val="C00000"/>
          <w:sz w:val="24"/>
          <w:szCs w:val="24"/>
        </w:rPr>
        <w:t xml:space="preserve">La mise en débat CGT GOC </w:t>
      </w:r>
    </w:p>
    <w:p w14:paraId="37569EF8" w14:textId="77777777" w:rsidR="0055060C" w:rsidRPr="00C33764" w:rsidRDefault="0055060C" w:rsidP="00C952E1">
      <w:pPr>
        <w:pStyle w:val="Citationintense"/>
        <w:rPr>
          <w:color w:val="C00000"/>
        </w:rPr>
      </w:pPr>
      <w:r w:rsidRPr="00C33764">
        <w:rPr>
          <w:color w:val="C00000"/>
        </w:rPr>
        <w:t xml:space="preserve">Même si dans les faits, le résultat comptable a toujours été supérieur à 5 M€ depuis 2016, la CGT GOC s’interroge sur la pertinence sociale de cette règle. </w:t>
      </w:r>
    </w:p>
    <w:p w14:paraId="2F0DB0FA" w14:textId="5D4C187E" w:rsidR="0055060C" w:rsidRPr="00C33764" w:rsidRDefault="0055060C" w:rsidP="00C952E1">
      <w:pPr>
        <w:pStyle w:val="Citationintense"/>
        <w:rPr>
          <w:color w:val="C00000"/>
        </w:rPr>
      </w:pPr>
      <w:r w:rsidRPr="00C33764">
        <w:rPr>
          <w:color w:val="C00000"/>
        </w:rPr>
        <w:t xml:space="preserve">En quoi le fait de verser </w:t>
      </w:r>
      <w:r w:rsidR="00BA541C" w:rsidRPr="00C33764">
        <w:rPr>
          <w:color w:val="C00000"/>
        </w:rPr>
        <w:t xml:space="preserve">une partie du résultat </w:t>
      </w:r>
      <w:r w:rsidR="00BA541C" w:rsidRPr="00C33764">
        <w:rPr>
          <w:rFonts w:cstheme="minorHAnsi"/>
          <w:color w:val="C00000"/>
        </w:rPr>
        <w:t>≤</w:t>
      </w:r>
      <w:r w:rsidR="00BA541C" w:rsidRPr="00C33764">
        <w:rPr>
          <w:color w:val="C00000"/>
        </w:rPr>
        <w:t xml:space="preserve"> à 5 M€ </w:t>
      </w:r>
      <w:r w:rsidR="00C952E1" w:rsidRPr="00C33764">
        <w:rPr>
          <w:color w:val="C00000"/>
        </w:rPr>
        <w:t xml:space="preserve">                                          </w:t>
      </w:r>
      <w:r w:rsidRPr="00C33764">
        <w:rPr>
          <w:color w:val="C00000"/>
        </w:rPr>
        <w:t xml:space="preserve">remettrait en cause les capacités d’investissement de l’entreprise ? </w:t>
      </w:r>
    </w:p>
    <w:p w14:paraId="305EB6DA" w14:textId="45A1B2D6" w:rsidR="0055060C" w:rsidRPr="00C33764" w:rsidRDefault="0055060C" w:rsidP="00C952E1">
      <w:pPr>
        <w:pStyle w:val="Citationintense"/>
        <w:rPr>
          <w:color w:val="C00000"/>
        </w:rPr>
      </w:pPr>
      <w:r w:rsidRPr="00C33764">
        <w:rPr>
          <w:color w:val="C00000"/>
        </w:rPr>
        <w:t xml:space="preserve">Pourquoi parler de « préserver les fonds propres » </w:t>
      </w:r>
      <w:r w:rsidR="00C952E1" w:rsidRPr="00C33764">
        <w:rPr>
          <w:color w:val="C00000"/>
        </w:rPr>
        <w:t xml:space="preserve">                                                                </w:t>
      </w:r>
      <w:r w:rsidRPr="00C33764">
        <w:rPr>
          <w:color w:val="C00000"/>
        </w:rPr>
        <w:t xml:space="preserve">alors que ceux de Groupama d’OC sont solides ? </w:t>
      </w:r>
    </w:p>
    <w:p w14:paraId="7CB419AF" w14:textId="03AC2187" w:rsidR="0055060C" w:rsidRPr="00C33764" w:rsidRDefault="00BA541C" w:rsidP="00C952E1">
      <w:pPr>
        <w:pStyle w:val="Citationintense"/>
        <w:rPr>
          <w:color w:val="C00000"/>
        </w:rPr>
      </w:pPr>
      <w:r w:rsidRPr="00C33764">
        <w:rPr>
          <w:color w:val="C00000"/>
        </w:rPr>
        <w:t xml:space="preserve">« Assurer sa solvabilité » </w:t>
      </w:r>
      <w:r w:rsidR="0055060C" w:rsidRPr="00C33764">
        <w:rPr>
          <w:color w:val="C00000"/>
        </w:rPr>
        <w:t xml:space="preserve">Le résultat est certes un élément de </w:t>
      </w:r>
      <w:r w:rsidR="00993089" w:rsidRPr="00C33764">
        <w:rPr>
          <w:color w:val="C00000"/>
        </w:rPr>
        <w:t xml:space="preserve">solvabilité,  </w:t>
      </w:r>
      <w:r w:rsidR="00C952E1" w:rsidRPr="00C33764">
        <w:rPr>
          <w:color w:val="C00000"/>
        </w:rPr>
        <w:t xml:space="preserve">                  </w:t>
      </w:r>
      <w:r w:rsidR="0055060C" w:rsidRPr="00C33764">
        <w:rPr>
          <w:color w:val="C00000"/>
        </w:rPr>
        <w:t xml:space="preserve">mais son impact est </w:t>
      </w:r>
      <w:r w:rsidRPr="00C33764">
        <w:rPr>
          <w:color w:val="C00000"/>
        </w:rPr>
        <w:t>toute relative</w:t>
      </w:r>
      <w:r w:rsidR="0055060C" w:rsidRPr="00C33764">
        <w:rPr>
          <w:color w:val="C00000"/>
        </w:rPr>
        <w:t xml:space="preserve"> </w:t>
      </w:r>
      <w:r w:rsidRPr="00C33764">
        <w:rPr>
          <w:color w:val="C00000"/>
        </w:rPr>
        <w:t>au regard d</w:t>
      </w:r>
      <w:r w:rsidR="0055060C" w:rsidRPr="00C33764">
        <w:rPr>
          <w:color w:val="C00000"/>
        </w:rPr>
        <w:t xml:space="preserve">’autres éléments financiers </w:t>
      </w:r>
      <w:r w:rsidR="00C952E1" w:rsidRPr="00C33764">
        <w:rPr>
          <w:color w:val="C00000"/>
        </w:rPr>
        <w:t xml:space="preserve">                                            </w:t>
      </w:r>
      <w:r w:rsidRPr="00C33764">
        <w:rPr>
          <w:color w:val="C00000"/>
        </w:rPr>
        <w:t>et ce, dans le but de</w:t>
      </w:r>
      <w:r w:rsidR="0055060C" w:rsidRPr="00C33764">
        <w:rPr>
          <w:color w:val="C00000"/>
        </w:rPr>
        <w:t xml:space="preserve"> répondre aux exigences réglementaires de Solvency II. </w:t>
      </w:r>
    </w:p>
    <w:p w14:paraId="7501274D" w14:textId="3D7DD0EE" w:rsidR="0055060C" w:rsidRPr="00C33764" w:rsidRDefault="0055060C" w:rsidP="00C952E1">
      <w:pPr>
        <w:pStyle w:val="Citationintense"/>
        <w:rPr>
          <w:color w:val="C00000"/>
        </w:rPr>
      </w:pPr>
      <w:r w:rsidRPr="00C33764">
        <w:rPr>
          <w:color w:val="C00000"/>
        </w:rPr>
        <w:t xml:space="preserve">En conséquence, il conviendra, lors de la négociation, de demander à la direction, des arguments un peu plus étoffés sur « cette franchise relative ». </w:t>
      </w:r>
    </w:p>
    <w:p w14:paraId="19E44893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36AC824E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5BF4A5E7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73BC235A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41F32541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2F809823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763068AA" w14:textId="27E8F80B" w:rsidR="00BD1E14" w:rsidRPr="00E648E7" w:rsidRDefault="0049082A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  <w:r w:rsidRPr="00E648E7">
        <w:rPr>
          <w:b/>
          <w:bCs/>
          <w:color w:val="5F497A" w:themeColor="accent4" w:themeShade="BF"/>
          <w:sz w:val="28"/>
          <w:szCs w:val="28"/>
        </w:rPr>
        <w:lastRenderedPageBreak/>
        <w:t>Le</w:t>
      </w:r>
      <w:r w:rsidR="00BA541C">
        <w:rPr>
          <w:b/>
          <w:bCs/>
          <w:color w:val="5F497A" w:themeColor="accent4" w:themeShade="BF"/>
          <w:sz w:val="28"/>
          <w:szCs w:val="28"/>
        </w:rPr>
        <w:t xml:space="preserve"> montant de l’enveloppe « Intéressement » </w:t>
      </w:r>
      <w:r w:rsidRPr="00E648E7">
        <w:rPr>
          <w:b/>
          <w:bCs/>
          <w:color w:val="5F497A" w:themeColor="accent4" w:themeShade="BF"/>
          <w:sz w:val="28"/>
          <w:szCs w:val="28"/>
        </w:rPr>
        <w:t xml:space="preserve"> </w:t>
      </w:r>
    </w:p>
    <w:p w14:paraId="150B8C94" w14:textId="3C24F029" w:rsidR="00BA541C" w:rsidRDefault="00BA541C" w:rsidP="00C952E1">
      <w:pPr>
        <w:jc w:val="both"/>
      </w:pPr>
      <w:r>
        <w:t>En considérant un Résultat Net Comptable (RNC) supérieur à 5 M€, une partie de ce résultat sera reversée aux salarié.es.</w:t>
      </w:r>
    </w:p>
    <w:p w14:paraId="02667705" w14:textId="185D2AC6" w:rsidR="00BA541C" w:rsidRPr="00BA541C" w:rsidRDefault="00BA541C" w:rsidP="00C952E1">
      <w:pPr>
        <w:jc w:val="both"/>
        <w:rPr>
          <w:b/>
          <w:bCs/>
        </w:rPr>
      </w:pPr>
      <w:r w:rsidRPr="00BA541C">
        <w:rPr>
          <w:b/>
          <w:bCs/>
        </w:rPr>
        <w:t>Le montant de l’enveloppe Intéressement</w:t>
      </w:r>
      <w:r>
        <w:rPr>
          <w:b/>
          <w:bCs/>
        </w:rPr>
        <w:t xml:space="preserve"> (1)</w:t>
      </w:r>
      <w:r w:rsidRPr="00BA541C">
        <w:rPr>
          <w:b/>
          <w:bCs/>
        </w:rPr>
        <w:t xml:space="preserve"> = 20 % du RN</w:t>
      </w:r>
      <w:r>
        <w:rPr>
          <w:b/>
          <w:bCs/>
        </w:rPr>
        <w:t>C</w:t>
      </w:r>
    </w:p>
    <w:p w14:paraId="16B05B54" w14:textId="77777777" w:rsidR="00BA541C" w:rsidRDefault="00BA541C" w:rsidP="00C952E1">
      <w:pPr>
        <w:pStyle w:val="Paragraphedeliste"/>
        <w:numPr>
          <w:ilvl w:val="0"/>
          <w:numId w:val="6"/>
        </w:numPr>
        <w:jc w:val="both"/>
      </w:pPr>
      <w:r>
        <w:t xml:space="preserve">Y compris le montant de la participation </w:t>
      </w:r>
    </w:p>
    <w:p w14:paraId="7C2AFCF6" w14:textId="3C8846A6" w:rsidR="005841F7" w:rsidRDefault="00BA541C" w:rsidP="00C952E1">
      <w:pPr>
        <w:jc w:val="both"/>
      </w:pPr>
      <w:r>
        <w:t>Ce montant est</w:t>
      </w:r>
      <w:r w:rsidR="005841F7">
        <w:t xml:space="preserve"> </w:t>
      </w:r>
      <w:r>
        <w:t>plafonné à 12 % de</w:t>
      </w:r>
      <w:r w:rsidR="005841F7">
        <w:t xml:space="preserve"> la masse salariale brute</w:t>
      </w:r>
      <w:r w:rsidR="00AF2235">
        <w:t>.</w:t>
      </w:r>
    </w:p>
    <w:p w14:paraId="1EA950EF" w14:textId="41B4B7FE" w:rsidR="005841F7" w:rsidRDefault="005841F7" w:rsidP="00C952E1">
      <w:pPr>
        <w:jc w:val="both"/>
      </w:pPr>
      <w:r>
        <w:t>Exemple chiffré :</w:t>
      </w:r>
    </w:p>
    <w:p w14:paraId="4D0370E0" w14:textId="544C4D6F" w:rsidR="005841F7" w:rsidRDefault="005841F7" w:rsidP="00C952E1">
      <w:pPr>
        <w:jc w:val="both"/>
      </w:pPr>
      <w:r>
        <w:t xml:space="preserve">En 2018, comme le résultat était de 50 376 000 €, le montant de l’enveloppe Intéressement s’élevait à 10 075 000 € soit 20% du RNC. </w:t>
      </w:r>
    </w:p>
    <w:p w14:paraId="26382C68" w14:textId="77777777" w:rsidR="005841F7" w:rsidRDefault="005841F7" w:rsidP="00C952E1">
      <w:pPr>
        <w:jc w:val="both"/>
      </w:pPr>
      <w:r>
        <w:t>Sachant que la masse salariale s’élevait à 63 116 000 €, 12% de ce montant est égal à 7 573 000 €.</w:t>
      </w:r>
    </w:p>
    <w:p w14:paraId="738535ED" w14:textId="7A109D0A" w:rsidR="005841F7" w:rsidRDefault="005841F7" w:rsidP="00C952E1">
      <w:pPr>
        <w:jc w:val="both"/>
      </w:pPr>
      <w:r>
        <w:t xml:space="preserve">En conséquence, le montant de l’enveloppe </w:t>
      </w:r>
      <w:r w:rsidR="00A25E09">
        <w:t xml:space="preserve">Intéressement est plafonné à </w:t>
      </w:r>
      <w:r>
        <w:t>7 573 000 €</w:t>
      </w:r>
      <w:r w:rsidR="00A25E09">
        <w:t xml:space="preserve">. Le solde est dévolu aux critères d’obtention de la Participation. </w:t>
      </w:r>
      <w:r>
        <w:t xml:space="preserve">  </w:t>
      </w:r>
    </w:p>
    <w:p w14:paraId="630F34D0" w14:textId="77777777" w:rsidR="00C952E1" w:rsidRDefault="00C952E1" w:rsidP="00C952E1">
      <w:pPr>
        <w:jc w:val="both"/>
        <w:rPr>
          <w:b/>
          <w:bCs/>
          <w:i/>
          <w:iCs/>
          <w:color w:val="C00000"/>
        </w:rPr>
      </w:pPr>
    </w:p>
    <w:p w14:paraId="384A7288" w14:textId="77777777" w:rsidR="00C952E1" w:rsidRDefault="00C952E1" w:rsidP="00C952E1">
      <w:pPr>
        <w:jc w:val="both"/>
        <w:rPr>
          <w:b/>
          <w:bCs/>
          <w:i/>
          <w:iCs/>
          <w:color w:val="C00000"/>
        </w:rPr>
      </w:pPr>
    </w:p>
    <w:p w14:paraId="4C639D5D" w14:textId="166192D3" w:rsidR="005841F7" w:rsidRPr="00C952E1" w:rsidRDefault="005841F7" w:rsidP="00C952E1">
      <w:pPr>
        <w:pStyle w:val="Citationintense"/>
        <w:rPr>
          <w:b/>
          <w:bCs/>
          <w:color w:val="C00000"/>
          <w:sz w:val="24"/>
          <w:szCs w:val="24"/>
        </w:rPr>
      </w:pPr>
      <w:r w:rsidRPr="00C952E1">
        <w:rPr>
          <w:b/>
          <w:bCs/>
          <w:color w:val="C00000"/>
          <w:sz w:val="24"/>
          <w:szCs w:val="24"/>
        </w:rPr>
        <w:t xml:space="preserve">La mise en débat CGT GOC </w:t>
      </w:r>
    </w:p>
    <w:p w14:paraId="1DA16CF4" w14:textId="011724A2" w:rsidR="005841F7" w:rsidRPr="00C33764" w:rsidRDefault="00550E5F" w:rsidP="00C952E1">
      <w:pPr>
        <w:pStyle w:val="Citationintense"/>
        <w:rPr>
          <w:color w:val="C00000"/>
        </w:rPr>
      </w:pPr>
      <w:r w:rsidRPr="00C33764">
        <w:rPr>
          <w:rFonts w:cstheme="minorHAnsi"/>
          <w:color w:val="C00000"/>
        </w:rPr>
        <w:t xml:space="preserve">Ce que nous pouvons comprendre de la situation actuelle : </w:t>
      </w:r>
      <w:r w:rsidR="00C952E1" w:rsidRPr="00C33764">
        <w:rPr>
          <w:rFonts w:cstheme="minorHAnsi"/>
          <w:color w:val="C00000"/>
        </w:rPr>
        <w:t xml:space="preserve">                                         </w:t>
      </w:r>
      <w:r w:rsidR="005841F7" w:rsidRPr="00C33764">
        <w:rPr>
          <w:color w:val="C00000"/>
        </w:rPr>
        <w:t>si le résultat est faible, les salarié.es s</w:t>
      </w:r>
      <w:r w:rsidRPr="00C33764">
        <w:rPr>
          <w:color w:val="C00000"/>
        </w:rPr>
        <w:t>ont</w:t>
      </w:r>
      <w:r w:rsidR="005841F7" w:rsidRPr="00C33764">
        <w:rPr>
          <w:color w:val="C00000"/>
        </w:rPr>
        <w:t xml:space="preserve"> privé.es d’intéressement </w:t>
      </w:r>
      <w:r w:rsidR="00C952E1" w:rsidRPr="00C33764">
        <w:rPr>
          <w:color w:val="C00000"/>
        </w:rPr>
        <w:t xml:space="preserve">                                    </w:t>
      </w:r>
      <w:r w:rsidR="005841F7" w:rsidRPr="00C33764">
        <w:rPr>
          <w:color w:val="C00000"/>
        </w:rPr>
        <w:t xml:space="preserve">et s’il est important, la générosité de l’employeur </w:t>
      </w:r>
      <w:r w:rsidRPr="00C33764">
        <w:rPr>
          <w:color w:val="C00000"/>
        </w:rPr>
        <w:t xml:space="preserve">trouve ses </w:t>
      </w:r>
      <w:r w:rsidR="005841F7" w:rsidRPr="00C33764">
        <w:rPr>
          <w:color w:val="C00000"/>
        </w:rPr>
        <w:t>limites</w:t>
      </w:r>
      <w:r w:rsidR="00A25E09" w:rsidRPr="00C33764">
        <w:rPr>
          <w:color w:val="C00000"/>
        </w:rPr>
        <w:t>.</w:t>
      </w:r>
    </w:p>
    <w:p w14:paraId="69463816" w14:textId="457E69F6" w:rsidR="00550E5F" w:rsidRPr="00C33764" w:rsidRDefault="00550E5F" w:rsidP="00C952E1">
      <w:pPr>
        <w:pStyle w:val="Citationintense"/>
        <w:rPr>
          <w:color w:val="C00000"/>
        </w:rPr>
      </w:pPr>
      <w:r w:rsidRPr="00C33764">
        <w:rPr>
          <w:color w:val="C00000"/>
        </w:rPr>
        <w:t>Sachant que dans les entreprises modernes, le pourcentage de ce plafond est fixé à 20 %</w:t>
      </w:r>
      <w:r w:rsidR="00EA192F" w:rsidRPr="00C33764">
        <w:rPr>
          <w:color w:val="C00000"/>
        </w:rPr>
        <w:t xml:space="preserve"> comme le prévoit d’ailleurs la loi</w:t>
      </w:r>
      <w:r w:rsidR="00C952E1" w:rsidRPr="00C33764">
        <w:rPr>
          <w:color w:val="C00000"/>
        </w:rPr>
        <w:t xml:space="preserve"> [article L.3314-8 du code du travail]</w:t>
      </w:r>
      <w:r w:rsidR="00993089">
        <w:rPr>
          <w:color w:val="C00000"/>
        </w:rPr>
        <w:t>.</w:t>
      </w:r>
      <w:r w:rsidR="00EA192F" w:rsidRPr="00C33764">
        <w:rPr>
          <w:color w:val="C00000"/>
        </w:rPr>
        <w:t xml:space="preserve">        </w:t>
      </w:r>
      <w:r w:rsidRPr="00C33764">
        <w:rPr>
          <w:color w:val="C00000"/>
        </w:rPr>
        <w:t xml:space="preserve">pour quelles raisons Groupama d’OC n’adopterait-elle pas la même impulsion ? </w:t>
      </w:r>
    </w:p>
    <w:p w14:paraId="55A67C61" w14:textId="7B1CEBED" w:rsidR="00550E5F" w:rsidRPr="00C33764" w:rsidRDefault="00A25E09" w:rsidP="00C952E1">
      <w:pPr>
        <w:pStyle w:val="Citationintense"/>
        <w:rPr>
          <w:color w:val="C00000"/>
        </w:rPr>
      </w:pPr>
      <w:r w:rsidRPr="00C33764">
        <w:rPr>
          <w:color w:val="C00000"/>
        </w:rPr>
        <w:t xml:space="preserve">Pour le montant de l’enveloppe, pourquoi ne pas choisir la règle des tiers : </w:t>
      </w:r>
      <w:r w:rsidR="00EA192F" w:rsidRPr="00C33764">
        <w:rPr>
          <w:color w:val="C00000"/>
        </w:rPr>
        <w:t xml:space="preserve">            </w:t>
      </w:r>
      <w:r w:rsidRPr="00C33764">
        <w:rPr>
          <w:color w:val="C00000"/>
        </w:rPr>
        <w:t xml:space="preserve">1/3 pour l’entreprise, 1/3 pour les salarié.es et 1/3 pour les tiers. </w:t>
      </w:r>
    </w:p>
    <w:p w14:paraId="41A86976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35AD9BC2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248D0CF7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2B46AC1C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26768038" w14:textId="52373705" w:rsidR="00E86046" w:rsidRDefault="00384D3E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  <w:r w:rsidRPr="00E648E7">
        <w:rPr>
          <w:b/>
          <w:bCs/>
          <w:color w:val="5F497A" w:themeColor="accent4" w:themeShade="BF"/>
          <w:sz w:val="28"/>
          <w:szCs w:val="28"/>
        </w:rPr>
        <w:lastRenderedPageBreak/>
        <w:t xml:space="preserve">Les </w:t>
      </w:r>
      <w:r w:rsidR="00E86046">
        <w:rPr>
          <w:b/>
          <w:bCs/>
          <w:color w:val="5F497A" w:themeColor="accent4" w:themeShade="BF"/>
          <w:sz w:val="28"/>
          <w:szCs w:val="28"/>
        </w:rPr>
        <w:t xml:space="preserve">critères de répartition </w:t>
      </w:r>
    </w:p>
    <w:p w14:paraId="79B1BDDC" w14:textId="77777777" w:rsidR="00E3316A" w:rsidRDefault="00E3316A" w:rsidP="00C952E1">
      <w:pPr>
        <w:jc w:val="both"/>
      </w:pPr>
      <w:r>
        <w:t>Les deux clés de répartition sont :</w:t>
      </w:r>
    </w:p>
    <w:p w14:paraId="4BFEE4FE" w14:textId="2E46651A" w:rsidR="00E3316A" w:rsidRPr="00E3316A" w:rsidRDefault="00E3316A" w:rsidP="00EA192F">
      <w:pPr>
        <w:jc w:val="center"/>
      </w:pPr>
      <w:r w:rsidRPr="00E3316A">
        <w:rPr>
          <w:b/>
          <w:bCs/>
        </w:rPr>
        <w:t>Le temps de présence</w:t>
      </w:r>
      <w:r>
        <w:rPr>
          <w:b/>
          <w:bCs/>
        </w:rPr>
        <w:t xml:space="preserve"> </w:t>
      </w:r>
      <w:r>
        <w:t>(jusqu’à 4 M€)</w:t>
      </w:r>
    </w:p>
    <w:p w14:paraId="20FD14E0" w14:textId="73571261" w:rsidR="00E3316A" w:rsidRPr="00E3316A" w:rsidRDefault="00E3316A" w:rsidP="00EA192F">
      <w:pPr>
        <w:jc w:val="center"/>
      </w:pPr>
      <w:r w:rsidRPr="00E3316A">
        <w:rPr>
          <w:b/>
          <w:bCs/>
        </w:rPr>
        <w:t>La rémunération brute du salaire</w:t>
      </w:r>
      <w:r>
        <w:rPr>
          <w:b/>
          <w:bCs/>
        </w:rPr>
        <w:t xml:space="preserve"> </w:t>
      </w:r>
      <w:r>
        <w:t>(Au-delà de 4 M€)</w:t>
      </w:r>
    </w:p>
    <w:p w14:paraId="15BCB3F2" w14:textId="62451B1C" w:rsidR="00A50773" w:rsidRDefault="00A50773" w:rsidP="00C952E1">
      <w:pPr>
        <w:jc w:val="both"/>
      </w:pPr>
      <w:r>
        <w:t>La clé « Temps de présence » : Si je travaille à temps plein, j’ai le maximum de l’envelop</w:t>
      </w:r>
      <w:r w:rsidR="00072DB1">
        <w:t xml:space="preserve">pe. </w:t>
      </w:r>
    </w:p>
    <w:p w14:paraId="712D7F54" w14:textId="511B6B05" w:rsidR="00A50773" w:rsidRDefault="00A50773" w:rsidP="00C952E1">
      <w:pPr>
        <w:jc w:val="both"/>
      </w:pPr>
      <w:r>
        <w:t xml:space="preserve">La clé « Rémunération brute » : plus je gagne et plus je perçois d’intéressement. </w:t>
      </w:r>
      <w:r w:rsidR="000B71CC">
        <w:t>(1)</w:t>
      </w:r>
    </w:p>
    <w:p w14:paraId="6286C326" w14:textId="3F3BABA7" w:rsidR="000B71CC" w:rsidRDefault="000B71CC" w:rsidP="00C952E1">
      <w:pPr>
        <w:pStyle w:val="Paragraphedeliste"/>
        <w:numPr>
          <w:ilvl w:val="0"/>
          <w:numId w:val="8"/>
        </w:numPr>
        <w:jc w:val="both"/>
      </w:pPr>
      <w:r>
        <w:t xml:space="preserve">L’accord prévoit un plafond de rémunération de 80 000 € bruts annuels qui concernent principalement les 16 cadres de direction. Cette mesure </w:t>
      </w:r>
      <w:r w:rsidR="00446FEA">
        <w:t xml:space="preserve">est à relativiser </w:t>
      </w:r>
      <w:r w:rsidR="008A2A41">
        <w:t>du fait d’</w:t>
      </w:r>
      <w:r w:rsidR="00446FEA">
        <w:t xml:space="preserve">un montant d’enveloppe </w:t>
      </w:r>
      <w:r w:rsidR="00AF2235">
        <w:t xml:space="preserve">contenu </w:t>
      </w:r>
      <w:r>
        <w:t xml:space="preserve">régulièrement </w:t>
      </w:r>
      <w:r w:rsidR="00AF2235">
        <w:t xml:space="preserve">autour de </w:t>
      </w:r>
      <w:r>
        <w:t xml:space="preserve">4 M€. </w:t>
      </w:r>
    </w:p>
    <w:p w14:paraId="200EEE7B" w14:textId="77777777" w:rsidR="00550E5F" w:rsidRPr="00EA192F" w:rsidRDefault="00550E5F" w:rsidP="00EA192F">
      <w:pPr>
        <w:pStyle w:val="Citationintense"/>
        <w:rPr>
          <w:b/>
          <w:bCs/>
          <w:color w:val="C00000"/>
          <w:sz w:val="24"/>
          <w:szCs w:val="24"/>
        </w:rPr>
      </w:pPr>
      <w:r w:rsidRPr="00EA192F">
        <w:rPr>
          <w:b/>
          <w:bCs/>
          <w:color w:val="C00000"/>
          <w:sz w:val="24"/>
          <w:szCs w:val="24"/>
        </w:rPr>
        <w:t xml:space="preserve">La mise en débat CGT GOC </w:t>
      </w:r>
    </w:p>
    <w:p w14:paraId="798D0EF9" w14:textId="7DEB42C7" w:rsidR="00072DB1" w:rsidRPr="00C33764" w:rsidRDefault="00072DB1" w:rsidP="00EA192F">
      <w:pPr>
        <w:pStyle w:val="Citationintense"/>
        <w:rPr>
          <w:rFonts w:cstheme="minorHAnsi"/>
          <w:color w:val="C00000"/>
        </w:rPr>
      </w:pPr>
      <w:r w:rsidRPr="00C33764">
        <w:rPr>
          <w:rFonts w:cstheme="minorHAnsi"/>
          <w:color w:val="C00000"/>
        </w:rPr>
        <w:t xml:space="preserve">Sur la clé de répartition « temps de présence », ce qui interroge réside </w:t>
      </w:r>
      <w:r w:rsidR="00EA192F" w:rsidRPr="00C33764">
        <w:rPr>
          <w:rFonts w:cstheme="minorHAnsi"/>
          <w:color w:val="C00000"/>
        </w:rPr>
        <w:t xml:space="preserve">                             </w:t>
      </w:r>
      <w:r w:rsidRPr="00C33764">
        <w:rPr>
          <w:rFonts w:cstheme="minorHAnsi"/>
          <w:color w:val="C00000"/>
        </w:rPr>
        <w:t xml:space="preserve">par exemple sur les salarié.es qui sont malades, ne sont donc pas présent.es </w:t>
      </w:r>
      <w:r w:rsidR="00EA192F" w:rsidRPr="00C33764">
        <w:rPr>
          <w:rFonts w:cstheme="minorHAnsi"/>
          <w:color w:val="C00000"/>
        </w:rPr>
        <w:t xml:space="preserve">                    </w:t>
      </w:r>
      <w:r w:rsidRPr="00C33764">
        <w:rPr>
          <w:rFonts w:cstheme="minorHAnsi"/>
          <w:color w:val="C00000"/>
        </w:rPr>
        <w:t xml:space="preserve">et voient leur intéressement réduit. Pour eux, c’est la double peine. </w:t>
      </w:r>
    </w:p>
    <w:p w14:paraId="4F317B87" w14:textId="6312062E" w:rsidR="00072DB1" w:rsidRPr="00C33764" w:rsidRDefault="00072DB1" w:rsidP="00EA192F">
      <w:pPr>
        <w:pStyle w:val="Citationintense"/>
        <w:rPr>
          <w:rFonts w:cstheme="minorHAnsi"/>
          <w:color w:val="C00000"/>
        </w:rPr>
      </w:pPr>
      <w:r w:rsidRPr="00C33764">
        <w:rPr>
          <w:rFonts w:cstheme="minorHAnsi"/>
          <w:color w:val="C00000"/>
        </w:rPr>
        <w:t xml:space="preserve">Cette réflexion fait appel à nos valeurs humanistes. En quoi, le fait d’accepter un arrêt maladie comme temps de présence nous pénaliserait ? et de combien ? </w:t>
      </w:r>
    </w:p>
    <w:p w14:paraId="4583F325" w14:textId="1BE2CA6B" w:rsidR="00072DB1" w:rsidRPr="00C33764" w:rsidRDefault="00072DB1" w:rsidP="00EA192F">
      <w:pPr>
        <w:pStyle w:val="Citationintense"/>
        <w:rPr>
          <w:rFonts w:cstheme="minorHAnsi"/>
          <w:color w:val="C00000"/>
        </w:rPr>
      </w:pPr>
      <w:r w:rsidRPr="00C33764">
        <w:rPr>
          <w:rFonts w:cstheme="minorHAnsi"/>
          <w:color w:val="C00000"/>
        </w:rPr>
        <w:t>Au regard des sommes en jeu, nous avons toutes et tous à gagner à promouvoir</w:t>
      </w:r>
      <w:r w:rsidR="00EA192F" w:rsidRPr="00C33764">
        <w:rPr>
          <w:rFonts w:cstheme="minorHAnsi"/>
          <w:color w:val="C00000"/>
        </w:rPr>
        <w:t xml:space="preserve">  </w:t>
      </w:r>
      <w:r w:rsidRPr="00C33764">
        <w:rPr>
          <w:rFonts w:cstheme="minorHAnsi"/>
          <w:color w:val="C00000"/>
        </w:rPr>
        <w:t xml:space="preserve">la solidarité et à donner du sens à nos valeurs mutualistes. </w:t>
      </w:r>
      <w:r w:rsidR="00EA192F" w:rsidRPr="00C33764">
        <w:rPr>
          <w:rFonts w:cstheme="minorHAnsi"/>
          <w:color w:val="C00000"/>
        </w:rPr>
        <w:t xml:space="preserve">                                                </w:t>
      </w:r>
      <w:r w:rsidRPr="00C33764">
        <w:rPr>
          <w:rFonts w:cstheme="minorHAnsi"/>
          <w:color w:val="C00000"/>
        </w:rPr>
        <w:t xml:space="preserve">C’est un point qui sera mis en débat lors de la prochaine négociation. </w:t>
      </w:r>
    </w:p>
    <w:p w14:paraId="21A8B87C" w14:textId="7C4DD72E" w:rsidR="00072DB1" w:rsidRPr="00C33764" w:rsidRDefault="00072DB1" w:rsidP="00EA192F">
      <w:pPr>
        <w:pStyle w:val="Citationintense"/>
        <w:rPr>
          <w:rFonts w:cstheme="minorHAnsi"/>
          <w:color w:val="C00000"/>
        </w:rPr>
      </w:pPr>
      <w:r w:rsidRPr="00C33764">
        <w:rPr>
          <w:rFonts w:cstheme="minorHAnsi"/>
          <w:color w:val="C00000"/>
        </w:rPr>
        <w:t xml:space="preserve">Sur la clé de répartition « Rémunération brute », le critère actuel signifie </w:t>
      </w:r>
      <w:r w:rsidR="00EA192F" w:rsidRPr="00C33764">
        <w:rPr>
          <w:rFonts w:cstheme="minorHAnsi"/>
          <w:color w:val="C00000"/>
        </w:rPr>
        <w:t xml:space="preserve">                  </w:t>
      </w:r>
      <w:r w:rsidRPr="00C33764">
        <w:rPr>
          <w:rFonts w:cstheme="minorHAnsi"/>
          <w:color w:val="C00000"/>
        </w:rPr>
        <w:t>que le niveau de salaire est corrélé au résultat de l’entreprise.</w:t>
      </w:r>
      <w:r w:rsidR="00EA192F" w:rsidRPr="00C33764">
        <w:rPr>
          <w:rFonts w:cstheme="minorHAnsi"/>
          <w:color w:val="C00000"/>
        </w:rPr>
        <w:t xml:space="preserve"> </w:t>
      </w:r>
      <w:r w:rsidRPr="00C33764">
        <w:rPr>
          <w:rFonts w:cstheme="minorHAnsi"/>
          <w:color w:val="C00000"/>
        </w:rPr>
        <w:t xml:space="preserve">En d’autres termes, un directeur serait plus </w:t>
      </w:r>
      <w:r w:rsidR="00A55AF1" w:rsidRPr="00C33764">
        <w:rPr>
          <w:rFonts w:cstheme="minorHAnsi"/>
          <w:color w:val="C00000"/>
        </w:rPr>
        <w:t>« méritant »</w:t>
      </w:r>
      <w:r w:rsidRPr="00C33764">
        <w:rPr>
          <w:rFonts w:cstheme="minorHAnsi"/>
          <w:color w:val="C00000"/>
        </w:rPr>
        <w:t xml:space="preserve"> qu’un commercial ou un gestionnaire</w:t>
      </w:r>
      <w:r w:rsidR="00AF2235">
        <w:rPr>
          <w:rFonts w:cstheme="minorHAnsi"/>
          <w:color w:val="C00000"/>
        </w:rPr>
        <w:t>…</w:t>
      </w:r>
      <w:r w:rsidRPr="00C33764">
        <w:rPr>
          <w:rFonts w:cstheme="minorHAnsi"/>
          <w:color w:val="C00000"/>
        </w:rPr>
        <w:t xml:space="preserve"> </w:t>
      </w:r>
    </w:p>
    <w:p w14:paraId="418A01B9" w14:textId="77777777" w:rsidR="0090601C" w:rsidRDefault="0090601C" w:rsidP="00C952E1">
      <w:pPr>
        <w:jc w:val="both"/>
        <w:rPr>
          <w:rFonts w:cstheme="minorHAnsi"/>
        </w:rPr>
      </w:pPr>
    </w:p>
    <w:p w14:paraId="716EC48E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1E6A966D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446D66E3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097CB00B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639A9F05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756C56BD" w14:textId="0F7A5850" w:rsidR="00E86046" w:rsidRPr="00E648E7" w:rsidRDefault="00E86046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  <w:r w:rsidRPr="00E648E7">
        <w:rPr>
          <w:b/>
          <w:bCs/>
          <w:color w:val="5F497A" w:themeColor="accent4" w:themeShade="BF"/>
          <w:sz w:val="28"/>
          <w:szCs w:val="28"/>
        </w:rPr>
        <w:lastRenderedPageBreak/>
        <w:t>L</w:t>
      </w:r>
      <w:r w:rsidR="0090601C">
        <w:rPr>
          <w:b/>
          <w:bCs/>
          <w:color w:val="5F497A" w:themeColor="accent4" w:themeShade="BF"/>
          <w:sz w:val="28"/>
          <w:szCs w:val="28"/>
        </w:rPr>
        <w:t xml:space="preserve">’enveloppe supplémentaire </w:t>
      </w:r>
    </w:p>
    <w:p w14:paraId="0C323061" w14:textId="13D5F3EF" w:rsidR="009E4A61" w:rsidRDefault="0090601C" w:rsidP="00C952E1">
      <w:pPr>
        <w:jc w:val="both"/>
      </w:pPr>
      <w:r>
        <w:t xml:space="preserve">Une enveloppe supplémentaire dénommée « Booster » est prévue autour de deux critères. </w:t>
      </w:r>
    </w:p>
    <w:p w14:paraId="11FBE60D" w14:textId="52E887AE" w:rsidR="0090601C" w:rsidRPr="000B71CC" w:rsidRDefault="0090601C" w:rsidP="00C952E1">
      <w:pPr>
        <w:jc w:val="both"/>
        <w:rPr>
          <w:b/>
          <w:bCs/>
        </w:rPr>
      </w:pPr>
      <w:r w:rsidRPr="000B71CC">
        <w:rPr>
          <w:b/>
          <w:bCs/>
        </w:rPr>
        <w:t>Le critère « Ratio Combiné »</w:t>
      </w:r>
    </w:p>
    <w:p w14:paraId="3DAA0C48" w14:textId="7CDAEA74" w:rsidR="0090601C" w:rsidRDefault="0090601C" w:rsidP="00C952E1">
      <w:pPr>
        <w:jc w:val="both"/>
      </w:pPr>
      <w:r>
        <w:t>Un complément d’intéressement est versé à hauteur de :</w:t>
      </w:r>
    </w:p>
    <w:p w14:paraId="756162EB" w14:textId="44F0BDF6" w:rsidR="0090601C" w:rsidRDefault="0090601C" w:rsidP="00C952E1">
      <w:pPr>
        <w:pStyle w:val="Paragraphedeliste"/>
        <w:numPr>
          <w:ilvl w:val="0"/>
          <w:numId w:val="1"/>
        </w:numPr>
        <w:jc w:val="both"/>
      </w:pPr>
      <w:r>
        <w:t>10 % de l’enveloppe d’intéressement si le ratio combiné est compris entre 97 % et 98 %</w:t>
      </w:r>
    </w:p>
    <w:p w14:paraId="62B44F1F" w14:textId="6BEDEE2E" w:rsidR="0090601C" w:rsidRDefault="0090601C" w:rsidP="00C952E1">
      <w:pPr>
        <w:pStyle w:val="Paragraphedeliste"/>
        <w:numPr>
          <w:ilvl w:val="0"/>
          <w:numId w:val="1"/>
        </w:numPr>
        <w:jc w:val="both"/>
      </w:pPr>
      <w:r>
        <w:t>20 % de l’enveloppe d’intéressement si le ratio combiné est inférieur à 97 %</w:t>
      </w:r>
    </w:p>
    <w:p w14:paraId="21D74B2E" w14:textId="3C7516EF" w:rsidR="0090601C" w:rsidRPr="000B71CC" w:rsidRDefault="0090601C" w:rsidP="00C952E1">
      <w:pPr>
        <w:jc w:val="both"/>
        <w:rPr>
          <w:b/>
          <w:bCs/>
        </w:rPr>
      </w:pPr>
      <w:r w:rsidRPr="000B71CC">
        <w:rPr>
          <w:b/>
          <w:bCs/>
        </w:rPr>
        <w:t>Le critère « Clients très satisfaits maché Part »</w:t>
      </w:r>
    </w:p>
    <w:p w14:paraId="72FD9C4C" w14:textId="111A34CB" w:rsidR="0090601C" w:rsidRDefault="0090601C" w:rsidP="00C952E1">
      <w:pPr>
        <w:jc w:val="both"/>
      </w:pPr>
      <w:r>
        <w:t xml:space="preserve">Si les objectifs de clients très satisfaits en pourcentage sont atteints, un complément d’intéressement est versé aux conditions indiquées dans le tableau ci-dessous.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64"/>
      </w:tblGrid>
      <w:tr w:rsidR="0090601C" w14:paraId="5BF46173" w14:textId="77777777" w:rsidTr="0090601C">
        <w:tc>
          <w:tcPr>
            <w:tcW w:w="1413" w:type="dxa"/>
          </w:tcPr>
          <w:p w14:paraId="7A6BA516" w14:textId="77777777" w:rsidR="0090601C" w:rsidRDefault="0090601C" w:rsidP="00C952E1">
            <w:pPr>
              <w:jc w:val="both"/>
            </w:pPr>
          </w:p>
        </w:tc>
        <w:tc>
          <w:tcPr>
            <w:tcW w:w="3685" w:type="dxa"/>
          </w:tcPr>
          <w:p w14:paraId="02187B30" w14:textId="18D0EEFB" w:rsidR="000B71CC" w:rsidRPr="000B71CC" w:rsidRDefault="0090601C" w:rsidP="00C952E1">
            <w:pPr>
              <w:jc w:val="both"/>
              <w:rPr>
                <w:b/>
                <w:bCs/>
                <w:color w:val="8064A2" w:themeColor="accent4"/>
              </w:rPr>
            </w:pPr>
            <w:r w:rsidRPr="000B71CC">
              <w:rPr>
                <w:b/>
                <w:bCs/>
                <w:color w:val="8064A2" w:themeColor="accent4"/>
              </w:rPr>
              <w:t>10 % de l’enveloppe</w:t>
            </w:r>
          </w:p>
          <w:p w14:paraId="0EA929CB" w14:textId="6ADED82F" w:rsidR="0090601C" w:rsidRPr="000B71CC" w:rsidRDefault="0090601C" w:rsidP="00C952E1">
            <w:pPr>
              <w:jc w:val="both"/>
              <w:rPr>
                <w:b/>
                <w:bCs/>
                <w:color w:val="8064A2" w:themeColor="accent4"/>
              </w:rPr>
            </w:pPr>
            <w:r w:rsidRPr="000B71CC">
              <w:rPr>
                <w:b/>
                <w:bCs/>
                <w:color w:val="8064A2" w:themeColor="accent4"/>
              </w:rPr>
              <w:t>si ces conditions sont atteintes</w:t>
            </w:r>
          </w:p>
        </w:tc>
        <w:tc>
          <w:tcPr>
            <w:tcW w:w="3964" w:type="dxa"/>
          </w:tcPr>
          <w:p w14:paraId="63463E4D" w14:textId="226CC2B1" w:rsidR="000B71CC" w:rsidRPr="000B71CC" w:rsidRDefault="0090601C" w:rsidP="00C952E1">
            <w:pPr>
              <w:jc w:val="both"/>
              <w:rPr>
                <w:b/>
                <w:bCs/>
                <w:color w:val="8064A2" w:themeColor="accent4"/>
              </w:rPr>
            </w:pPr>
            <w:r w:rsidRPr="000B71CC">
              <w:rPr>
                <w:b/>
                <w:bCs/>
                <w:color w:val="8064A2" w:themeColor="accent4"/>
              </w:rPr>
              <w:t>20 % de l’enveloppe</w:t>
            </w:r>
          </w:p>
          <w:p w14:paraId="0AB4FA56" w14:textId="003A9A83" w:rsidR="0090601C" w:rsidRPr="000B71CC" w:rsidRDefault="0090601C" w:rsidP="00C952E1">
            <w:pPr>
              <w:jc w:val="both"/>
              <w:rPr>
                <w:b/>
                <w:bCs/>
                <w:color w:val="8064A2" w:themeColor="accent4"/>
              </w:rPr>
            </w:pPr>
            <w:r w:rsidRPr="000B71CC">
              <w:rPr>
                <w:b/>
                <w:bCs/>
                <w:color w:val="8064A2" w:themeColor="accent4"/>
              </w:rPr>
              <w:t>si ces conditions sont atteintes</w:t>
            </w:r>
          </w:p>
        </w:tc>
      </w:tr>
      <w:tr w:rsidR="0090601C" w14:paraId="390E3A20" w14:textId="77777777" w:rsidTr="0090601C">
        <w:tc>
          <w:tcPr>
            <w:tcW w:w="1413" w:type="dxa"/>
          </w:tcPr>
          <w:p w14:paraId="494B590F" w14:textId="5BD9A299" w:rsidR="0090601C" w:rsidRPr="000B71CC" w:rsidRDefault="0090601C" w:rsidP="00C952E1">
            <w:pPr>
              <w:jc w:val="both"/>
              <w:rPr>
                <w:b/>
                <w:bCs/>
                <w:color w:val="8064A2" w:themeColor="accent4"/>
              </w:rPr>
            </w:pPr>
            <w:r w:rsidRPr="000B71CC">
              <w:rPr>
                <w:b/>
                <w:bCs/>
                <w:color w:val="8064A2" w:themeColor="accent4"/>
              </w:rPr>
              <w:t>Année 2021</w:t>
            </w:r>
          </w:p>
        </w:tc>
        <w:tc>
          <w:tcPr>
            <w:tcW w:w="3685" w:type="dxa"/>
          </w:tcPr>
          <w:p w14:paraId="6AA47DF2" w14:textId="260A9C6C" w:rsidR="0090601C" w:rsidRPr="000B71CC" w:rsidRDefault="0090601C" w:rsidP="00C952E1">
            <w:pPr>
              <w:jc w:val="both"/>
              <w:rPr>
                <w:color w:val="404040" w:themeColor="text1" w:themeTint="BF"/>
              </w:rPr>
            </w:pPr>
            <w:r w:rsidRPr="000B71CC">
              <w:rPr>
                <w:color w:val="404040" w:themeColor="text1" w:themeTint="BF"/>
              </w:rPr>
              <w:t>Taux compris entre 29 % et 31 %</w:t>
            </w:r>
          </w:p>
        </w:tc>
        <w:tc>
          <w:tcPr>
            <w:tcW w:w="3964" w:type="dxa"/>
          </w:tcPr>
          <w:p w14:paraId="4380A387" w14:textId="1DE09D65" w:rsidR="0090601C" w:rsidRPr="000B71CC" w:rsidRDefault="0090601C" w:rsidP="00C952E1">
            <w:pPr>
              <w:jc w:val="both"/>
              <w:rPr>
                <w:color w:val="404040" w:themeColor="text1" w:themeTint="BF"/>
              </w:rPr>
            </w:pPr>
            <w:r w:rsidRPr="000B71CC">
              <w:rPr>
                <w:color w:val="404040" w:themeColor="text1" w:themeTint="BF"/>
              </w:rPr>
              <w:t xml:space="preserve">Taux </w:t>
            </w:r>
            <w:r w:rsidRPr="000B71CC">
              <w:rPr>
                <w:rFonts w:cstheme="minorHAnsi"/>
                <w:color w:val="404040" w:themeColor="text1" w:themeTint="BF"/>
              </w:rPr>
              <w:t>≥</w:t>
            </w:r>
            <w:r w:rsidR="000B71CC" w:rsidRPr="000B71CC">
              <w:rPr>
                <w:color w:val="404040" w:themeColor="text1" w:themeTint="BF"/>
              </w:rPr>
              <w:t xml:space="preserve"> 31 %</w:t>
            </w:r>
          </w:p>
        </w:tc>
      </w:tr>
      <w:tr w:rsidR="0090601C" w14:paraId="6FE0CDC0" w14:textId="77777777" w:rsidTr="0090601C">
        <w:tc>
          <w:tcPr>
            <w:tcW w:w="1413" w:type="dxa"/>
          </w:tcPr>
          <w:p w14:paraId="71D8AD6C" w14:textId="7AD7D426" w:rsidR="0090601C" w:rsidRPr="000B71CC" w:rsidRDefault="0090601C" w:rsidP="00C952E1">
            <w:pPr>
              <w:jc w:val="both"/>
              <w:rPr>
                <w:b/>
                <w:bCs/>
                <w:color w:val="8064A2" w:themeColor="accent4"/>
              </w:rPr>
            </w:pPr>
            <w:r w:rsidRPr="000B71CC">
              <w:rPr>
                <w:b/>
                <w:bCs/>
                <w:color w:val="8064A2" w:themeColor="accent4"/>
              </w:rPr>
              <w:t>Année 2022</w:t>
            </w:r>
          </w:p>
        </w:tc>
        <w:tc>
          <w:tcPr>
            <w:tcW w:w="3685" w:type="dxa"/>
          </w:tcPr>
          <w:p w14:paraId="2081F33C" w14:textId="48075A09" w:rsidR="0090601C" w:rsidRPr="000B71CC" w:rsidRDefault="000B71CC" w:rsidP="00C952E1">
            <w:pPr>
              <w:jc w:val="both"/>
              <w:rPr>
                <w:color w:val="404040" w:themeColor="text1" w:themeTint="BF"/>
              </w:rPr>
            </w:pPr>
            <w:r w:rsidRPr="000B71CC">
              <w:rPr>
                <w:color w:val="404040" w:themeColor="text1" w:themeTint="BF"/>
              </w:rPr>
              <w:t>Taux compris entre 31 % et 33 %</w:t>
            </w:r>
          </w:p>
        </w:tc>
        <w:tc>
          <w:tcPr>
            <w:tcW w:w="3964" w:type="dxa"/>
          </w:tcPr>
          <w:p w14:paraId="345D06F6" w14:textId="67779D3E" w:rsidR="0090601C" w:rsidRPr="000B71CC" w:rsidRDefault="000B71CC" w:rsidP="00C952E1">
            <w:pPr>
              <w:jc w:val="both"/>
              <w:rPr>
                <w:color w:val="404040" w:themeColor="text1" w:themeTint="BF"/>
              </w:rPr>
            </w:pPr>
            <w:r w:rsidRPr="000B71CC">
              <w:rPr>
                <w:color w:val="404040" w:themeColor="text1" w:themeTint="BF"/>
              </w:rPr>
              <w:t xml:space="preserve">Taux </w:t>
            </w:r>
            <w:r w:rsidRPr="000B71CC">
              <w:rPr>
                <w:rFonts w:cstheme="minorHAnsi"/>
                <w:color w:val="404040" w:themeColor="text1" w:themeTint="BF"/>
              </w:rPr>
              <w:t>≥</w:t>
            </w:r>
            <w:r w:rsidRPr="000B71CC">
              <w:rPr>
                <w:color w:val="404040" w:themeColor="text1" w:themeTint="BF"/>
              </w:rPr>
              <w:t xml:space="preserve"> 33 %</w:t>
            </w:r>
          </w:p>
        </w:tc>
      </w:tr>
      <w:tr w:rsidR="000B71CC" w14:paraId="7FE6D95C" w14:textId="77777777" w:rsidTr="0090601C">
        <w:tc>
          <w:tcPr>
            <w:tcW w:w="1413" w:type="dxa"/>
          </w:tcPr>
          <w:p w14:paraId="1E423C68" w14:textId="16C36775" w:rsidR="000B71CC" w:rsidRPr="000B71CC" w:rsidRDefault="000B71CC" w:rsidP="00C952E1">
            <w:pPr>
              <w:jc w:val="both"/>
              <w:rPr>
                <w:b/>
                <w:bCs/>
                <w:color w:val="8064A2" w:themeColor="accent4"/>
              </w:rPr>
            </w:pPr>
            <w:r w:rsidRPr="000B71CC">
              <w:rPr>
                <w:b/>
                <w:bCs/>
                <w:color w:val="8064A2" w:themeColor="accent4"/>
              </w:rPr>
              <w:t>Année 2023</w:t>
            </w:r>
          </w:p>
        </w:tc>
        <w:tc>
          <w:tcPr>
            <w:tcW w:w="3685" w:type="dxa"/>
          </w:tcPr>
          <w:p w14:paraId="6E142CC8" w14:textId="3FB25185" w:rsidR="000B71CC" w:rsidRPr="000B71CC" w:rsidRDefault="000B71CC" w:rsidP="00C952E1">
            <w:pPr>
              <w:jc w:val="both"/>
              <w:rPr>
                <w:color w:val="404040" w:themeColor="text1" w:themeTint="BF"/>
              </w:rPr>
            </w:pPr>
            <w:r w:rsidRPr="000B71CC">
              <w:rPr>
                <w:color w:val="404040" w:themeColor="text1" w:themeTint="BF"/>
              </w:rPr>
              <w:t>Taux compris entre 31 % et 33 %</w:t>
            </w:r>
          </w:p>
        </w:tc>
        <w:tc>
          <w:tcPr>
            <w:tcW w:w="3964" w:type="dxa"/>
          </w:tcPr>
          <w:p w14:paraId="1706EE0B" w14:textId="36EE311C" w:rsidR="000B71CC" w:rsidRPr="000B71CC" w:rsidRDefault="000B71CC" w:rsidP="00C952E1">
            <w:pPr>
              <w:jc w:val="both"/>
              <w:rPr>
                <w:color w:val="404040" w:themeColor="text1" w:themeTint="BF"/>
              </w:rPr>
            </w:pPr>
            <w:r w:rsidRPr="000B71CC">
              <w:rPr>
                <w:color w:val="404040" w:themeColor="text1" w:themeTint="BF"/>
              </w:rPr>
              <w:t xml:space="preserve">Taux </w:t>
            </w:r>
            <w:r w:rsidRPr="000B71CC">
              <w:rPr>
                <w:rFonts w:cstheme="minorHAnsi"/>
                <w:color w:val="404040" w:themeColor="text1" w:themeTint="BF"/>
              </w:rPr>
              <w:t>≥</w:t>
            </w:r>
            <w:r w:rsidRPr="000B71CC">
              <w:rPr>
                <w:color w:val="404040" w:themeColor="text1" w:themeTint="BF"/>
              </w:rPr>
              <w:t xml:space="preserve"> 33 %</w:t>
            </w:r>
          </w:p>
        </w:tc>
      </w:tr>
    </w:tbl>
    <w:p w14:paraId="4292239B" w14:textId="77777777" w:rsidR="0090601C" w:rsidRDefault="0090601C" w:rsidP="00C952E1">
      <w:pPr>
        <w:jc w:val="both"/>
      </w:pPr>
    </w:p>
    <w:p w14:paraId="41BEB9D0" w14:textId="77777777" w:rsidR="000B71CC" w:rsidRPr="00EA192F" w:rsidRDefault="000B71CC" w:rsidP="00EA192F">
      <w:pPr>
        <w:pStyle w:val="Citationintense"/>
        <w:rPr>
          <w:b/>
          <w:bCs/>
          <w:color w:val="C00000"/>
          <w:sz w:val="24"/>
          <w:szCs w:val="24"/>
        </w:rPr>
      </w:pPr>
      <w:r w:rsidRPr="00EA192F">
        <w:rPr>
          <w:b/>
          <w:bCs/>
          <w:color w:val="C00000"/>
          <w:sz w:val="24"/>
          <w:szCs w:val="24"/>
        </w:rPr>
        <w:t xml:space="preserve">La mise en débat CGT GOC </w:t>
      </w:r>
    </w:p>
    <w:p w14:paraId="371D5D2E" w14:textId="78B517AF" w:rsidR="0090601C" w:rsidRPr="00C33764" w:rsidRDefault="000B71CC" w:rsidP="00EA192F">
      <w:pPr>
        <w:pStyle w:val="Citationintense"/>
        <w:rPr>
          <w:rFonts w:cstheme="minorHAnsi"/>
          <w:color w:val="C00000"/>
        </w:rPr>
      </w:pPr>
      <w:r w:rsidRPr="00C33764">
        <w:rPr>
          <w:rFonts w:cstheme="minorHAnsi"/>
          <w:color w:val="C00000"/>
        </w:rPr>
        <w:t xml:space="preserve">Ces critères seront analysés lors de la négociation. </w:t>
      </w:r>
    </w:p>
    <w:p w14:paraId="6A8E9DBE" w14:textId="77777777" w:rsidR="00C17C00" w:rsidRDefault="00C17C00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6B0A939F" w14:textId="4D87B745" w:rsidR="00616705" w:rsidRDefault="00616705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  <w:r>
        <w:rPr>
          <w:b/>
          <w:bCs/>
          <w:color w:val="5F497A" w:themeColor="accent4" w:themeShade="BF"/>
          <w:sz w:val="28"/>
          <w:szCs w:val="28"/>
        </w:rPr>
        <w:t xml:space="preserve">Groupama d’OC vs les autres caisses régionales  </w:t>
      </w:r>
    </w:p>
    <w:p w14:paraId="565A8E1B" w14:textId="00967C36" w:rsidR="00616705" w:rsidRDefault="00616705" w:rsidP="00C952E1">
      <w:pPr>
        <w:jc w:val="both"/>
      </w:pPr>
      <w:r>
        <w:t xml:space="preserve">[à insérer ici pour la future négo] Le comparatif des accords d’intéressement des caisses régionales. </w:t>
      </w:r>
    </w:p>
    <w:p w14:paraId="74B83B1C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27DC9593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758AB3FE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4F080A68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2225D599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6A0CBFEC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57284DC6" w14:textId="77777777" w:rsidR="00993089" w:rsidRDefault="0099308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1C483BD3" w14:textId="062BBE18" w:rsidR="00D32D99" w:rsidRDefault="00D32D99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  <w:r>
        <w:rPr>
          <w:b/>
          <w:bCs/>
          <w:color w:val="5F497A" w:themeColor="accent4" w:themeShade="BF"/>
          <w:sz w:val="28"/>
          <w:szCs w:val="28"/>
        </w:rPr>
        <w:lastRenderedPageBreak/>
        <w:t xml:space="preserve">La Participation   </w:t>
      </w:r>
    </w:p>
    <w:p w14:paraId="2827DCA4" w14:textId="39B36F08" w:rsidR="00D32D99" w:rsidRDefault="00D32D99" w:rsidP="00C952E1">
      <w:pPr>
        <w:jc w:val="both"/>
      </w:pPr>
      <w:r>
        <w:t xml:space="preserve">La participation des salarié.es aux résultats de l’entreprise appelée « Réserve Spéciale de Participation » est définie à partir d’une formule légale de calcul. </w:t>
      </w:r>
    </w:p>
    <w:p w14:paraId="33B7479F" w14:textId="7BCF02BB" w:rsidR="00D32D99" w:rsidRDefault="00D32D99" w:rsidP="00C952E1">
      <w:pPr>
        <w:jc w:val="both"/>
      </w:pPr>
      <w:r>
        <w:t xml:space="preserve">Cette formule aboutit à un montant d’enveloppe qui comprend la mise en réserve d’une partie du bénéfice dans les capitaux propres et d’un ratio relatif aux salaires et à la valeur ajoutée. (la formule est indiquée dans l’accord d’entreprise). </w:t>
      </w:r>
    </w:p>
    <w:p w14:paraId="4FA8AAB5" w14:textId="0691AE91" w:rsidR="00D32D99" w:rsidRDefault="00D32D99" w:rsidP="00C952E1">
      <w:pPr>
        <w:jc w:val="both"/>
      </w:pPr>
      <w:r>
        <w:t xml:space="preserve">Les critères de répartition sont similaires à ceux de l’intéressement. </w:t>
      </w:r>
    </w:p>
    <w:p w14:paraId="19646D7E" w14:textId="6DACED4D" w:rsidR="008019CB" w:rsidRDefault="008019CB" w:rsidP="00C952E1">
      <w:pPr>
        <w:jc w:val="both"/>
        <w:rPr>
          <w:b/>
          <w:bCs/>
          <w:color w:val="5F497A" w:themeColor="accent4" w:themeShade="BF"/>
          <w:sz w:val="28"/>
          <w:szCs w:val="28"/>
        </w:rPr>
      </w:pPr>
      <w:r>
        <w:rPr>
          <w:b/>
          <w:bCs/>
          <w:color w:val="5F497A" w:themeColor="accent4" w:themeShade="BF"/>
          <w:sz w:val="28"/>
          <w:szCs w:val="28"/>
        </w:rPr>
        <w:t xml:space="preserve">L’abondement    </w:t>
      </w:r>
    </w:p>
    <w:p w14:paraId="35769FDD" w14:textId="77777777" w:rsidR="00C17C00" w:rsidRDefault="00C17C00" w:rsidP="00C952E1">
      <w:pPr>
        <w:jc w:val="both"/>
      </w:pPr>
      <w:r>
        <w:t>Le Plan d’</w:t>
      </w:r>
      <w:r>
        <w:rPr>
          <w:rFonts w:cstheme="minorHAnsi"/>
        </w:rPr>
        <w:t>É</w:t>
      </w:r>
      <w:r>
        <w:t>pargne Entreprise (PEE) est alimenté par :</w:t>
      </w:r>
    </w:p>
    <w:p w14:paraId="1320B720" w14:textId="3D0E9CCC" w:rsidR="00C17C00" w:rsidRDefault="00C17C00" w:rsidP="00C17C00">
      <w:pPr>
        <w:pStyle w:val="Paragraphedeliste"/>
        <w:numPr>
          <w:ilvl w:val="0"/>
          <w:numId w:val="1"/>
        </w:numPr>
        <w:jc w:val="both"/>
      </w:pPr>
      <w:r>
        <w:t>Le montant de l’intéressement / Participation,</w:t>
      </w:r>
    </w:p>
    <w:p w14:paraId="1DE29B16" w14:textId="76E151DE" w:rsidR="008019CB" w:rsidRDefault="00C17C00" w:rsidP="00C17C00">
      <w:pPr>
        <w:pStyle w:val="Paragraphedeliste"/>
        <w:numPr>
          <w:ilvl w:val="0"/>
          <w:numId w:val="1"/>
        </w:numPr>
        <w:jc w:val="both"/>
      </w:pPr>
      <w:r>
        <w:t>Des versements volontaires que vous faîtes vous-même. (maximum 25 % de la rémunération brute du salarié.e).</w:t>
      </w:r>
    </w:p>
    <w:p w14:paraId="424B0490" w14:textId="4C943A0B" w:rsidR="00C17C00" w:rsidRDefault="00C17C00" w:rsidP="00C952E1">
      <w:pPr>
        <w:jc w:val="both"/>
      </w:pPr>
      <w:r>
        <w:t xml:space="preserve">Sur ces montants, l’accord PEE prévoit un abondement de la part de l’entreprise. </w:t>
      </w:r>
    </w:p>
    <w:p w14:paraId="6D83A012" w14:textId="68D4980B" w:rsidR="00C17C00" w:rsidRDefault="00C17C00" w:rsidP="00C952E1">
      <w:pPr>
        <w:jc w:val="both"/>
      </w:pPr>
      <w:r>
        <w:t>Il s’élève au maximum à 500 €</w:t>
      </w:r>
    </w:p>
    <w:p w14:paraId="3ED9D715" w14:textId="74A20E5B" w:rsidR="00C17C00" w:rsidRDefault="00C17C00" w:rsidP="00C17C00">
      <w:pPr>
        <w:pStyle w:val="Paragraphedeliste"/>
        <w:numPr>
          <w:ilvl w:val="0"/>
          <w:numId w:val="1"/>
        </w:numPr>
        <w:jc w:val="both"/>
      </w:pPr>
      <w:r>
        <w:t>200 % pour les versements compris de 0 à 150 € (soit 300 € maximum),</w:t>
      </w:r>
    </w:p>
    <w:p w14:paraId="2F8236C9" w14:textId="5E361EFE" w:rsidR="00C17C00" w:rsidRDefault="00C17C00" w:rsidP="00C17C00">
      <w:pPr>
        <w:pStyle w:val="Paragraphedeliste"/>
        <w:numPr>
          <w:ilvl w:val="0"/>
          <w:numId w:val="1"/>
        </w:numPr>
        <w:jc w:val="both"/>
      </w:pPr>
      <w:r>
        <w:t>25 % pour les versements compris de 150 € à 950 € (soit 200 € maximum).</w:t>
      </w:r>
    </w:p>
    <w:p w14:paraId="5D4FDC19" w14:textId="6297031D" w:rsidR="00C32075" w:rsidRDefault="00C32075" w:rsidP="00C32075">
      <w:pPr>
        <w:jc w:val="both"/>
      </w:pPr>
      <w:r>
        <w:t>En complément, un abondement est prévu dans le cadre du PERCO-I (800 €), beaucoup plus contraignant et donc, moins accessible pour les salarié.es les moins bien lotie.s</w:t>
      </w:r>
    </w:p>
    <w:p w14:paraId="3B343122" w14:textId="403C8177" w:rsidR="00C17C00" w:rsidRDefault="00C17C00" w:rsidP="00C17C00">
      <w:pPr>
        <w:jc w:val="both"/>
      </w:pPr>
      <w:r>
        <w:t xml:space="preserve">Au regard des dispositions réglementaires, le plafond de l’abondement est fixé à 16% du plafond de la Sécurité Sociale, soit 6 581,76 € en 2022. </w:t>
      </w:r>
    </w:p>
    <w:p w14:paraId="6C3F9895" w14:textId="77777777" w:rsidR="00993089" w:rsidRDefault="00993089" w:rsidP="00C17C00">
      <w:pPr>
        <w:jc w:val="both"/>
      </w:pPr>
    </w:p>
    <w:p w14:paraId="15E01579" w14:textId="77777777" w:rsidR="00C17C00" w:rsidRPr="00EA192F" w:rsidRDefault="00C17C00" w:rsidP="00C17C00">
      <w:pPr>
        <w:pStyle w:val="Citationintense"/>
        <w:rPr>
          <w:b/>
          <w:bCs/>
          <w:color w:val="C00000"/>
          <w:sz w:val="24"/>
          <w:szCs w:val="24"/>
        </w:rPr>
      </w:pPr>
      <w:r w:rsidRPr="00EA192F">
        <w:rPr>
          <w:b/>
          <w:bCs/>
          <w:color w:val="C00000"/>
          <w:sz w:val="24"/>
          <w:szCs w:val="24"/>
        </w:rPr>
        <w:t xml:space="preserve">La mise en débat CGT GOC </w:t>
      </w:r>
    </w:p>
    <w:p w14:paraId="167C870C" w14:textId="77777777" w:rsidR="00AF2235" w:rsidRDefault="00C17C00" w:rsidP="00C17C00">
      <w:pPr>
        <w:pStyle w:val="Citationintense"/>
        <w:rPr>
          <w:rFonts w:cstheme="minorHAnsi"/>
          <w:color w:val="C00000"/>
        </w:rPr>
      </w:pPr>
      <w:r>
        <w:rPr>
          <w:rFonts w:cstheme="minorHAnsi"/>
          <w:color w:val="C00000"/>
        </w:rPr>
        <w:t xml:space="preserve">Le niveau de l’abondement à Groupama d’OC </w:t>
      </w:r>
      <w:r w:rsidR="00C32075">
        <w:rPr>
          <w:rFonts w:cstheme="minorHAnsi"/>
          <w:color w:val="C00000"/>
        </w:rPr>
        <w:t>est insuffisant.</w:t>
      </w:r>
      <w:r>
        <w:rPr>
          <w:rFonts w:cstheme="minorHAnsi"/>
          <w:color w:val="C00000"/>
        </w:rPr>
        <w:t xml:space="preserve">                                                                                      Ce point sera traité lors des futures négociations</w:t>
      </w:r>
      <w:r w:rsidR="00AF2235">
        <w:rPr>
          <w:rFonts w:cstheme="minorHAnsi"/>
          <w:color w:val="C00000"/>
        </w:rPr>
        <w:t xml:space="preserve">.                                                                          </w:t>
      </w:r>
    </w:p>
    <w:p w14:paraId="50A48BB6" w14:textId="1B68972E" w:rsidR="00C17C00" w:rsidRDefault="00AF2235" w:rsidP="00C17C00">
      <w:pPr>
        <w:pStyle w:val="Citationintense"/>
        <w:rPr>
          <w:rFonts w:cstheme="minorHAnsi"/>
          <w:color w:val="C00000"/>
        </w:rPr>
      </w:pPr>
      <w:r>
        <w:rPr>
          <w:rFonts w:cstheme="minorHAnsi"/>
          <w:color w:val="C00000"/>
        </w:rPr>
        <w:t>Il conviendra également d’étudier le nombre de collègues exclus de l’abondement du fait qu’ils n’en ont tout simplement pas les moyens financiers.</w:t>
      </w:r>
      <w:r w:rsidR="00C17C00">
        <w:rPr>
          <w:rFonts w:cstheme="minorHAnsi"/>
          <w:color w:val="C00000"/>
        </w:rPr>
        <w:t xml:space="preserve"> </w:t>
      </w:r>
    </w:p>
    <w:p w14:paraId="611FEE79" w14:textId="77777777" w:rsidR="00AF2235" w:rsidRPr="00AF2235" w:rsidRDefault="00AF2235" w:rsidP="00AF2235"/>
    <w:p w14:paraId="6ADE6DF2" w14:textId="77777777" w:rsidR="00C17C00" w:rsidRPr="00C17C00" w:rsidRDefault="00C17C00" w:rsidP="00C17C00"/>
    <w:p w14:paraId="5390AD44" w14:textId="77777777" w:rsidR="00C17C00" w:rsidRDefault="00C17C00" w:rsidP="00C17C00">
      <w:pPr>
        <w:jc w:val="both"/>
        <w:rPr>
          <w:b/>
          <w:bCs/>
          <w:color w:val="5F497A" w:themeColor="accent4" w:themeShade="BF"/>
          <w:sz w:val="28"/>
          <w:szCs w:val="28"/>
        </w:rPr>
      </w:pPr>
    </w:p>
    <w:p w14:paraId="53F47CC6" w14:textId="77777777" w:rsidR="00D32D99" w:rsidRPr="000B71CC" w:rsidRDefault="00D32D99" w:rsidP="00C952E1">
      <w:pPr>
        <w:jc w:val="both"/>
        <w:rPr>
          <w:color w:val="5F497A" w:themeColor="accent4" w:themeShade="BF"/>
          <w:sz w:val="28"/>
          <w:szCs w:val="28"/>
        </w:rPr>
      </w:pPr>
    </w:p>
    <w:sectPr w:rsidR="00D32D99" w:rsidRPr="000B71CC" w:rsidSect="008A5B5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754F" w14:textId="77777777" w:rsidR="00A47BFB" w:rsidRDefault="00A47BFB" w:rsidP="008A5B52">
      <w:pPr>
        <w:spacing w:after="0" w:line="240" w:lineRule="auto"/>
      </w:pPr>
      <w:r>
        <w:separator/>
      </w:r>
    </w:p>
  </w:endnote>
  <w:endnote w:type="continuationSeparator" w:id="0">
    <w:p w14:paraId="0E2A88D1" w14:textId="77777777" w:rsidR="00A47BFB" w:rsidRDefault="00A47BFB" w:rsidP="008A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0482" w14:textId="06C87416" w:rsidR="008A5B52" w:rsidRPr="008A5B52" w:rsidRDefault="008A5B52">
    <w:pPr>
      <w:pStyle w:val="Pieddepage"/>
      <w:rPr>
        <w:sz w:val="20"/>
        <w:szCs w:val="20"/>
      </w:rPr>
    </w:pPr>
    <w:r w:rsidRPr="008A5B52">
      <w:rPr>
        <w:sz w:val="20"/>
        <w:szCs w:val="20"/>
      </w:rPr>
      <w:t xml:space="preserve">CGT GOC – </w:t>
    </w:r>
    <w:r w:rsidR="00550E5F">
      <w:rPr>
        <w:sz w:val="20"/>
        <w:szCs w:val="20"/>
      </w:rPr>
      <w:t>Note d’études Intéressement et Participation</w:t>
    </w:r>
    <w:r w:rsidRPr="008A5B52">
      <w:rPr>
        <w:sz w:val="20"/>
        <w:szCs w:val="20"/>
      </w:rPr>
      <w:t xml:space="preserve"> – </w:t>
    </w:r>
    <w:r w:rsidR="00550E5F">
      <w:rPr>
        <w:sz w:val="20"/>
        <w:szCs w:val="20"/>
      </w:rPr>
      <w:t>juin</w:t>
    </w:r>
    <w:r w:rsidRPr="008A5B52">
      <w:rPr>
        <w:sz w:val="20"/>
        <w:szCs w:val="20"/>
      </w:rPr>
      <w:t xml:space="preserve"> 2022</w:t>
    </w:r>
  </w:p>
  <w:p w14:paraId="1B10DFDE" w14:textId="77777777" w:rsidR="008A5B52" w:rsidRDefault="008A5B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711E" w14:textId="77777777" w:rsidR="00A47BFB" w:rsidRDefault="00A47BFB" w:rsidP="008A5B52">
      <w:pPr>
        <w:spacing w:after="0" w:line="240" w:lineRule="auto"/>
      </w:pPr>
      <w:r>
        <w:separator/>
      </w:r>
    </w:p>
  </w:footnote>
  <w:footnote w:type="continuationSeparator" w:id="0">
    <w:p w14:paraId="0F6D70C1" w14:textId="77777777" w:rsidR="00A47BFB" w:rsidRDefault="00A47BFB" w:rsidP="008A5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0F08"/>
    <w:multiLevelType w:val="hybridMultilevel"/>
    <w:tmpl w:val="15D28C42"/>
    <w:lvl w:ilvl="0" w:tplc="D2A0C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A2A1D"/>
    <w:multiLevelType w:val="hybridMultilevel"/>
    <w:tmpl w:val="66100430"/>
    <w:lvl w:ilvl="0" w:tplc="1B40AD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64E4"/>
    <w:multiLevelType w:val="hybridMultilevel"/>
    <w:tmpl w:val="D4AC5878"/>
    <w:lvl w:ilvl="0" w:tplc="F16C6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E53B7"/>
    <w:multiLevelType w:val="hybridMultilevel"/>
    <w:tmpl w:val="B6D8FB66"/>
    <w:lvl w:ilvl="0" w:tplc="7F46343E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01DDE"/>
    <w:multiLevelType w:val="hybridMultilevel"/>
    <w:tmpl w:val="A7F28098"/>
    <w:lvl w:ilvl="0" w:tplc="183AA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96D6B"/>
    <w:multiLevelType w:val="hybridMultilevel"/>
    <w:tmpl w:val="AD588D7C"/>
    <w:lvl w:ilvl="0" w:tplc="BED6B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73453"/>
    <w:multiLevelType w:val="hybridMultilevel"/>
    <w:tmpl w:val="980EBF9E"/>
    <w:lvl w:ilvl="0" w:tplc="1180A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535F"/>
    <w:multiLevelType w:val="hybridMultilevel"/>
    <w:tmpl w:val="10FC1678"/>
    <w:lvl w:ilvl="0" w:tplc="AC8C1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CB"/>
    <w:rsid w:val="00026DB5"/>
    <w:rsid w:val="00030AB8"/>
    <w:rsid w:val="00072DB1"/>
    <w:rsid w:val="000A3B31"/>
    <w:rsid w:val="000B56C9"/>
    <w:rsid w:val="000B71CC"/>
    <w:rsid w:val="000C4087"/>
    <w:rsid w:val="000E3641"/>
    <w:rsid w:val="000E3731"/>
    <w:rsid w:val="001068FB"/>
    <w:rsid w:val="00163953"/>
    <w:rsid w:val="001A02D1"/>
    <w:rsid w:val="001F2BE9"/>
    <w:rsid w:val="00201634"/>
    <w:rsid w:val="0025582B"/>
    <w:rsid w:val="00266555"/>
    <w:rsid w:val="0029578F"/>
    <w:rsid w:val="00296DBD"/>
    <w:rsid w:val="002A44C6"/>
    <w:rsid w:val="002E696F"/>
    <w:rsid w:val="00351C6B"/>
    <w:rsid w:val="00384D3E"/>
    <w:rsid w:val="00416BB4"/>
    <w:rsid w:val="00446FEA"/>
    <w:rsid w:val="00470C3D"/>
    <w:rsid w:val="0049082A"/>
    <w:rsid w:val="004933DF"/>
    <w:rsid w:val="004E00E2"/>
    <w:rsid w:val="00517626"/>
    <w:rsid w:val="00536E55"/>
    <w:rsid w:val="0055060C"/>
    <w:rsid w:val="00550E5F"/>
    <w:rsid w:val="005841F7"/>
    <w:rsid w:val="00616705"/>
    <w:rsid w:val="0066116F"/>
    <w:rsid w:val="006C38D4"/>
    <w:rsid w:val="0071030E"/>
    <w:rsid w:val="007157E2"/>
    <w:rsid w:val="00715CB1"/>
    <w:rsid w:val="00725DEE"/>
    <w:rsid w:val="00754E88"/>
    <w:rsid w:val="00787847"/>
    <w:rsid w:val="007A16F6"/>
    <w:rsid w:val="008019CB"/>
    <w:rsid w:val="008275F0"/>
    <w:rsid w:val="008404DF"/>
    <w:rsid w:val="00843C1B"/>
    <w:rsid w:val="008A2A41"/>
    <w:rsid w:val="008A5B52"/>
    <w:rsid w:val="008C245B"/>
    <w:rsid w:val="008D2676"/>
    <w:rsid w:val="008D6512"/>
    <w:rsid w:val="008F51D3"/>
    <w:rsid w:val="0090601C"/>
    <w:rsid w:val="00993089"/>
    <w:rsid w:val="009931AA"/>
    <w:rsid w:val="009A20B9"/>
    <w:rsid w:val="009C7C9E"/>
    <w:rsid w:val="009E4A61"/>
    <w:rsid w:val="009E4FD3"/>
    <w:rsid w:val="00A02BB2"/>
    <w:rsid w:val="00A04949"/>
    <w:rsid w:val="00A144E5"/>
    <w:rsid w:val="00A25A83"/>
    <w:rsid w:val="00A25E09"/>
    <w:rsid w:val="00A30C58"/>
    <w:rsid w:val="00A44C73"/>
    <w:rsid w:val="00A47BFB"/>
    <w:rsid w:val="00A50773"/>
    <w:rsid w:val="00A55AF1"/>
    <w:rsid w:val="00AA09B2"/>
    <w:rsid w:val="00AD3772"/>
    <w:rsid w:val="00AF2235"/>
    <w:rsid w:val="00AF4BCB"/>
    <w:rsid w:val="00B00A78"/>
    <w:rsid w:val="00B616B3"/>
    <w:rsid w:val="00B72D4E"/>
    <w:rsid w:val="00B96E5A"/>
    <w:rsid w:val="00BA541C"/>
    <w:rsid w:val="00BC1E57"/>
    <w:rsid w:val="00BD1E14"/>
    <w:rsid w:val="00BD3025"/>
    <w:rsid w:val="00BE10BE"/>
    <w:rsid w:val="00C07C88"/>
    <w:rsid w:val="00C10640"/>
    <w:rsid w:val="00C17C00"/>
    <w:rsid w:val="00C32075"/>
    <w:rsid w:val="00C33764"/>
    <w:rsid w:val="00C545FE"/>
    <w:rsid w:val="00C61244"/>
    <w:rsid w:val="00C6172E"/>
    <w:rsid w:val="00C952E1"/>
    <w:rsid w:val="00CB6BE5"/>
    <w:rsid w:val="00CC43B5"/>
    <w:rsid w:val="00CE61C7"/>
    <w:rsid w:val="00CF381C"/>
    <w:rsid w:val="00CF3E45"/>
    <w:rsid w:val="00CF7DBB"/>
    <w:rsid w:val="00D32D99"/>
    <w:rsid w:val="00D562EF"/>
    <w:rsid w:val="00DB6CCE"/>
    <w:rsid w:val="00DC0B74"/>
    <w:rsid w:val="00DE2EB2"/>
    <w:rsid w:val="00DF4F8A"/>
    <w:rsid w:val="00E3316A"/>
    <w:rsid w:val="00E648E7"/>
    <w:rsid w:val="00E739EA"/>
    <w:rsid w:val="00E86046"/>
    <w:rsid w:val="00EA192F"/>
    <w:rsid w:val="00EC2F6B"/>
    <w:rsid w:val="00EC39BF"/>
    <w:rsid w:val="00ED61D3"/>
    <w:rsid w:val="00EF49DF"/>
    <w:rsid w:val="00F22EFB"/>
    <w:rsid w:val="00F25F1D"/>
    <w:rsid w:val="00F4706C"/>
    <w:rsid w:val="00F61CA5"/>
    <w:rsid w:val="00F64C92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FD16"/>
  <w15:chartTrackingRefBased/>
  <w15:docId w15:val="{FE774FBB-510C-4597-AB8A-32E6EBFB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D651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651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D65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5B52"/>
  </w:style>
  <w:style w:type="paragraph" w:styleId="Pieddepage">
    <w:name w:val="footer"/>
    <w:basedOn w:val="Normal"/>
    <w:link w:val="PieddepageCar"/>
    <w:uiPriority w:val="99"/>
    <w:unhideWhenUsed/>
    <w:rsid w:val="008A5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B52"/>
  </w:style>
  <w:style w:type="character" w:styleId="Textedelespacerserv">
    <w:name w:val="Placeholder Text"/>
    <w:basedOn w:val="Policepardfaut"/>
    <w:uiPriority w:val="99"/>
    <w:semiHidden/>
    <w:rsid w:val="00B616B3"/>
    <w:rPr>
      <w:color w:val="80808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952E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952E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7077</TotalTime>
  <Pages>8</Pages>
  <Words>1452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Noel FLIS</dc:creator>
  <cp:keywords/>
  <dc:description/>
  <cp:lastModifiedBy>FLIS Jean Noel</cp:lastModifiedBy>
  <cp:revision>63</cp:revision>
  <cp:lastPrinted>2022-06-17T06:26:00Z</cp:lastPrinted>
  <dcterms:created xsi:type="dcterms:W3CDTF">2022-05-11T07:04:00Z</dcterms:created>
  <dcterms:modified xsi:type="dcterms:W3CDTF">2022-06-17T06:39:00Z</dcterms:modified>
</cp:coreProperties>
</file>