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8E4B" w14:textId="7791AC8F" w:rsidR="0000288B" w:rsidRDefault="00E936BB" w:rsidP="00A82FA4">
      <w:pPr>
        <w:jc w:val="center"/>
        <w:rPr>
          <w:sz w:val="28"/>
          <w:szCs w:val="28"/>
        </w:rPr>
      </w:pPr>
      <w:r w:rsidRPr="007656AA">
        <w:rPr>
          <w:sz w:val="36"/>
          <w:szCs w:val="36"/>
        </w:rPr>
        <w:t>PAS BESOIN D’ETRE RICHE POUR SE PRESENTER AUX ELECTIONS LEGISLATIVES</w:t>
      </w:r>
      <w:r w:rsidR="00416F6D">
        <w:rPr>
          <w:sz w:val="36"/>
          <w:szCs w:val="36"/>
        </w:rPr>
        <w:t>.</w:t>
      </w:r>
    </w:p>
    <w:p w14:paraId="41F6B0FB" w14:textId="77777777" w:rsidR="00E936BB" w:rsidRDefault="00E936BB" w:rsidP="00E936BB">
      <w:pPr>
        <w:jc w:val="both"/>
        <w:rPr>
          <w:sz w:val="28"/>
          <w:szCs w:val="28"/>
        </w:rPr>
      </w:pPr>
    </w:p>
    <w:p w14:paraId="058FF183" w14:textId="4F76CF07" w:rsidR="00E81024" w:rsidRDefault="00E936BB" w:rsidP="00E936BB">
      <w:pPr>
        <w:jc w:val="both"/>
        <w:rPr>
          <w:sz w:val="36"/>
          <w:szCs w:val="36"/>
        </w:rPr>
      </w:pPr>
      <w:r w:rsidRPr="00E936BB">
        <w:rPr>
          <w:sz w:val="36"/>
          <w:szCs w:val="36"/>
        </w:rPr>
        <w:t>23</w:t>
      </w:r>
      <w:r>
        <w:rPr>
          <w:sz w:val="36"/>
          <w:szCs w:val="36"/>
        </w:rPr>
        <w:t> 205 euros. Tel est le coût moyen d’une campagne législative en 2017,</w:t>
      </w:r>
      <w:r w:rsidR="002B54BC">
        <w:rPr>
          <w:sz w:val="36"/>
          <w:szCs w:val="36"/>
        </w:rPr>
        <w:t xml:space="preserve"> </w:t>
      </w:r>
      <w:r>
        <w:rPr>
          <w:sz w:val="36"/>
          <w:szCs w:val="36"/>
        </w:rPr>
        <w:t>en diminution de 24%par rapport à 2012 (30 265 euros).</w:t>
      </w:r>
      <w:r w:rsidR="00E8102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Compte tenu </w:t>
      </w:r>
      <w:r w:rsidR="00A82FA4">
        <w:rPr>
          <w:sz w:val="36"/>
          <w:szCs w:val="36"/>
        </w:rPr>
        <w:t>d’un remboursement</w:t>
      </w:r>
      <w:r w:rsidR="00E81024">
        <w:rPr>
          <w:sz w:val="36"/>
          <w:szCs w:val="36"/>
        </w:rPr>
        <w:t xml:space="preserve"> par l’</w:t>
      </w:r>
      <w:proofErr w:type="spellStart"/>
      <w:r w:rsidR="00E81024">
        <w:rPr>
          <w:sz w:val="36"/>
          <w:szCs w:val="36"/>
        </w:rPr>
        <w:t>Etat</w:t>
      </w:r>
      <w:proofErr w:type="spellEnd"/>
      <w:r w:rsidR="00E81024">
        <w:rPr>
          <w:sz w:val="36"/>
          <w:szCs w:val="36"/>
        </w:rPr>
        <w:t xml:space="preserve"> d’une partie des dépenses, le « reste à charge » des candidats s’</w:t>
      </w:r>
      <w:r w:rsidR="002B54BC">
        <w:rPr>
          <w:sz w:val="36"/>
          <w:szCs w:val="36"/>
        </w:rPr>
        <w:t>élève à 1113 euros ce qui est faible.</w:t>
      </w:r>
      <w:r w:rsidR="00E81024">
        <w:rPr>
          <w:sz w:val="36"/>
          <w:szCs w:val="36"/>
        </w:rPr>
        <w:t xml:space="preserve"> Il en résulte qu’en France, il n’est pas nécessaire de disposer d’une fortune personnelle pour se présenter aux élections législatives, contrairement aux Etats-Unis par </w:t>
      </w:r>
      <w:r w:rsidR="002B54BC">
        <w:rPr>
          <w:sz w:val="36"/>
          <w:szCs w:val="36"/>
        </w:rPr>
        <w:t>exemple (ou dans les pays qui</w:t>
      </w:r>
      <w:r w:rsidR="00E81024">
        <w:rPr>
          <w:sz w:val="36"/>
          <w:szCs w:val="36"/>
        </w:rPr>
        <w:t>,</w:t>
      </w:r>
      <w:r w:rsidR="002B54BC">
        <w:rPr>
          <w:sz w:val="36"/>
          <w:szCs w:val="36"/>
        </w:rPr>
        <w:t xml:space="preserve"> </w:t>
      </w:r>
      <w:r w:rsidR="00E81024">
        <w:rPr>
          <w:sz w:val="36"/>
          <w:szCs w:val="36"/>
        </w:rPr>
        <w:t xml:space="preserve">faute de législation </w:t>
      </w:r>
      <w:r w:rsidR="00A82FA4">
        <w:rPr>
          <w:sz w:val="36"/>
          <w:szCs w:val="36"/>
        </w:rPr>
        <w:t>laissent la</w:t>
      </w:r>
      <w:r w:rsidR="00E81024">
        <w:rPr>
          <w:sz w:val="36"/>
          <w:szCs w:val="36"/>
        </w:rPr>
        <w:t xml:space="preserve"> voie libre à la corruption). Cette particularité française trouve son origine dans une</w:t>
      </w:r>
      <w:r w:rsidR="00A82FA4">
        <w:rPr>
          <w:sz w:val="36"/>
          <w:szCs w:val="36"/>
        </w:rPr>
        <w:t xml:space="preserve"> </w:t>
      </w:r>
      <w:r w:rsidR="00E81024">
        <w:rPr>
          <w:sz w:val="36"/>
          <w:szCs w:val="36"/>
        </w:rPr>
        <w:t>législation originale et vertueuse élaborée dans les années 1990.</w:t>
      </w:r>
    </w:p>
    <w:p w14:paraId="7E30D76C" w14:textId="77777777" w:rsidR="00E81024" w:rsidRDefault="00E81024" w:rsidP="00E936BB">
      <w:pPr>
        <w:jc w:val="both"/>
        <w:rPr>
          <w:sz w:val="36"/>
          <w:szCs w:val="36"/>
        </w:rPr>
      </w:pPr>
    </w:p>
    <w:p w14:paraId="32C54A37" w14:textId="1B553090" w:rsidR="00E81024" w:rsidRDefault="00E81024" w:rsidP="00A82FA4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9C223B">
        <w:rPr>
          <w:sz w:val="36"/>
          <w:szCs w:val="36"/>
        </w:rPr>
        <w:t>POURQUOI 11 CANDIDATS PAR CIRCONSCRIPTION ?</w:t>
      </w:r>
    </w:p>
    <w:p w14:paraId="55BCDCBF" w14:textId="77777777" w:rsidR="007656AA" w:rsidRDefault="007656AA" w:rsidP="00E936BB">
      <w:pPr>
        <w:jc w:val="both"/>
        <w:rPr>
          <w:sz w:val="36"/>
          <w:szCs w:val="36"/>
        </w:rPr>
      </w:pPr>
    </w:p>
    <w:p w14:paraId="2CE8D1FA" w14:textId="10DA6717" w:rsidR="005A4E17" w:rsidRDefault="007656AA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>Pour autant cette législation concernant les campagnes n’est pas à l’origine du nombre de candidatures :</w:t>
      </w:r>
      <w:r w:rsidR="002B54B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6293 en 2022 (soit 11 candidats par </w:t>
      </w:r>
      <w:r w:rsidR="00A82FA4">
        <w:rPr>
          <w:sz w:val="36"/>
          <w:szCs w:val="36"/>
        </w:rPr>
        <w:t>circonscription) contre</w:t>
      </w:r>
      <w:r>
        <w:rPr>
          <w:sz w:val="36"/>
          <w:szCs w:val="36"/>
        </w:rPr>
        <w:t xml:space="preserve"> 7877 en 2017 (moins 20</w:t>
      </w:r>
      <w:r w:rsidR="00A82FA4">
        <w:rPr>
          <w:sz w:val="36"/>
          <w:szCs w:val="36"/>
        </w:rPr>
        <w:t>%) et</w:t>
      </w:r>
      <w:r>
        <w:rPr>
          <w:sz w:val="36"/>
          <w:szCs w:val="36"/>
        </w:rPr>
        <w:t xml:space="preserve"> 6603 en 2012. C’est une disposition concernant le financement politique qui multiplie</w:t>
      </w:r>
      <w:r w:rsidR="00A82FA4">
        <w:rPr>
          <w:sz w:val="36"/>
          <w:szCs w:val="36"/>
        </w:rPr>
        <w:t xml:space="preserve"> </w:t>
      </w:r>
      <w:r>
        <w:rPr>
          <w:sz w:val="36"/>
          <w:szCs w:val="36"/>
        </w:rPr>
        <w:t>les candidatures. En effet dès lors qu’un groupement politique peut patro</w:t>
      </w:r>
      <w:r w:rsidR="002B54BC">
        <w:rPr>
          <w:sz w:val="36"/>
          <w:szCs w:val="36"/>
        </w:rPr>
        <w:t>n</w:t>
      </w:r>
      <w:r>
        <w:rPr>
          <w:sz w:val="36"/>
          <w:szCs w:val="36"/>
        </w:rPr>
        <w:t xml:space="preserve">ner des candidats dans 50 circonscriptions et que chacun de ces candidats obtient 1% des voix (ce qui est d’autant plus facile à </w:t>
      </w:r>
      <w:r>
        <w:rPr>
          <w:sz w:val="36"/>
          <w:szCs w:val="36"/>
        </w:rPr>
        <w:lastRenderedPageBreak/>
        <w:t>atteindre que l’</w:t>
      </w:r>
      <w:r w:rsidR="005A4E17">
        <w:rPr>
          <w:sz w:val="36"/>
          <w:szCs w:val="36"/>
        </w:rPr>
        <w:t>abstention est élevée</w:t>
      </w:r>
      <w:r w:rsidR="00A82FA4">
        <w:rPr>
          <w:sz w:val="36"/>
          <w:szCs w:val="36"/>
        </w:rPr>
        <w:t>), ce</w:t>
      </w:r>
      <w:r w:rsidR="005A4E17">
        <w:rPr>
          <w:sz w:val="36"/>
          <w:szCs w:val="36"/>
        </w:rPr>
        <w:t xml:space="preserve"> </w:t>
      </w:r>
      <w:r w:rsidR="00A82FA4">
        <w:rPr>
          <w:sz w:val="36"/>
          <w:szCs w:val="36"/>
        </w:rPr>
        <w:t>« parti</w:t>
      </w:r>
      <w:r w:rsidR="005A4E17">
        <w:rPr>
          <w:sz w:val="36"/>
          <w:szCs w:val="36"/>
        </w:rPr>
        <w:t> » va bénéficier,</w:t>
      </w:r>
      <w:r w:rsidR="00A82FA4">
        <w:rPr>
          <w:sz w:val="36"/>
          <w:szCs w:val="36"/>
        </w:rPr>
        <w:t xml:space="preserve"> </w:t>
      </w:r>
      <w:r w:rsidR="005A4E17">
        <w:rPr>
          <w:sz w:val="36"/>
          <w:szCs w:val="36"/>
        </w:rPr>
        <w:t>pendant</w:t>
      </w:r>
      <w:r w:rsidR="00A82FA4">
        <w:rPr>
          <w:sz w:val="36"/>
          <w:szCs w:val="36"/>
        </w:rPr>
        <w:t xml:space="preserve"> </w:t>
      </w:r>
      <w:r w:rsidR="005A4E17">
        <w:rPr>
          <w:sz w:val="36"/>
          <w:szCs w:val="36"/>
        </w:rPr>
        <w:t>cinq ans, d’un financement public d’environ 1,50 euro par an et par voix</w:t>
      </w:r>
      <w:r w:rsidR="002B54BC">
        <w:rPr>
          <w:sz w:val="36"/>
          <w:szCs w:val="36"/>
        </w:rPr>
        <w:t xml:space="preserve"> obtenue. De plus, </w:t>
      </w:r>
      <w:r w:rsidR="005A4E17">
        <w:rPr>
          <w:sz w:val="36"/>
          <w:szCs w:val="36"/>
        </w:rPr>
        <w:t>en Outre-Mer (316 candidats annoncés) une seule</w:t>
      </w:r>
      <w:r w:rsidR="00A82FA4">
        <w:rPr>
          <w:sz w:val="36"/>
          <w:szCs w:val="36"/>
        </w:rPr>
        <w:t xml:space="preserve"> </w:t>
      </w:r>
      <w:r w:rsidR="005A4E17">
        <w:rPr>
          <w:sz w:val="36"/>
          <w:szCs w:val="36"/>
        </w:rPr>
        <w:t>candidature suffit pour obtenir le financement public.</w:t>
      </w:r>
    </w:p>
    <w:p w14:paraId="7ACC2335" w14:textId="77777777" w:rsidR="005A4E17" w:rsidRDefault="005A4E17" w:rsidP="00E936BB">
      <w:pPr>
        <w:jc w:val="both"/>
        <w:rPr>
          <w:sz w:val="36"/>
          <w:szCs w:val="36"/>
        </w:rPr>
      </w:pPr>
    </w:p>
    <w:p w14:paraId="046F9BB9" w14:textId="25B18BBD" w:rsidR="005A4E17" w:rsidRDefault="005A4E17" w:rsidP="00A82FA4">
      <w:pPr>
        <w:jc w:val="center"/>
        <w:rPr>
          <w:sz w:val="36"/>
          <w:szCs w:val="36"/>
        </w:rPr>
      </w:pPr>
      <w:r>
        <w:rPr>
          <w:sz w:val="36"/>
          <w:szCs w:val="36"/>
        </w:rPr>
        <w:t>UNE LEGISLATION VERTUEUSE.</w:t>
      </w:r>
    </w:p>
    <w:p w14:paraId="48B5B83C" w14:textId="77777777" w:rsidR="005A4E17" w:rsidRDefault="005A4E17" w:rsidP="00E936BB">
      <w:pPr>
        <w:jc w:val="both"/>
        <w:rPr>
          <w:sz w:val="36"/>
          <w:szCs w:val="36"/>
        </w:rPr>
      </w:pPr>
    </w:p>
    <w:p w14:paraId="7E69C031" w14:textId="73B7B08E" w:rsidR="005A4E17" w:rsidRDefault="005A4E17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>Les caractéristiques principales de la législation concernant les campagnes électorales sont les suivantes.</w:t>
      </w:r>
    </w:p>
    <w:p w14:paraId="0F479E37" w14:textId="61A4E6D6" w:rsidR="00AD5A1D" w:rsidRDefault="005A4E17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D’abord </w:t>
      </w:r>
      <w:r w:rsidR="00A82FA4">
        <w:rPr>
          <w:sz w:val="36"/>
          <w:szCs w:val="36"/>
        </w:rPr>
        <w:t>l’existence d’un</w:t>
      </w:r>
      <w:r>
        <w:rPr>
          <w:sz w:val="36"/>
          <w:szCs w:val="36"/>
        </w:rPr>
        <w:t xml:space="preserve"> plafond de dépenses à ne pas dépasser, variable selon la population de la </w:t>
      </w:r>
      <w:r w:rsidR="00AD5A1D">
        <w:rPr>
          <w:sz w:val="36"/>
          <w:szCs w:val="36"/>
        </w:rPr>
        <w:t>circonscription. Pour la circonscription</w:t>
      </w:r>
      <w:r w:rsidR="00A82FA4">
        <w:rPr>
          <w:sz w:val="36"/>
          <w:szCs w:val="36"/>
        </w:rPr>
        <w:t xml:space="preserve"> </w:t>
      </w:r>
      <w:r w:rsidR="00AD5A1D">
        <w:rPr>
          <w:sz w:val="36"/>
          <w:szCs w:val="36"/>
        </w:rPr>
        <w:t>type (120 483 habitants) il se monte à 70 530 euros. Les valeurs extrêmes vont de 78</w:t>
      </w:r>
      <w:r w:rsidR="002B54BC">
        <w:rPr>
          <w:sz w:val="36"/>
          <w:szCs w:val="36"/>
        </w:rPr>
        <w:t xml:space="preserve"> </w:t>
      </w:r>
      <w:r w:rsidR="00AD5A1D">
        <w:rPr>
          <w:sz w:val="36"/>
          <w:szCs w:val="36"/>
        </w:rPr>
        <w:t>691 euros (H</w:t>
      </w:r>
      <w:r w:rsidR="00A82FA4">
        <w:rPr>
          <w:sz w:val="36"/>
          <w:szCs w:val="36"/>
        </w:rPr>
        <w:t>aute</w:t>
      </w:r>
      <w:r w:rsidR="00AD5A1D">
        <w:rPr>
          <w:sz w:val="36"/>
          <w:szCs w:val="36"/>
        </w:rPr>
        <w:t xml:space="preserve"> </w:t>
      </w:r>
      <w:r w:rsidR="00A82FA4">
        <w:rPr>
          <w:sz w:val="36"/>
          <w:szCs w:val="36"/>
        </w:rPr>
        <w:t>Garonne) à</w:t>
      </w:r>
      <w:r w:rsidR="00AD5A1D">
        <w:rPr>
          <w:sz w:val="36"/>
          <w:szCs w:val="36"/>
        </w:rPr>
        <w:t xml:space="preserve"> 59</w:t>
      </w:r>
      <w:r w:rsidR="002B54BC">
        <w:rPr>
          <w:sz w:val="36"/>
          <w:szCs w:val="36"/>
        </w:rPr>
        <w:t xml:space="preserve"> </w:t>
      </w:r>
      <w:r w:rsidR="00AD5A1D">
        <w:rPr>
          <w:sz w:val="36"/>
          <w:szCs w:val="36"/>
        </w:rPr>
        <w:t>740 euros (Cantal).</w:t>
      </w:r>
      <w:r w:rsidR="00A82FA4">
        <w:rPr>
          <w:sz w:val="36"/>
          <w:szCs w:val="36"/>
        </w:rPr>
        <w:t xml:space="preserve"> </w:t>
      </w:r>
      <w:r w:rsidR="00AD5A1D">
        <w:rPr>
          <w:sz w:val="36"/>
          <w:szCs w:val="36"/>
        </w:rPr>
        <w:t xml:space="preserve">Afin de respecter ce plafond, certains types de dépenses </w:t>
      </w:r>
      <w:r w:rsidR="00A82FA4">
        <w:rPr>
          <w:sz w:val="36"/>
          <w:szCs w:val="36"/>
        </w:rPr>
        <w:t>sont interdites</w:t>
      </w:r>
      <w:r w:rsidR="00AD5A1D">
        <w:rPr>
          <w:sz w:val="36"/>
          <w:szCs w:val="36"/>
        </w:rPr>
        <w:t>, parce que trop coûteuses (la publicité audio-visuelle) ou parce qu’elles</w:t>
      </w:r>
      <w:r w:rsidR="00A82FA4">
        <w:rPr>
          <w:sz w:val="36"/>
          <w:szCs w:val="36"/>
        </w:rPr>
        <w:t xml:space="preserve"> </w:t>
      </w:r>
      <w:r w:rsidR="00AD5A1D">
        <w:rPr>
          <w:sz w:val="36"/>
          <w:szCs w:val="36"/>
        </w:rPr>
        <w:t>n’ont pas de vocation électorale. Il revient à une commission indépendante</w:t>
      </w:r>
      <w:r w:rsidR="002B54BC">
        <w:rPr>
          <w:sz w:val="36"/>
          <w:szCs w:val="36"/>
        </w:rPr>
        <w:t xml:space="preserve"> </w:t>
      </w:r>
      <w:r w:rsidR="00AD5A1D">
        <w:rPr>
          <w:sz w:val="36"/>
          <w:szCs w:val="36"/>
        </w:rPr>
        <w:t>du pouvoir politique</w:t>
      </w:r>
      <w:r w:rsidR="002B54BC">
        <w:rPr>
          <w:sz w:val="36"/>
          <w:szCs w:val="36"/>
        </w:rPr>
        <w:t>,  la CNCCFP,</w:t>
      </w:r>
      <w:r w:rsidR="00AD5A1D">
        <w:rPr>
          <w:sz w:val="36"/>
          <w:szCs w:val="36"/>
        </w:rPr>
        <w:t xml:space="preserve"> de vérifier le respect de la loi.</w:t>
      </w:r>
    </w:p>
    <w:p w14:paraId="498D556F" w14:textId="4E7BE34C" w:rsidR="00AD5A1D" w:rsidRDefault="00AD5A1D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>Pour ce faire, chaque candidat doit établir un compte de campagne qui retrace de manière exhaustive dépenses et recettes.</w:t>
      </w:r>
    </w:p>
    <w:p w14:paraId="62485E93" w14:textId="50D2338B" w:rsidR="004A6472" w:rsidRDefault="002B54BC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Concernant les recettes </w:t>
      </w:r>
      <w:r w:rsidR="00A82FA4">
        <w:rPr>
          <w:sz w:val="36"/>
          <w:szCs w:val="36"/>
        </w:rPr>
        <w:t>(en</w:t>
      </w:r>
      <w:r w:rsidR="00AD5A1D">
        <w:rPr>
          <w:sz w:val="36"/>
          <w:szCs w:val="36"/>
        </w:rPr>
        <w:t xml:space="preserve"> moyenne 24 103 euros par candidat en 2017) </w:t>
      </w:r>
      <w:r w:rsidR="004A6472">
        <w:rPr>
          <w:sz w:val="36"/>
          <w:szCs w:val="36"/>
        </w:rPr>
        <w:t xml:space="preserve">la législation interdit strictement tout </w:t>
      </w:r>
      <w:r w:rsidR="004A6472">
        <w:rPr>
          <w:sz w:val="36"/>
          <w:szCs w:val="36"/>
        </w:rPr>
        <w:lastRenderedPageBreak/>
        <w:t>versement d’une personne</w:t>
      </w:r>
      <w:r w:rsidR="00A82FA4">
        <w:rPr>
          <w:sz w:val="36"/>
          <w:szCs w:val="36"/>
        </w:rPr>
        <w:t xml:space="preserve"> </w:t>
      </w:r>
      <w:r w:rsidR="00416F6D">
        <w:rPr>
          <w:sz w:val="36"/>
          <w:szCs w:val="36"/>
        </w:rPr>
        <w:t>morale privée</w:t>
      </w:r>
      <w:r w:rsidR="004A6472">
        <w:rPr>
          <w:sz w:val="36"/>
          <w:szCs w:val="36"/>
        </w:rPr>
        <w:t xml:space="preserve"> (entreprises et associations) ou publique (collectivités locales). Contrepartie de cette interdiction, les dépenses financées sur fonds propres par le candidat sont remboursées par l’Etat à hauteur de 47,5% du plafond global, ce qui a représenté en 2017 un montant moyen de 16 507 </w:t>
      </w:r>
      <w:r w:rsidR="00A82FA4">
        <w:rPr>
          <w:sz w:val="36"/>
          <w:szCs w:val="36"/>
        </w:rPr>
        <w:t>euros. Les</w:t>
      </w:r>
      <w:r w:rsidR="004A6472">
        <w:rPr>
          <w:sz w:val="36"/>
          <w:szCs w:val="36"/>
        </w:rPr>
        <w:t xml:space="preserve"> fonds propres comprennent l’apport personnel du candidat (souvent obtenu par un prêt bancaire)</w:t>
      </w:r>
      <w:r w:rsidR="00A82FA4">
        <w:rPr>
          <w:sz w:val="36"/>
          <w:szCs w:val="36"/>
        </w:rPr>
        <w:t xml:space="preserve"> </w:t>
      </w:r>
      <w:r w:rsidR="004A6472">
        <w:rPr>
          <w:sz w:val="36"/>
          <w:szCs w:val="36"/>
        </w:rPr>
        <w:t>auquel s’ajoutent les autres prêts des partis politiques ou des particuliers. En outre, ces derniers peuvent accorder des dons –défiscalisés-</w:t>
      </w:r>
      <w:r w:rsidR="00A82FA4">
        <w:rPr>
          <w:sz w:val="36"/>
          <w:szCs w:val="36"/>
        </w:rPr>
        <w:t xml:space="preserve"> </w:t>
      </w:r>
      <w:r w:rsidR="00744D04">
        <w:rPr>
          <w:sz w:val="36"/>
          <w:szCs w:val="36"/>
        </w:rPr>
        <w:t>plafonnés à 4600 euros par personne (soit 9200 par foyer fiscal).</w:t>
      </w:r>
    </w:p>
    <w:p w14:paraId="0D6117F4" w14:textId="28DC699B" w:rsidR="00744D04" w:rsidRPr="00744D04" w:rsidRDefault="00744D04" w:rsidP="00E936BB">
      <w:pPr>
        <w:jc w:val="both"/>
        <w:rPr>
          <w:b/>
          <w:sz w:val="36"/>
          <w:szCs w:val="36"/>
        </w:rPr>
      </w:pPr>
      <w:r w:rsidRPr="00744D04">
        <w:rPr>
          <w:b/>
          <w:sz w:val="36"/>
          <w:szCs w:val="36"/>
        </w:rPr>
        <w:t>On est ainsi passé d’un financement privé, opaque et inégalitaire, source éventuel</w:t>
      </w:r>
      <w:r w:rsidR="002B54BC">
        <w:rPr>
          <w:b/>
          <w:sz w:val="36"/>
          <w:szCs w:val="36"/>
        </w:rPr>
        <w:t>le</w:t>
      </w:r>
      <w:r w:rsidRPr="00744D04">
        <w:rPr>
          <w:b/>
          <w:sz w:val="36"/>
          <w:szCs w:val="36"/>
        </w:rPr>
        <w:t xml:space="preserve"> de corruption, à un financement public, transparent </w:t>
      </w:r>
    </w:p>
    <w:p w14:paraId="60E0AA5B" w14:textId="5BFB75A6" w:rsidR="00744D04" w:rsidRDefault="00744D04" w:rsidP="00E936BB">
      <w:pPr>
        <w:jc w:val="both"/>
        <w:rPr>
          <w:sz w:val="36"/>
          <w:szCs w:val="36"/>
        </w:rPr>
      </w:pPr>
      <w:r w:rsidRPr="00744D04">
        <w:rPr>
          <w:b/>
          <w:sz w:val="36"/>
          <w:szCs w:val="36"/>
        </w:rPr>
        <w:t>Et établi sur des critères égalitaires et objectifs</w:t>
      </w:r>
      <w:r>
        <w:rPr>
          <w:sz w:val="36"/>
          <w:szCs w:val="36"/>
        </w:rPr>
        <w:t>.</w:t>
      </w:r>
    </w:p>
    <w:p w14:paraId="169ED140" w14:textId="77777777" w:rsidR="00416F6D" w:rsidRDefault="00416F6D" w:rsidP="00416F6D">
      <w:pPr>
        <w:jc w:val="both"/>
        <w:rPr>
          <w:sz w:val="36"/>
          <w:szCs w:val="36"/>
        </w:rPr>
      </w:pPr>
    </w:p>
    <w:p w14:paraId="365BC84A" w14:textId="77777777" w:rsidR="00416F6D" w:rsidRDefault="00416F6D" w:rsidP="00416F6D">
      <w:pPr>
        <w:jc w:val="both"/>
        <w:rPr>
          <w:sz w:val="36"/>
          <w:szCs w:val="36"/>
        </w:rPr>
      </w:pPr>
    </w:p>
    <w:p w14:paraId="29EABA9B" w14:textId="77777777" w:rsidR="00416F6D" w:rsidRDefault="00416F6D" w:rsidP="00416F6D">
      <w:pPr>
        <w:jc w:val="both"/>
        <w:rPr>
          <w:sz w:val="36"/>
          <w:szCs w:val="36"/>
        </w:rPr>
      </w:pPr>
    </w:p>
    <w:p w14:paraId="47B08BEF" w14:textId="77777777" w:rsidR="00416F6D" w:rsidRDefault="00416F6D" w:rsidP="00416F6D">
      <w:pPr>
        <w:jc w:val="both"/>
        <w:rPr>
          <w:sz w:val="36"/>
          <w:szCs w:val="36"/>
        </w:rPr>
      </w:pPr>
    </w:p>
    <w:p w14:paraId="07AB8EB2" w14:textId="77777777" w:rsidR="00416F6D" w:rsidRDefault="00416F6D" w:rsidP="00416F6D">
      <w:pPr>
        <w:jc w:val="both"/>
        <w:rPr>
          <w:sz w:val="36"/>
          <w:szCs w:val="36"/>
        </w:rPr>
      </w:pPr>
    </w:p>
    <w:p w14:paraId="70E08C78" w14:textId="77777777" w:rsidR="00416F6D" w:rsidRDefault="00416F6D" w:rsidP="00416F6D">
      <w:pPr>
        <w:jc w:val="both"/>
        <w:rPr>
          <w:sz w:val="36"/>
          <w:szCs w:val="36"/>
        </w:rPr>
      </w:pPr>
    </w:p>
    <w:p w14:paraId="6AFF375A" w14:textId="77777777" w:rsidR="00416F6D" w:rsidRDefault="00416F6D" w:rsidP="00416F6D">
      <w:pPr>
        <w:jc w:val="both"/>
        <w:rPr>
          <w:sz w:val="36"/>
          <w:szCs w:val="36"/>
        </w:rPr>
      </w:pPr>
    </w:p>
    <w:p w14:paraId="3C26F59C" w14:textId="77777777" w:rsidR="00416F6D" w:rsidRDefault="00416F6D" w:rsidP="00416F6D">
      <w:pPr>
        <w:jc w:val="both"/>
        <w:rPr>
          <w:sz w:val="36"/>
          <w:szCs w:val="36"/>
        </w:rPr>
      </w:pPr>
    </w:p>
    <w:p w14:paraId="2211CE9B" w14:textId="4562D65B" w:rsidR="00416F6D" w:rsidRDefault="00416F6D" w:rsidP="00416F6D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_________________________________________________</w:t>
      </w:r>
    </w:p>
    <w:p w14:paraId="5DB7F124" w14:textId="3DA946E7" w:rsidR="00416F6D" w:rsidRPr="00416F6D" w:rsidRDefault="00416F6D" w:rsidP="00416F6D">
      <w:pPr>
        <w:jc w:val="both"/>
        <w:rPr>
          <w:sz w:val="36"/>
          <w:szCs w:val="36"/>
        </w:rPr>
      </w:pPr>
      <w:r w:rsidRPr="00416F6D">
        <w:rPr>
          <w:sz w:val="36"/>
          <w:szCs w:val="36"/>
        </w:rPr>
        <w:t>COMPTE DE CAMPAGNE MOYEN D’UN CANDIDAT AUX LÉGISLATIVES DE 2017</w:t>
      </w:r>
    </w:p>
    <w:p w14:paraId="21AA29E4" w14:textId="77777777" w:rsidR="00416F6D" w:rsidRDefault="00416F6D" w:rsidP="00E936BB">
      <w:pPr>
        <w:jc w:val="both"/>
        <w:rPr>
          <w:sz w:val="36"/>
          <w:szCs w:val="36"/>
        </w:rPr>
      </w:pPr>
    </w:p>
    <w:p w14:paraId="3AEC5A1A" w14:textId="77777777" w:rsidR="00416F6D" w:rsidRDefault="00416F6D" w:rsidP="00E936BB">
      <w:pPr>
        <w:jc w:val="both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416F6D" w:rsidRPr="003C66A7" w14:paraId="14526BD0" w14:textId="77777777" w:rsidTr="005C6EB5">
        <w:tc>
          <w:tcPr>
            <w:tcW w:w="4606" w:type="dxa"/>
          </w:tcPr>
          <w:p w14:paraId="71735330" w14:textId="77777777" w:rsidR="00416F6D" w:rsidRPr="003C66A7" w:rsidRDefault="00416F6D" w:rsidP="005C6EB5">
            <w:pPr>
              <w:jc w:val="center"/>
              <w:rPr>
                <w:rFonts w:ascii="Calibri Light" w:hAnsi="Calibri Light"/>
                <w:b/>
              </w:rPr>
            </w:pPr>
            <w:r w:rsidRPr="003C66A7">
              <w:rPr>
                <w:rFonts w:ascii="Calibri Light" w:hAnsi="Calibri Light"/>
                <w:b/>
              </w:rPr>
              <w:t>RECETTES</w:t>
            </w:r>
          </w:p>
        </w:tc>
        <w:tc>
          <w:tcPr>
            <w:tcW w:w="4606" w:type="dxa"/>
          </w:tcPr>
          <w:p w14:paraId="704B503F" w14:textId="77777777" w:rsidR="00416F6D" w:rsidRPr="003C66A7" w:rsidRDefault="00416F6D" w:rsidP="005C6EB5">
            <w:pPr>
              <w:jc w:val="center"/>
              <w:rPr>
                <w:rFonts w:ascii="Calibri Light" w:hAnsi="Calibri Light"/>
                <w:b/>
              </w:rPr>
            </w:pPr>
            <w:r w:rsidRPr="003C66A7">
              <w:rPr>
                <w:rFonts w:ascii="Calibri Light" w:hAnsi="Calibri Light"/>
                <w:b/>
              </w:rPr>
              <w:t>D</w:t>
            </w:r>
            <w:r>
              <w:rPr>
                <w:rFonts w:ascii="Calibri Light" w:hAnsi="Calibri Light"/>
                <w:b/>
              </w:rPr>
              <w:t>É</w:t>
            </w:r>
            <w:r w:rsidRPr="003C66A7">
              <w:rPr>
                <w:rFonts w:ascii="Calibri Light" w:hAnsi="Calibri Light"/>
                <w:b/>
              </w:rPr>
              <w:t>PENSES</w:t>
            </w:r>
          </w:p>
        </w:tc>
      </w:tr>
      <w:tr w:rsidR="00416F6D" w:rsidRPr="003C66A7" w14:paraId="604B5DA3" w14:textId="77777777" w:rsidTr="005C6EB5">
        <w:trPr>
          <w:trHeight w:val="2953"/>
        </w:trPr>
        <w:tc>
          <w:tcPr>
            <w:tcW w:w="4606" w:type="dxa"/>
          </w:tcPr>
          <w:p w14:paraId="38FEC5D5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</w:rPr>
              <w:t xml:space="preserve">Apport personnel                                   </w:t>
            </w:r>
            <w:r w:rsidRPr="003C66A7">
              <w:rPr>
                <w:rFonts w:ascii="Calibri Light" w:hAnsi="Calibri Light"/>
                <w:b/>
              </w:rPr>
              <w:t>17620</w:t>
            </w:r>
          </w:p>
          <w:p w14:paraId="20F849DB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  <w:i/>
              </w:rPr>
            </w:pPr>
            <w:r w:rsidRPr="003C66A7">
              <w:rPr>
                <w:rFonts w:ascii="Calibri Light" w:hAnsi="Calibri Light"/>
                <w:i/>
                <w:sz w:val="20"/>
              </w:rPr>
              <w:t>Dont ressources propres</w:t>
            </w:r>
            <w:r w:rsidRPr="003C66A7">
              <w:rPr>
                <w:rFonts w:ascii="Calibri Light" w:hAnsi="Calibri Light"/>
                <w:i/>
              </w:rPr>
              <w:t xml:space="preserve">                                 </w:t>
            </w:r>
            <w:r w:rsidRPr="003C66A7">
              <w:rPr>
                <w:rFonts w:ascii="Calibri Light" w:hAnsi="Calibri Light"/>
                <w:i/>
                <w:sz w:val="20"/>
              </w:rPr>
              <w:t>7443</w:t>
            </w:r>
          </w:p>
          <w:p w14:paraId="7036295A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  <w:i/>
                <w:sz w:val="18"/>
              </w:rPr>
            </w:pPr>
            <w:r w:rsidRPr="003C66A7">
              <w:rPr>
                <w:rFonts w:ascii="Calibri Light" w:hAnsi="Calibri Light"/>
                <w:i/>
                <w:sz w:val="20"/>
              </w:rPr>
              <w:t xml:space="preserve">Dont emprunts                                                      </w:t>
            </w:r>
            <w:r w:rsidRPr="003C66A7">
              <w:rPr>
                <w:rFonts w:ascii="Calibri Light" w:hAnsi="Calibri Light"/>
                <w:i/>
                <w:sz w:val="18"/>
              </w:rPr>
              <w:t>10172</w:t>
            </w:r>
          </w:p>
          <w:p w14:paraId="68DD56E2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  <w:i/>
                <w:sz w:val="18"/>
              </w:rPr>
            </w:pPr>
          </w:p>
          <w:p w14:paraId="0E5AF93E" w14:textId="77777777" w:rsidR="00416F6D" w:rsidRPr="003C66A7" w:rsidRDefault="00416F6D" w:rsidP="005C6EB5">
            <w:pPr>
              <w:spacing w:line="480" w:lineRule="auto"/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</w:rPr>
              <w:t xml:space="preserve">Dons des personnes physiques                </w:t>
            </w:r>
            <w:r w:rsidRPr="003C66A7">
              <w:rPr>
                <w:rFonts w:ascii="Calibri Light" w:hAnsi="Calibri Light"/>
                <w:b/>
              </w:rPr>
              <w:t>3832</w:t>
            </w:r>
          </w:p>
          <w:p w14:paraId="53186A88" w14:textId="77777777" w:rsidR="00416F6D" w:rsidRPr="003C66A7" w:rsidRDefault="00416F6D" w:rsidP="005C6EB5">
            <w:pPr>
              <w:spacing w:line="480" w:lineRule="auto"/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</w:rPr>
              <w:t xml:space="preserve">Financement des partis                            </w:t>
            </w:r>
            <w:r w:rsidRPr="003C66A7">
              <w:rPr>
                <w:rFonts w:ascii="Calibri Light" w:hAnsi="Calibri Light"/>
                <w:b/>
              </w:rPr>
              <w:t>1904</w:t>
            </w:r>
          </w:p>
          <w:p w14:paraId="6ABBC749" w14:textId="77777777" w:rsidR="00416F6D" w:rsidRPr="003C66A7" w:rsidRDefault="00416F6D" w:rsidP="005C6EB5">
            <w:pPr>
              <w:spacing w:line="480" w:lineRule="auto"/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</w:rPr>
              <w:t xml:space="preserve">Divers                                                        </w:t>
            </w:r>
            <w:r w:rsidRPr="003C66A7">
              <w:rPr>
                <w:rFonts w:ascii="Calibri Light" w:hAnsi="Calibri Light"/>
                <w:b/>
              </w:rPr>
              <w:t>747</w:t>
            </w:r>
            <w:r w:rsidRPr="003C66A7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606" w:type="dxa"/>
          </w:tcPr>
          <w:p w14:paraId="40D91A3B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  <w:b/>
              </w:rPr>
              <w:t>123</w:t>
            </w:r>
            <w:r>
              <w:rPr>
                <w:rFonts w:ascii="Calibri Light" w:hAnsi="Calibri Light"/>
                <w:b/>
              </w:rPr>
              <w:t>53</w:t>
            </w:r>
            <w:r w:rsidRPr="003C66A7">
              <w:rPr>
                <w:rFonts w:ascii="Calibri Light" w:hAnsi="Calibri Light"/>
              </w:rPr>
              <w:t xml:space="preserve">                    Propagande et distribution</w:t>
            </w:r>
          </w:p>
          <w:p w14:paraId="63D013B0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  <w:i/>
                <w:sz w:val="20"/>
              </w:rPr>
            </w:pPr>
            <w:r w:rsidRPr="003C66A7">
              <w:rPr>
                <w:rFonts w:ascii="Calibri Light" w:hAnsi="Calibri Light"/>
                <w:i/>
                <w:sz w:val="20"/>
              </w:rPr>
              <w:t xml:space="preserve">8956                                                   dont propagande </w:t>
            </w:r>
          </w:p>
          <w:p w14:paraId="40902100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t>3394</w:t>
            </w:r>
            <w:r w:rsidRPr="003C66A7">
              <w:rPr>
                <w:rFonts w:ascii="Calibri Light" w:hAnsi="Calibri Light"/>
                <w:i/>
                <w:sz w:val="20"/>
              </w:rPr>
              <w:t xml:space="preserve">                                                   dont distribution </w:t>
            </w:r>
          </w:p>
          <w:p w14:paraId="744EE393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  <w:i/>
                <w:sz w:val="20"/>
              </w:rPr>
            </w:pPr>
          </w:p>
          <w:p w14:paraId="117D71CC" w14:textId="77777777" w:rsidR="00416F6D" w:rsidRPr="003C66A7" w:rsidRDefault="00416F6D" w:rsidP="005C6EB5">
            <w:pPr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  <w:b/>
              </w:rPr>
              <w:t xml:space="preserve">2855 </w:t>
            </w:r>
            <w:r w:rsidRPr="003C66A7">
              <w:rPr>
                <w:rFonts w:ascii="Calibri Light" w:hAnsi="Calibri Light"/>
              </w:rPr>
              <w:t xml:space="preserve">             Communication et sites internet</w:t>
            </w:r>
          </w:p>
          <w:p w14:paraId="14834819" w14:textId="77777777" w:rsidR="00416F6D" w:rsidRPr="003C66A7" w:rsidRDefault="00416F6D" w:rsidP="005C6EB5">
            <w:pPr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</w:rPr>
              <w:t xml:space="preserve"> </w:t>
            </w:r>
          </w:p>
          <w:p w14:paraId="0B71A846" w14:textId="77777777" w:rsidR="00416F6D" w:rsidRPr="003C66A7" w:rsidRDefault="00416F6D" w:rsidP="005C6EB5">
            <w:pPr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  <w:b/>
              </w:rPr>
              <w:t xml:space="preserve">2579 </w:t>
            </w:r>
            <w:r w:rsidRPr="003C66A7">
              <w:rPr>
                <w:rFonts w:ascii="Calibri Light" w:hAnsi="Calibri Light"/>
              </w:rPr>
              <w:t xml:space="preserve">                                         Déplacements</w:t>
            </w:r>
          </w:p>
          <w:p w14:paraId="225139F5" w14:textId="77777777" w:rsidR="00416F6D" w:rsidRPr="003C66A7" w:rsidRDefault="00416F6D" w:rsidP="005C6EB5">
            <w:pPr>
              <w:rPr>
                <w:rFonts w:ascii="Calibri Light" w:hAnsi="Calibri Light"/>
              </w:rPr>
            </w:pPr>
          </w:p>
          <w:p w14:paraId="21292C25" w14:textId="77777777" w:rsidR="00416F6D" w:rsidRPr="003C66A7" w:rsidRDefault="00416F6D" w:rsidP="005C6EB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2203</w:t>
            </w:r>
            <w:r w:rsidRPr="003C66A7">
              <w:rPr>
                <w:rFonts w:ascii="Calibri Light" w:hAnsi="Calibri Light"/>
                <w:b/>
              </w:rPr>
              <w:t xml:space="preserve"> </w:t>
            </w:r>
            <w:r w:rsidRPr="003C66A7">
              <w:rPr>
                <w:rFonts w:ascii="Calibri Light" w:hAnsi="Calibri Light"/>
              </w:rPr>
              <w:t xml:space="preserve">                                </w:t>
            </w:r>
            <w:r>
              <w:rPr>
                <w:rFonts w:ascii="Calibri Light" w:hAnsi="Calibri Light"/>
              </w:rPr>
              <w:t xml:space="preserve">    </w:t>
            </w:r>
            <w:r w:rsidRPr="003C66A7">
              <w:rPr>
                <w:rFonts w:ascii="Calibri Light" w:hAnsi="Calibri Light"/>
              </w:rPr>
              <w:t xml:space="preserve"> Locaux –téléphone</w:t>
            </w:r>
          </w:p>
          <w:p w14:paraId="438F4D80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</w:rPr>
            </w:pPr>
          </w:p>
          <w:p w14:paraId="6B9CFAF8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3035</w:t>
            </w:r>
            <w:r w:rsidRPr="003C66A7">
              <w:rPr>
                <w:rFonts w:ascii="Calibri Light" w:hAnsi="Calibri Light"/>
              </w:rPr>
              <w:t xml:space="preserve">                                 </w:t>
            </w:r>
            <w:r>
              <w:rPr>
                <w:rFonts w:ascii="Calibri Light" w:hAnsi="Calibri Light"/>
              </w:rPr>
              <w:t xml:space="preserve">     </w:t>
            </w:r>
            <w:r w:rsidRPr="003C66A7">
              <w:rPr>
                <w:rFonts w:ascii="Calibri Light" w:hAnsi="Calibri Light"/>
              </w:rPr>
              <w:t xml:space="preserve"> Diverses dépenses</w:t>
            </w:r>
          </w:p>
          <w:p w14:paraId="0054E346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t>780</w:t>
            </w:r>
            <w:r w:rsidRPr="003C66A7">
              <w:rPr>
                <w:rFonts w:ascii="Calibri Light" w:hAnsi="Calibri Light"/>
                <w:i/>
                <w:sz w:val="20"/>
              </w:rPr>
              <w:t xml:space="preserve">                                                          dont réunions</w:t>
            </w:r>
          </w:p>
          <w:p w14:paraId="539FAC8D" w14:textId="77777777" w:rsidR="00416F6D" w:rsidRPr="003C66A7" w:rsidRDefault="00416F6D" w:rsidP="005C6EB5">
            <w:pPr>
              <w:spacing w:line="276" w:lineRule="auto"/>
              <w:rPr>
                <w:rFonts w:ascii="Calibri Light" w:hAnsi="Calibri Light"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t>651</w:t>
            </w:r>
            <w:r w:rsidRPr="003C66A7">
              <w:rPr>
                <w:rFonts w:ascii="Calibri Light" w:hAnsi="Calibri Light"/>
                <w:i/>
                <w:sz w:val="20"/>
              </w:rPr>
              <w:t xml:space="preserve">                                                        dont personnel </w:t>
            </w:r>
          </w:p>
          <w:p w14:paraId="2FAB78F0" w14:textId="4E473126" w:rsidR="00416F6D" w:rsidRPr="003C66A7" w:rsidRDefault="00416F6D" w:rsidP="005C6EB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  <w:sz w:val="20"/>
              </w:rPr>
              <w:t>1604</w:t>
            </w:r>
            <w:r w:rsidRPr="003C66A7">
              <w:rPr>
                <w:rFonts w:ascii="Calibri Light" w:hAnsi="Calibri Light"/>
                <w:i/>
                <w:sz w:val="20"/>
              </w:rPr>
              <w:t xml:space="preserve">                           </w:t>
            </w:r>
            <w:r>
              <w:rPr>
                <w:rFonts w:ascii="Calibri Light" w:hAnsi="Calibri Light"/>
                <w:i/>
                <w:sz w:val="20"/>
              </w:rPr>
              <w:t xml:space="preserve">      </w:t>
            </w:r>
            <w:r>
              <w:rPr>
                <w:rFonts w:ascii="Calibri Light" w:hAnsi="Calibri Light"/>
                <w:i/>
                <w:sz w:val="20"/>
              </w:rPr>
              <w:t xml:space="preserve">                    </w:t>
            </w:r>
            <w:r w:rsidRPr="003C66A7">
              <w:rPr>
                <w:rFonts w:ascii="Calibri Light" w:hAnsi="Calibri Light"/>
                <w:i/>
                <w:sz w:val="20"/>
              </w:rPr>
              <w:t>dont autres (</w:t>
            </w:r>
            <w:r w:rsidRPr="003C66A7">
              <w:rPr>
                <w:rFonts w:ascii="Calibri Light" w:hAnsi="Calibri Light"/>
                <w:i/>
                <w:sz w:val="20"/>
              </w:rPr>
              <w:t>expert-comptable</w:t>
            </w:r>
            <w:r w:rsidRPr="003C66A7">
              <w:rPr>
                <w:rFonts w:ascii="Calibri Light" w:hAnsi="Calibri Light"/>
                <w:i/>
                <w:sz w:val="20"/>
              </w:rPr>
              <w:t>)</w:t>
            </w:r>
          </w:p>
        </w:tc>
      </w:tr>
      <w:tr w:rsidR="00416F6D" w:rsidRPr="003C66A7" w14:paraId="112921EB" w14:textId="77777777" w:rsidTr="005C6EB5">
        <w:tc>
          <w:tcPr>
            <w:tcW w:w="4606" w:type="dxa"/>
          </w:tcPr>
          <w:p w14:paraId="465416DF" w14:textId="77777777" w:rsidR="00416F6D" w:rsidRPr="003C66A7" w:rsidRDefault="00416F6D" w:rsidP="005C6EB5">
            <w:pPr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  <w:b/>
              </w:rPr>
              <w:t xml:space="preserve">TOTAL </w:t>
            </w:r>
            <w:r w:rsidRPr="003C66A7">
              <w:rPr>
                <w:rFonts w:ascii="Calibri Light" w:hAnsi="Calibri Light"/>
              </w:rPr>
              <w:t xml:space="preserve">                                               </w:t>
            </w:r>
            <w:r w:rsidRPr="003C66A7">
              <w:rPr>
                <w:rFonts w:ascii="Calibri Light" w:hAnsi="Calibri Light"/>
                <w:b/>
              </w:rPr>
              <w:t xml:space="preserve"> 24103</w:t>
            </w:r>
          </w:p>
        </w:tc>
        <w:tc>
          <w:tcPr>
            <w:tcW w:w="4606" w:type="dxa"/>
          </w:tcPr>
          <w:p w14:paraId="22FE4EFE" w14:textId="77777777" w:rsidR="00416F6D" w:rsidRPr="003C66A7" w:rsidRDefault="00416F6D" w:rsidP="005C6EB5">
            <w:pPr>
              <w:rPr>
                <w:rFonts w:ascii="Calibri Light" w:hAnsi="Calibri Light"/>
              </w:rPr>
            </w:pPr>
            <w:r w:rsidRPr="003C66A7">
              <w:rPr>
                <w:rFonts w:ascii="Calibri Light" w:hAnsi="Calibri Light"/>
                <w:b/>
              </w:rPr>
              <w:t xml:space="preserve">23025 </w:t>
            </w:r>
            <w:r w:rsidRPr="003C66A7">
              <w:rPr>
                <w:rFonts w:ascii="Calibri Light" w:hAnsi="Calibri Light"/>
              </w:rPr>
              <w:t xml:space="preserve">                                                </w:t>
            </w:r>
            <w:r w:rsidRPr="003C66A7">
              <w:rPr>
                <w:rFonts w:ascii="Calibri Light" w:hAnsi="Calibri Light"/>
                <w:b/>
              </w:rPr>
              <w:t>TOTAL</w:t>
            </w:r>
          </w:p>
        </w:tc>
      </w:tr>
    </w:tbl>
    <w:p w14:paraId="7206FE53" w14:textId="77777777" w:rsidR="00416F6D" w:rsidRDefault="00416F6D" w:rsidP="00416F6D">
      <w:pPr>
        <w:rPr>
          <w:rFonts w:ascii="Calibri Light" w:hAnsi="Calibri Light"/>
        </w:rPr>
      </w:pPr>
    </w:p>
    <w:p w14:paraId="11579AB6" w14:textId="77777777" w:rsidR="00416F6D" w:rsidRPr="003D2205" w:rsidRDefault="00416F6D" w:rsidP="00416F6D">
      <w:pPr>
        <w:rPr>
          <w:rFonts w:ascii="Calibri Light" w:hAnsi="Calibri Light"/>
          <w:sz w:val="28"/>
        </w:rPr>
      </w:pPr>
      <w:r w:rsidRPr="003D2205">
        <w:rPr>
          <w:rFonts w:ascii="Calibri Light" w:hAnsi="Calibri Light"/>
          <w:sz w:val="28"/>
        </w:rPr>
        <w:t>L’excédent est réparti par la Commission des comptes de campagne en fonction de son origine</w:t>
      </w:r>
      <w:r>
        <w:rPr>
          <w:rFonts w:ascii="Calibri Light" w:hAnsi="Calibri Light"/>
          <w:sz w:val="28"/>
        </w:rPr>
        <w:t xml:space="preserve"> </w:t>
      </w:r>
      <w:r w:rsidRPr="003D2205">
        <w:rPr>
          <w:rFonts w:ascii="Calibri Light" w:hAnsi="Calibri Light"/>
          <w:sz w:val="28"/>
        </w:rPr>
        <w:t>(ressources propres ou externes) avec l’objectif d’éviter tout enrichissement personnel.</w:t>
      </w:r>
    </w:p>
    <w:p w14:paraId="68D6E299" w14:textId="3BF1BC0A" w:rsidR="00416F6D" w:rsidRPr="003C66A7" w:rsidRDefault="00416F6D" w:rsidP="00416F6D">
      <w:pPr>
        <w:rPr>
          <w:rFonts w:ascii="Calibri Light" w:hAnsi="Calibri Light"/>
        </w:rPr>
      </w:pPr>
      <w:r w:rsidRPr="003D2205">
        <w:rPr>
          <w:rFonts w:ascii="Calibri Light" w:hAnsi="Calibri Light"/>
          <w:sz w:val="28"/>
        </w:rPr>
        <w:t>Le remboursement de l’</w:t>
      </w:r>
      <w:r w:rsidRPr="003D2205">
        <w:rPr>
          <w:rFonts w:ascii="Calibri Light" w:hAnsi="Calibri Light"/>
          <w:sz w:val="28"/>
        </w:rPr>
        <w:t>État</w:t>
      </w:r>
      <w:r w:rsidRPr="003D2205">
        <w:rPr>
          <w:rFonts w:ascii="Calibri Light" w:hAnsi="Calibri Light"/>
          <w:sz w:val="28"/>
        </w:rPr>
        <w:t xml:space="preserve"> s’étant élevé à 16507 euros, le « reste à charge » des candidats est de 1113 euros (17620 – 16507</w:t>
      </w:r>
      <w:r w:rsidRPr="003D2205">
        <w:rPr>
          <w:rFonts w:ascii="Calibri Light" w:hAnsi="Calibri Light"/>
          <w:sz w:val="28"/>
        </w:rPr>
        <w:t>). En</w:t>
      </w:r>
      <w:r w:rsidRPr="003D2205">
        <w:rPr>
          <w:rFonts w:ascii="Calibri Light" w:hAnsi="Calibri Light"/>
          <w:sz w:val="28"/>
        </w:rPr>
        <w:t xml:space="preserve"> 2017, 75% </w:t>
      </w:r>
      <w:r w:rsidRPr="003D2205">
        <w:rPr>
          <w:rFonts w:ascii="Calibri Light" w:hAnsi="Calibri Light"/>
          <w:sz w:val="28"/>
        </w:rPr>
        <w:t>des candidats</w:t>
      </w:r>
      <w:r w:rsidRPr="003D2205">
        <w:rPr>
          <w:rFonts w:ascii="Calibri Light" w:hAnsi="Calibri Light"/>
          <w:sz w:val="28"/>
        </w:rPr>
        <w:t xml:space="preserve"> bénéficiaires ont perçu un remboursement égal ou </w:t>
      </w:r>
      <w:proofErr w:type="gramStart"/>
      <w:r w:rsidRPr="003D2205">
        <w:rPr>
          <w:rFonts w:ascii="Calibri Light" w:hAnsi="Calibri Light"/>
          <w:sz w:val="28"/>
        </w:rPr>
        <w:t>supérieur  à</w:t>
      </w:r>
      <w:proofErr w:type="gramEnd"/>
      <w:r w:rsidRPr="003D2205">
        <w:rPr>
          <w:rFonts w:ascii="Calibri Light" w:hAnsi="Calibri Light"/>
          <w:sz w:val="28"/>
        </w:rPr>
        <w:t xml:space="preserve"> 90% </w:t>
      </w:r>
      <w:r>
        <w:rPr>
          <w:rFonts w:ascii="Calibri Light" w:hAnsi="Calibri Light"/>
          <w:sz w:val="28"/>
        </w:rPr>
        <w:t xml:space="preserve">de leur apport  personnel, </w:t>
      </w:r>
      <w:r w:rsidRPr="003D2205">
        <w:rPr>
          <w:rFonts w:ascii="Calibri Light" w:hAnsi="Calibri Light"/>
          <w:sz w:val="28"/>
        </w:rPr>
        <w:t>dont 13% un remboursement intégral</w:t>
      </w:r>
      <w:r>
        <w:rPr>
          <w:rFonts w:ascii="Calibri Light" w:hAnsi="Calibri Light"/>
        </w:rPr>
        <w:t>.</w:t>
      </w:r>
    </w:p>
    <w:p w14:paraId="25F4402C" w14:textId="7D79E28B" w:rsidR="00744D04" w:rsidRDefault="00416F6D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264EAD08" w14:textId="05DB22CF" w:rsidR="00744D04" w:rsidRDefault="00744D04" w:rsidP="00A82F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OBTENIR AU MOINS 5</w:t>
      </w:r>
      <w:r w:rsidR="00416F6D">
        <w:rPr>
          <w:sz w:val="36"/>
          <w:szCs w:val="36"/>
        </w:rPr>
        <w:t>% DES</w:t>
      </w:r>
      <w:r>
        <w:rPr>
          <w:sz w:val="36"/>
          <w:szCs w:val="36"/>
        </w:rPr>
        <w:t xml:space="preserve"> VOIX.</w:t>
      </w:r>
    </w:p>
    <w:p w14:paraId="3350C59A" w14:textId="77777777" w:rsidR="00744D04" w:rsidRDefault="00744D04" w:rsidP="00E936BB">
      <w:pPr>
        <w:jc w:val="both"/>
        <w:rPr>
          <w:sz w:val="36"/>
          <w:szCs w:val="36"/>
        </w:rPr>
      </w:pPr>
    </w:p>
    <w:p w14:paraId="75A6CF54" w14:textId="7C55E03A" w:rsidR="00314005" w:rsidRDefault="00744D04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>Pour bénéficier de ce financement public, une condition est nécessaire :</w:t>
      </w:r>
      <w:r w:rsidR="002B54BC">
        <w:rPr>
          <w:sz w:val="36"/>
          <w:szCs w:val="36"/>
        </w:rPr>
        <w:t xml:space="preserve"> </w:t>
      </w:r>
      <w:r>
        <w:rPr>
          <w:sz w:val="36"/>
          <w:szCs w:val="36"/>
        </w:rPr>
        <w:t>obtenir 5% ou plus des suffrages exprimés au premier tour de l’élection législative. En 2017, 2873 candidats</w:t>
      </w:r>
      <w:r w:rsidR="002B54BC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soit 36,5% des 7877 candidats ont rempli cette condition. Ils bénéficient</w:t>
      </w:r>
      <w:r w:rsidR="002B54BC">
        <w:rPr>
          <w:sz w:val="36"/>
          <w:szCs w:val="36"/>
        </w:rPr>
        <w:t xml:space="preserve">, </w:t>
      </w:r>
      <w:r>
        <w:rPr>
          <w:sz w:val="36"/>
          <w:szCs w:val="36"/>
        </w:rPr>
        <w:t>en outre, de la prise en charge directe par l’Etat de l’intégralité du coût de la « propagande officielle</w:t>
      </w:r>
      <w:r w:rsidR="00314005">
        <w:rPr>
          <w:sz w:val="36"/>
          <w:szCs w:val="36"/>
        </w:rPr>
        <w:t> » (affiches, profession de foi, bulletins de vote)</w:t>
      </w:r>
      <w:r w:rsidR="00A82FA4">
        <w:rPr>
          <w:sz w:val="36"/>
          <w:szCs w:val="36"/>
        </w:rPr>
        <w:t xml:space="preserve"> </w:t>
      </w:r>
      <w:r w:rsidR="00314005">
        <w:rPr>
          <w:sz w:val="36"/>
          <w:szCs w:val="36"/>
        </w:rPr>
        <w:t>qui s’élève entre 4000 et 5000 euros.</w:t>
      </w:r>
    </w:p>
    <w:p w14:paraId="1B6CCBF8" w14:textId="77777777" w:rsidR="00314005" w:rsidRDefault="00314005" w:rsidP="00E936BB">
      <w:pPr>
        <w:jc w:val="both"/>
        <w:rPr>
          <w:sz w:val="36"/>
          <w:szCs w:val="36"/>
        </w:rPr>
      </w:pPr>
    </w:p>
    <w:p w14:paraId="37D9A5B6" w14:textId="77777777" w:rsidR="00314005" w:rsidRDefault="00314005" w:rsidP="00E936BB">
      <w:pPr>
        <w:jc w:val="both"/>
        <w:rPr>
          <w:sz w:val="36"/>
          <w:szCs w:val="36"/>
        </w:rPr>
      </w:pPr>
    </w:p>
    <w:p w14:paraId="33B70EEF" w14:textId="05880284" w:rsidR="00314005" w:rsidRDefault="00314005" w:rsidP="00A82FA4">
      <w:pPr>
        <w:jc w:val="center"/>
        <w:rPr>
          <w:sz w:val="36"/>
          <w:szCs w:val="36"/>
        </w:rPr>
      </w:pPr>
      <w:r>
        <w:rPr>
          <w:sz w:val="36"/>
          <w:szCs w:val="36"/>
        </w:rPr>
        <w:t>ET POUR LES AUTRES ?</w:t>
      </w:r>
    </w:p>
    <w:p w14:paraId="10C4BC2C" w14:textId="77777777" w:rsidR="00314005" w:rsidRDefault="00314005" w:rsidP="00E936BB">
      <w:pPr>
        <w:jc w:val="both"/>
        <w:rPr>
          <w:sz w:val="36"/>
          <w:szCs w:val="36"/>
        </w:rPr>
      </w:pPr>
    </w:p>
    <w:p w14:paraId="1EC0C7BB" w14:textId="30AF83C0" w:rsidR="00A82FA4" w:rsidRDefault="00314005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>Pour les 4999 candidats qui n’ont pas obtenu 5% des voix, soit 63% des candidats, la situation est différente puisque l’Etat ne les rembourse pas et ne prend pas en charge la « propagande officielle </w:t>
      </w:r>
      <w:r w:rsidR="00A82FA4">
        <w:rPr>
          <w:sz w:val="36"/>
          <w:szCs w:val="36"/>
        </w:rPr>
        <w:t>». Parmi</w:t>
      </w:r>
      <w:r>
        <w:rPr>
          <w:sz w:val="36"/>
          <w:szCs w:val="36"/>
        </w:rPr>
        <w:t xml:space="preserve"> eux, 677 ont présenté un compte zéro, ne comportant ni dépenses ni recettes. La campagne ne leur coûte rien. 2490 autres </w:t>
      </w:r>
      <w:r w:rsidR="00A82FA4">
        <w:rPr>
          <w:sz w:val="36"/>
          <w:szCs w:val="36"/>
        </w:rPr>
        <w:t>candidats, (32</w:t>
      </w:r>
      <w:r w:rsidR="00E60243">
        <w:rPr>
          <w:sz w:val="36"/>
          <w:szCs w:val="36"/>
        </w:rPr>
        <w:t>% du total</w:t>
      </w:r>
      <w:proofErr w:type="gramStart"/>
      <w:r w:rsidR="00E60243">
        <w:rPr>
          <w:sz w:val="36"/>
          <w:szCs w:val="36"/>
        </w:rPr>
        <w:t>) ,</w:t>
      </w:r>
      <w:proofErr w:type="gramEnd"/>
      <w:r w:rsidR="00E6024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ayant obtenu moins de 1% des voix</w:t>
      </w:r>
      <w:r w:rsidR="00A82FA4">
        <w:rPr>
          <w:sz w:val="36"/>
          <w:szCs w:val="36"/>
        </w:rPr>
        <w:t xml:space="preserve"> </w:t>
      </w:r>
      <w:r w:rsidRPr="00314005">
        <w:rPr>
          <w:b/>
          <w:sz w:val="36"/>
          <w:szCs w:val="36"/>
        </w:rPr>
        <w:t>et</w:t>
      </w:r>
      <w:r>
        <w:rPr>
          <w:sz w:val="36"/>
          <w:szCs w:val="36"/>
        </w:rPr>
        <w:t xml:space="preserve"> n’</w:t>
      </w:r>
      <w:r w:rsidR="00E60243">
        <w:rPr>
          <w:sz w:val="36"/>
          <w:szCs w:val="36"/>
        </w:rPr>
        <w:t>ayant reçu</w:t>
      </w:r>
      <w:r w:rsidR="00E60243" w:rsidRPr="00E60243">
        <w:rPr>
          <w:sz w:val="36"/>
          <w:szCs w:val="36"/>
        </w:rPr>
        <w:t xml:space="preserve"> </w:t>
      </w:r>
      <w:r w:rsidR="00E60243">
        <w:rPr>
          <w:sz w:val="36"/>
          <w:szCs w:val="36"/>
        </w:rPr>
        <w:t>aucun don de particulier, étaient dispensés de présenter un compte de campagne. Restent 1720 candidats dont la dépense moyenne s’est élevée à 5072 euros (contre 4184 en 2012 soit +21%)</w:t>
      </w:r>
      <w:r w:rsidR="008F7434">
        <w:rPr>
          <w:sz w:val="36"/>
          <w:szCs w:val="36"/>
        </w:rPr>
        <w:t>.</w:t>
      </w:r>
      <w:r w:rsidR="00E60243">
        <w:rPr>
          <w:sz w:val="36"/>
          <w:szCs w:val="36"/>
        </w:rPr>
        <w:t xml:space="preserve">  Côté recettes, les dons et les financements politiques ont </w:t>
      </w:r>
      <w:r w:rsidR="00E60243">
        <w:rPr>
          <w:sz w:val="36"/>
          <w:szCs w:val="36"/>
        </w:rPr>
        <w:lastRenderedPageBreak/>
        <w:t>représenté</w:t>
      </w:r>
      <w:r w:rsidR="00A82FA4">
        <w:rPr>
          <w:sz w:val="36"/>
          <w:szCs w:val="36"/>
        </w:rPr>
        <w:t xml:space="preserve"> </w:t>
      </w:r>
      <w:r w:rsidR="00E60243">
        <w:rPr>
          <w:sz w:val="36"/>
          <w:szCs w:val="36"/>
        </w:rPr>
        <w:t xml:space="preserve">52% ; le </w:t>
      </w:r>
      <w:r w:rsidR="00416F6D">
        <w:rPr>
          <w:sz w:val="36"/>
          <w:szCs w:val="36"/>
        </w:rPr>
        <w:t>reste constitue</w:t>
      </w:r>
      <w:r w:rsidR="00E60243">
        <w:rPr>
          <w:sz w:val="36"/>
          <w:szCs w:val="36"/>
        </w:rPr>
        <w:t xml:space="preserve"> l’apport personnel du candidat soit 2491 euros (dont 1062 euros d’emprunts</w:t>
      </w:r>
      <w:r w:rsidR="00416F6D">
        <w:rPr>
          <w:sz w:val="36"/>
          <w:szCs w:val="36"/>
        </w:rPr>
        <w:t>). A</w:t>
      </w:r>
      <w:r w:rsidR="00E60243">
        <w:rPr>
          <w:sz w:val="36"/>
          <w:szCs w:val="36"/>
        </w:rPr>
        <w:t xml:space="preserve"> cette somme, qui reste à leur charge</w:t>
      </w:r>
      <w:r w:rsidR="00A82FA4">
        <w:rPr>
          <w:sz w:val="36"/>
          <w:szCs w:val="36"/>
        </w:rPr>
        <w:t xml:space="preserve"> </w:t>
      </w:r>
      <w:r w:rsidR="00E60243">
        <w:rPr>
          <w:sz w:val="36"/>
          <w:szCs w:val="36"/>
        </w:rPr>
        <w:t>Il faut ajouter le montant de la « propagande officielle »</w:t>
      </w:r>
      <w:r w:rsidR="008F7434">
        <w:rPr>
          <w:sz w:val="36"/>
          <w:szCs w:val="36"/>
        </w:rPr>
        <w:t xml:space="preserve"> </w:t>
      </w:r>
      <w:r w:rsidR="00416F6D">
        <w:rPr>
          <w:sz w:val="36"/>
          <w:szCs w:val="36"/>
        </w:rPr>
        <w:t>(entre</w:t>
      </w:r>
      <w:r w:rsidR="00E60243">
        <w:rPr>
          <w:sz w:val="36"/>
          <w:szCs w:val="36"/>
        </w:rPr>
        <w:t xml:space="preserve"> 4000 et 5000 euros).</w:t>
      </w:r>
    </w:p>
    <w:p w14:paraId="651AB342" w14:textId="77777777" w:rsidR="00416F6D" w:rsidRDefault="00416F6D" w:rsidP="00E936BB">
      <w:pPr>
        <w:jc w:val="both"/>
        <w:rPr>
          <w:sz w:val="36"/>
          <w:szCs w:val="36"/>
        </w:rPr>
      </w:pPr>
    </w:p>
    <w:p w14:paraId="3B1ED232" w14:textId="201B9FB8" w:rsidR="00E60243" w:rsidRDefault="00E60243" w:rsidP="00A82F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POUR UNE BANQUE DE LA </w:t>
      </w:r>
      <w:r w:rsidR="00416F6D">
        <w:rPr>
          <w:sz w:val="36"/>
          <w:szCs w:val="36"/>
        </w:rPr>
        <w:t>DEMOCRATIE.</w:t>
      </w:r>
    </w:p>
    <w:p w14:paraId="28729AE3" w14:textId="77777777" w:rsidR="00E60243" w:rsidRDefault="00E60243" w:rsidP="00E936BB">
      <w:pPr>
        <w:jc w:val="both"/>
        <w:rPr>
          <w:sz w:val="36"/>
          <w:szCs w:val="36"/>
        </w:rPr>
      </w:pPr>
    </w:p>
    <w:p w14:paraId="7E2FD7D1" w14:textId="1D5534D9" w:rsidR="002C3B27" w:rsidRDefault="00E60243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>Concernant les campagnes législatives</w:t>
      </w:r>
      <w:r w:rsidR="002C3B27">
        <w:rPr>
          <w:sz w:val="36"/>
          <w:szCs w:val="36"/>
        </w:rPr>
        <w:t>, la législation française permet d’échapper aux « campagnes à l’américaine » que l’on a connues</w:t>
      </w:r>
      <w:r w:rsidR="00A82FA4">
        <w:rPr>
          <w:sz w:val="36"/>
          <w:szCs w:val="36"/>
        </w:rPr>
        <w:t xml:space="preserve"> </w:t>
      </w:r>
      <w:r w:rsidR="002C3B27">
        <w:rPr>
          <w:sz w:val="36"/>
          <w:szCs w:val="36"/>
        </w:rPr>
        <w:t>dans les années 1960, époque où n’existait aucune réglementation. Dans l’Oise</w:t>
      </w:r>
      <w:r>
        <w:rPr>
          <w:sz w:val="36"/>
          <w:szCs w:val="36"/>
        </w:rPr>
        <w:t xml:space="preserve"> </w:t>
      </w:r>
      <w:r w:rsidR="002C3B27">
        <w:rPr>
          <w:sz w:val="36"/>
          <w:szCs w:val="36"/>
        </w:rPr>
        <w:t>les plus anciens n’ont pas oublié les fastueuses dépenses</w:t>
      </w:r>
      <w:r w:rsidR="00A82FA4">
        <w:rPr>
          <w:sz w:val="36"/>
          <w:szCs w:val="36"/>
        </w:rPr>
        <w:t xml:space="preserve"> </w:t>
      </w:r>
      <w:r w:rsidR="002C3B27">
        <w:rPr>
          <w:sz w:val="36"/>
          <w:szCs w:val="36"/>
        </w:rPr>
        <w:t xml:space="preserve">du candidat Robert Hersant pour se faire élire. Quelques années plus tard c’était le tour de JJ Servan-Schreiber…Ce </w:t>
      </w:r>
      <w:r w:rsidR="00A82FA4">
        <w:rPr>
          <w:sz w:val="36"/>
          <w:szCs w:val="36"/>
        </w:rPr>
        <w:t>temps-là</w:t>
      </w:r>
      <w:r w:rsidR="002C3B27">
        <w:rPr>
          <w:sz w:val="36"/>
          <w:szCs w:val="36"/>
        </w:rPr>
        <w:t xml:space="preserve"> est heureusement révolu. L’existence d’un plafond limite les excès et incite à la sobriété. En outre tout financement privé est strictement interdit. Enfin le remboursement par l’</w:t>
      </w:r>
      <w:proofErr w:type="spellStart"/>
      <w:r w:rsidR="002C3B27">
        <w:rPr>
          <w:sz w:val="36"/>
          <w:szCs w:val="36"/>
        </w:rPr>
        <w:t>Etat</w:t>
      </w:r>
      <w:proofErr w:type="spellEnd"/>
      <w:r w:rsidR="002C3B27">
        <w:rPr>
          <w:sz w:val="36"/>
          <w:szCs w:val="36"/>
        </w:rPr>
        <w:t xml:space="preserve"> d’une partie des dépenses limite très sensiblement le « reste à charge »</w:t>
      </w:r>
      <w:r w:rsidR="00AA1582">
        <w:rPr>
          <w:sz w:val="36"/>
          <w:szCs w:val="36"/>
        </w:rPr>
        <w:t>.</w:t>
      </w:r>
    </w:p>
    <w:p w14:paraId="4DDDB70C" w14:textId="25394322" w:rsidR="009C223B" w:rsidRPr="00E936BB" w:rsidRDefault="00AA1582" w:rsidP="00E936BB">
      <w:pPr>
        <w:jc w:val="both"/>
        <w:rPr>
          <w:sz w:val="36"/>
          <w:szCs w:val="36"/>
        </w:rPr>
      </w:pPr>
      <w:r>
        <w:rPr>
          <w:sz w:val="36"/>
          <w:szCs w:val="36"/>
        </w:rPr>
        <w:t>Si l’on peut se réjouir de cette originalité française, qui n’a toutefois guère inspiré les pays d’Afrique et d’Amérique latine, elle comporte</w:t>
      </w:r>
      <w:r w:rsidR="00A82FA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un risque de fragilisation. Il concerne l’accès au système bancaire qui devient de plus en plus réticent à s’investir dans le financement politique alors que son rôle est essentiel. L’idée d’une </w:t>
      </w:r>
      <w:r w:rsidRPr="00AA1582">
        <w:rPr>
          <w:b/>
          <w:sz w:val="36"/>
          <w:szCs w:val="36"/>
        </w:rPr>
        <w:t>Banque de la démocratie</w:t>
      </w:r>
      <w:r>
        <w:rPr>
          <w:b/>
          <w:sz w:val="36"/>
          <w:szCs w:val="36"/>
        </w:rPr>
        <w:t xml:space="preserve">, </w:t>
      </w:r>
      <w:r w:rsidRPr="00AA1582">
        <w:rPr>
          <w:sz w:val="36"/>
          <w:szCs w:val="36"/>
        </w:rPr>
        <w:t>trop vite oubliée par la</w:t>
      </w:r>
      <w:r>
        <w:rPr>
          <w:b/>
          <w:sz w:val="36"/>
          <w:szCs w:val="36"/>
        </w:rPr>
        <w:t xml:space="preserve"> </w:t>
      </w:r>
      <w:r w:rsidRPr="00AA1582">
        <w:rPr>
          <w:sz w:val="36"/>
          <w:szCs w:val="36"/>
        </w:rPr>
        <w:t xml:space="preserve">majorité </w:t>
      </w:r>
      <w:proofErr w:type="spellStart"/>
      <w:r w:rsidRPr="00AA1582">
        <w:rPr>
          <w:sz w:val="36"/>
          <w:szCs w:val="36"/>
        </w:rPr>
        <w:t>macronienne</w:t>
      </w:r>
      <w:proofErr w:type="spellEnd"/>
      <w:r>
        <w:rPr>
          <w:b/>
          <w:sz w:val="36"/>
          <w:szCs w:val="36"/>
        </w:rPr>
        <w:t xml:space="preserve">, </w:t>
      </w:r>
      <w:r>
        <w:rPr>
          <w:sz w:val="36"/>
          <w:szCs w:val="36"/>
        </w:rPr>
        <w:t xml:space="preserve">mérite d’être reprise et </w:t>
      </w:r>
      <w:r>
        <w:rPr>
          <w:sz w:val="36"/>
          <w:szCs w:val="36"/>
        </w:rPr>
        <w:lastRenderedPageBreak/>
        <w:t xml:space="preserve">de faire l’objet d’un examen attentif et poussé. </w:t>
      </w:r>
      <w:r w:rsidR="002B54BC">
        <w:rPr>
          <w:sz w:val="36"/>
          <w:szCs w:val="36"/>
        </w:rPr>
        <w:t>Il y va de la pé</w:t>
      </w:r>
      <w:r>
        <w:rPr>
          <w:sz w:val="36"/>
          <w:szCs w:val="36"/>
        </w:rPr>
        <w:t>rennité de notre légi</w:t>
      </w:r>
      <w:r w:rsidR="002B54BC">
        <w:rPr>
          <w:sz w:val="36"/>
          <w:szCs w:val="36"/>
        </w:rPr>
        <w:t xml:space="preserve">slation originale et </w:t>
      </w:r>
      <w:r w:rsidR="00416F6D">
        <w:rPr>
          <w:sz w:val="36"/>
          <w:szCs w:val="36"/>
        </w:rPr>
        <w:t>égalitaire. Au</w:t>
      </w:r>
      <w:r w:rsidR="00A82FA4">
        <w:rPr>
          <w:sz w:val="36"/>
          <w:szCs w:val="36"/>
        </w:rPr>
        <w:t>-delà</w:t>
      </w:r>
      <w:r w:rsidR="002B54BC">
        <w:rPr>
          <w:sz w:val="36"/>
          <w:szCs w:val="36"/>
        </w:rPr>
        <w:t xml:space="preserve"> c’est notre démocratie qui est en cause.</w:t>
      </w:r>
    </w:p>
    <w:sectPr w:rsidR="009C223B" w:rsidRPr="00E936BB" w:rsidSect="0000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BB"/>
    <w:rsid w:val="0000288B"/>
    <w:rsid w:val="002B54BC"/>
    <w:rsid w:val="002C3B27"/>
    <w:rsid w:val="00314005"/>
    <w:rsid w:val="00416F6D"/>
    <w:rsid w:val="004A6472"/>
    <w:rsid w:val="005A4E17"/>
    <w:rsid w:val="006357B6"/>
    <w:rsid w:val="00744D04"/>
    <w:rsid w:val="007656AA"/>
    <w:rsid w:val="008F7434"/>
    <w:rsid w:val="009C223B"/>
    <w:rsid w:val="00A82FA4"/>
    <w:rsid w:val="00AA1582"/>
    <w:rsid w:val="00AD5A1D"/>
    <w:rsid w:val="00E60243"/>
    <w:rsid w:val="00E81024"/>
    <w:rsid w:val="00E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A2D8"/>
  <w15:docId w15:val="{4D65F023-A6DB-1E40-B56D-F629DAEA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88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6F6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lahouali cherif</cp:lastModifiedBy>
  <cp:revision>4</cp:revision>
  <dcterms:created xsi:type="dcterms:W3CDTF">2022-05-31T18:48:00Z</dcterms:created>
  <dcterms:modified xsi:type="dcterms:W3CDTF">2022-05-31T18:57:00Z</dcterms:modified>
</cp:coreProperties>
</file>