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7B68" w14:textId="77777777" w:rsidR="0093646E" w:rsidRDefault="00D76635" w:rsidP="00D76635">
      <w:pPr>
        <w:jc w:val="center"/>
        <w:rPr>
          <w:rFonts w:ascii="Arial" w:hAnsi="Arial" w:cs="Arial"/>
          <w:sz w:val="32"/>
          <w:szCs w:val="32"/>
        </w:rPr>
      </w:pPr>
      <w:r>
        <w:rPr>
          <w:rFonts w:ascii="Arial" w:hAnsi="Arial" w:cs="Arial"/>
          <w:sz w:val="32"/>
          <w:szCs w:val="32"/>
        </w:rPr>
        <w:t>LES CABINETS MINISTERIELS DE PHILIPPE A CASTEX</w:t>
      </w:r>
    </w:p>
    <w:p w14:paraId="1D6120A5" w14:textId="77777777" w:rsidR="00DD20D3" w:rsidRDefault="00DD20D3" w:rsidP="00D76635">
      <w:pPr>
        <w:jc w:val="center"/>
        <w:rPr>
          <w:rFonts w:ascii="Arial" w:hAnsi="Arial" w:cs="Arial"/>
          <w:sz w:val="32"/>
          <w:szCs w:val="32"/>
        </w:rPr>
      </w:pPr>
    </w:p>
    <w:p w14:paraId="322E27F1" w14:textId="77777777" w:rsidR="00D76635" w:rsidRDefault="00D76635" w:rsidP="00D76635">
      <w:pPr>
        <w:jc w:val="center"/>
        <w:rPr>
          <w:rFonts w:ascii="Arial" w:hAnsi="Arial" w:cs="Arial"/>
          <w:sz w:val="32"/>
          <w:szCs w:val="32"/>
        </w:rPr>
      </w:pPr>
    </w:p>
    <w:p w14:paraId="2FBF25C3" w14:textId="77777777" w:rsidR="00D76635" w:rsidRDefault="00D76635" w:rsidP="00D76635">
      <w:pPr>
        <w:jc w:val="center"/>
        <w:rPr>
          <w:rFonts w:ascii="Arial" w:hAnsi="Arial" w:cs="Arial"/>
          <w:sz w:val="32"/>
          <w:szCs w:val="32"/>
        </w:rPr>
      </w:pPr>
    </w:p>
    <w:p w14:paraId="5318822E" w14:textId="7D37C79F" w:rsidR="007168A5" w:rsidRDefault="00DD20D3" w:rsidP="00D76635">
      <w:pPr>
        <w:spacing w:line="360" w:lineRule="auto"/>
        <w:jc w:val="both"/>
        <w:rPr>
          <w:rFonts w:ascii="Arial" w:hAnsi="Arial" w:cs="Arial"/>
          <w:sz w:val="28"/>
          <w:szCs w:val="28"/>
        </w:rPr>
      </w:pPr>
      <w:r>
        <w:rPr>
          <w:rFonts w:ascii="Arial" w:hAnsi="Arial" w:cs="Arial"/>
          <w:sz w:val="28"/>
          <w:szCs w:val="28"/>
        </w:rPr>
        <w:t>2</w:t>
      </w:r>
      <w:r w:rsidR="00724582">
        <w:rPr>
          <w:rFonts w:ascii="Arial" w:hAnsi="Arial" w:cs="Arial"/>
          <w:sz w:val="28"/>
          <w:szCs w:val="28"/>
        </w:rPr>
        <w:t>793</w:t>
      </w:r>
      <w:r>
        <w:rPr>
          <w:rFonts w:ascii="Arial" w:hAnsi="Arial" w:cs="Arial"/>
          <w:sz w:val="28"/>
          <w:szCs w:val="28"/>
        </w:rPr>
        <w:t>,</w:t>
      </w:r>
      <w:r w:rsidR="00724582">
        <w:rPr>
          <w:rFonts w:ascii="Arial" w:hAnsi="Arial" w:cs="Arial"/>
          <w:sz w:val="28"/>
          <w:szCs w:val="28"/>
        </w:rPr>
        <w:t xml:space="preserve"> </w:t>
      </w:r>
      <w:r>
        <w:rPr>
          <w:rFonts w:ascii="Arial" w:hAnsi="Arial" w:cs="Arial"/>
          <w:sz w:val="28"/>
          <w:szCs w:val="28"/>
        </w:rPr>
        <w:t>tel est l’effectif (civil) des cabinets ministériels du gouvernement Castex, au 1</w:t>
      </w:r>
      <w:r w:rsidRPr="00DD20D3">
        <w:rPr>
          <w:rFonts w:ascii="Arial" w:hAnsi="Arial" w:cs="Arial"/>
          <w:sz w:val="28"/>
          <w:szCs w:val="28"/>
          <w:vertAlign w:val="superscript"/>
        </w:rPr>
        <w:t>er</w:t>
      </w:r>
      <w:r>
        <w:rPr>
          <w:rFonts w:ascii="Arial" w:hAnsi="Arial" w:cs="Arial"/>
          <w:sz w:val="28"/>
          <w:szCs w:val="28"/>
        </w:rPr>
        <w:t xml:space="preserve"> aout 2021, selon le « jaune </w:t>
      </w:r>
      <w:r w:rsidR="00724582">
        <w:rPr>
          <w:rFonts w:ascii="Arial" w:hAnsi="Arial" w:cs="Arial"/>
          <w:sz w:val="28"/>
          <w:szCs w:val="28"/>
        </w:rPr>
        <w:t>« budgétaire</w:t>
      </w:r>
      <w:r>
        <w:rPr>
          <w:rFonts w:ascii="Arial" w:hAnsi="Arial" w:cs="Arial"/>
          <w:sz w:val="28"/>
          <w:szCs w:val="28"/>
        </w:rPr>
        <w:t xml:space="preserve"> annexé au projet de loi de finances et   publié par les services du Premier </w:t>
      </w:r>
      <w:r w:rsidR="00724582">
        <w:rPr>
          <w:rFonts w:ascii="Arial" w:hAnsi="Arial" w:cs="Arial"/>
          <w:sz w:val="28"/>
          <w:szCs w:val="28"/>
        </w:rPr>
        <w:t>ministre. Par</w:t>
      </w:r>
      <w:r>
        <w:rPr>
          <w:rFonts w:ascii="Arial" w:hAnsi="Arial" w:cs="Arial"/>
          <w:sz w:val="28"/>
          <w:szCs w:val="28"/>
        </w:rPr>
        <w:t xml:space="preserve"> rapport au dernier gouvernement d’Edouard Philippe, la hausse est de 24%.</w:t>
      </w:r>
      <w:r w:rsidR="00724582">
        <w:rPr>
          <w:rFonts w:ascii="Arial" w:hAnsi="Arial" w:cs="Arial"/>
          <w:sz w:val="28"/>
          <w:szCs w:val="28"/>
        </w:rPr>
        <w:t xml:space="preserve"> </w:t>
      </w:r>
      <w:r>
        <w:rPr>
          <w:rFonts w:ascii="Arial" w:hAnsi="Arial" w:cs="Arial"/>
          <w:sz w:val="28"/>
          <w:szCs w:val="28"/>
        </w:rPr>
        <w:t xml:space="preserve">Sous la présidence de Sarkozy les effectifs étaient d’environ 3300 et sous la présidence Hollande autour de 2700. Cette réduction est surtout le fait de ce qu’on appelle le personnel-support. En effet un </w:t>
      </w:r>
      <w:r w:rsidR="00D76635">
        <w:rPr>
          <w:rFonts w:ascii="Arial" w:hAnsi="Arial" w:cs="Arial"/>
          <w:sz w:val="28"/>
          <w:szCs w:val="28"/>
        </w:rPr>
        <w:t>cabinet ministériel comprend deux catégories de personnes : les conseillers dont la nomination parait au Journal Officiel et qui constituent la tête pensante du cabinet et le personnel chargé des fonctions support (huiss</w:t>
      </w:r>
      <w:r w:rsidR="007168A5">
        <w:rPr>
          <w:rFonts w:ascii="Arial" w:hAnsi="Arial" w:cs="Arial"/>
          <w:sz w:val="28"/>
          <w:szCs w:val="28"/>
        </w:rPr>
        <w:t xml:space="preserve">iers, gardiens, secrétariat, </w:t>
      </w:r>
      <w:proofErr w:type="spellStart"/>
      <w:r w:rsidR="007168A5">
        <w:rPr>
          <w:rFonts w:ascii="Arial" w:hAnsi="Arial" w:cs="Arial"/>
          <w:sz w:val="28"/>
          <w:szCs w:val="28"/>
        </w:rPr>
        <w:t>maî</w:t>
      </w:r>
      <w:r w:rsidR="00D76635">
        <w:rPr>
          <w:rFonts w:ascii="Arial" w:hAnsi="Arial" w:cs="Arial"/>
          <w:sz w:val="28"/>
          <w:szCs w:val="28"/>
        </w:rPr>
        <w:t>tre-d’hôtel</w:t>
      </w:r>
      <w:proofErr w:type="spellEnd"/>
      <w:r w:rsidR="00D76635">
        <w:rPr>
          <w:rFonts w:ascii="Arial" w:hAnsi="Arial" w:cs="Arial"/>
          <w:sz w:val="28"/>
          <w:szCs w:val="28"/>
        </w:rPr>
        <w:t xml:space="preserve">, chauffeurs) qui permet au cabinet de fonctionner. La plupart de ce personnel-support appartient au ministère concerné. Les conseillers sont des fonctionnaires issus du ministère (ou d’une autre administration) ou des contractuels recrutés sur critères politiques ou (et) d’expertise. Leur nombre est plafonné par décret : 15 par ministre de plein exercice </w:t>
      </w:r>
      <w:r w:rsidR="007168A5">
        <w:rPr>
          <w:rFonts w:ascii="Arial" w:hAnsi="Arial" w:cs="Arial"/>
          <w:sz w:val="28"/>
          <w:szCs w:val="28"/>
        </w:rPr>
        <w:t>,</w:t>
      </w:r>
      <w:r w:rsidR="00D76635">
        <w:rPr>
          <w:rFonts w:ascii="Arial" w:hAnsi="Arial" w:cs="Arial"/>
          <w:sz w:val="28"/>
          <w:szCs w:val="28"/>
        </w:rPr>
        <w:t xml:space="preserve">13 pour un ministre délégué </w:t>
      </w:r>
    </w:p>
    <w:p w14:paraId="6E46FE77" w14:textId="77777777" w:rsidR="00841362" w:rsidRDefault="00D76635" w:rsidP="00D76635">
      <w:pPr>
        <w:spacing w:line="360" w:lineRule="auto"/>
        <w:jc w:val="both"/>
        <w:rPr>
          <w:rFonts w:ascii="Arial" w:hAnsi="Arial" w:cs="Arial"/>
          <w:sz w:val="28"/>
          <w:szCs w:val="28"/>
        </w:rPr>
      </w:pPr>
      <w:proofErr w:type="gramStart"/>
      <w:r>
        <w:rPr>
          <w:rFonts w:ascii="Arial" w:hAnsi="Arial" w:cs="Arial"/>
          <w:sz w:val="28"/>
          <w:szCs w:val="28"/>
        </w:rPr>
        <w:t>et</w:t>
      </w:r>
      <w:proofErr w:type="gramEnd"/>
      <w:r>
        <w:rPr>
          <w:rFonts w:ascii="Arial" w:hAnsi="Arial" w:cs="Arial"/>
          <w:sz w:val="28"/>
          <w:szCs w:val="28"/>
        </w:rPr>
        <w:t xml:space="preserve"> 8 par secrétaire d’État. Seul le cabinet du Premier ministre n’est pas plafonné : il comprend 60 conseillers et 413 personnels-support</w:t>
      </w:r>
      <w:r w:rsidR="000E6713">
        <w:rPr>
          <w:rFonts w:ascii="Arial" w:hAnsi="Arial" w:cs="Arial"/>
          <w:sz w:val="28"/>
          <w:szCs w:val="28"/>
        </w:rPr>
        <w:t>, chiffres qui sont d’une certaine</w:t>
      </w:r>
      <w:r w:rsidR="00841362">
        <w:rPr>
          <w:rFonts w:ascii="Arial" w:hAnsi="Arial" w:cs="Arial"/>
          <w:sz w:val="28"/>
          <w:szCs w:val="28"/>
        </w:rPr>
        <w:t xml:space="preserve"> stabilité.</w:t>
      </w:r>
    </w:p>
    <w:p w14:paraId="349D20AE" w14:textId="77777777" w:rsidR="00841362" w:rsidRDefault="00841362" w:rsidP="00D76635">
      <w:pPr>
        <w:spacing w:line="360" w:lineRule="auto"/>
        <w:jc w:val="both"/>
        <w:rPr>
          <w:rFonts w:ascii="Arial" w:hAnsi="Arial" w:cs="Arial"/>
          <w:sz w:val="28"/>
          <w:szCs w:val="28"/>
        </w:rPr>
      </w:pPr>
    </w:p>
    <w:p w14:paraId="0AFB7A06" w14:textId="77777777" w:rsidR="00D76635" w:rsidRDefault="00841362" w:rsidP="00841362">
      <w:pPr>
        <w:spacing w:line="360" w:lineRule="auto"/>
        <w:jc w:val="center"/>
        <w:rPr>
          <w:rFonts w:ascii="Arial" w:hAnsi="Arial" w:cs="Arial"/>
          <w:sz w:val="28"/>
          <w:szCs w:val="28"/>
        </w:rPr>
      </w:pPr>
      <w:r>
        <w:rPr>
          <w:rFonts w:ascii="Arial" w:hAnsi="Arial" w:cs="Arial"/>
          <w:sz w:val="28"/>
          <w:szCs w:val="28"/>
        </w:rPr>
        <w:t>Effectifs du cabinet du Premier ministre</w:t>
      </w:r>
    </w:p>
    <w:tbl>
      <w:tblPr>
        <w:tblStyle w:val="Grilledutableau"/>
        <w:tblW w:w="0" w:type="auto"/>
        <w:tblLook w:val="04A0" w:firstRow="1" w:lastRow="0" w:firstColumn="1" w:lastColumn="0" w:noHBand="0" w:noVBand="1"/>
      </w:tblPr>
      <w:tblGrid>
        <w:gridCol w:w="1811"/>
        <w:gridCol w:w="1811"/>
        <w:gridCol w:w="1811"/>
        <w:gridCol w:w="1811"/>
        <w:gridCol w:w="1812"/>
      </w:tblGrid>
      <w:tr w:rsidR="00841362" w14:paraId="2975077D" w14:textId="77777777" w:rsidTr="00841362">
        <w:tc>
          <w:tcPr>
            <w:tcW w:w="1811" w:type="dxa"/>
          </w:tcPr>
          <w:p w14:paraId="6C84DE3E" w14:textId="77777777" w:rsidR="00841362" w:rsidRDefault="00841362" w:rsidP="00841362">
            <w:pPr>
              <w:spacing w:line="360" w:lineRule="auto"/>
              <w:jc w:val="both"/>
              <w:rPr>
                <w:rFonts w:ascii="Arial" w:hAnsi="Arial" w:cs="Arial"/>
                <w:sz w:val="28"/>
                <w:szCs w:val="28"/>
              </w:rPr>
            </w:pPr>
          </w:p>
        </w:tc>
        <w:tc>
          <w:tcPr>
            <w:tcW w:w="1811" w:type="dxa"/>
          </w:tcPr>
          <w:p w14:paraId="404ED4DA"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2011</w:t>
            </w:r>
          </w:p>
        </w:tc>
        <w:tc>
          <w:tcPr>
            <w:tcW w:w="1811" w:type="dxa"/>
          </w:tcPr>
          <w:p w14:paraId="2B48916E"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2016</w:t>
            </w:r>
          </w:p>
        </w:tc>
        <w:tc>
          <w:tcPr>
            <w:tcW w:w="1811" w:type="dxa"/>
          </w:tcPr>
          <w:p w14:paraId="19FFE176"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2019</w:t>
            </w:r>
          </w:p>
        </w:tc>
        <w:tc>
          <w:tcPr>
            <w:tcW w:w="1812" w:type="dxa"/>
          </w:tcPr>
          <w:p w14:paraId="08791DB3"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2021</w:t>
            </w:r>
          </w:p>
        </w:tc>
      </w:tr>
      <w:tr w:rsidR="00841362" w14:paraId="3D330B51" w14:textId="77777777" w:rsidTr="00841362">
        <w:tc>
          <w:tcPr>
            <w:tcW w:w="1811" w:type="dxa"/>
          </w:tcPr>
          <w:p w14:paraId="09AD0760" w14:textId="77777777" w:rsidR="00841362" w:rsidRDefault="00841362" w:rsidP="00841362">
            <w:pPr>
              <w:spacing w:line="360" w:lineRule="auto"/>
              <w:jc w:val="both"/>
              <w:rPr>
                <w:rFonts w:ascii="Arial" w:hAnsi="Arial" w:cs="Arial"/>
                <w:sz w:val="28"/>
                <w:szCs w:val="28"/>
              </w:rPr>
            </w:pPr>
            <w:r>
              <w:rPr>
                <w:rFonts w:ascii="Arial" w:hAnsi="Arial" w:cs="Arial"/>
                <w:sz w:val="28"/>
                <w:szCs w:val="28"/>
              </w:rPr>
              <w:t>Conseillers</w:t>
            </w:r>
          </w:p>
        </w:tc>
        <w:tc>
          <w:tcPr>
            <w:tcW w:w="1811" w:type="dxa"/>
          </w:tcPr>
          <w:p w14:paraId="4E00B3DC"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52</w:t>
            </w:r>
          </w:p>
        </w:tc>
        <w:tc>
          <w:tcPr>
            <w:tcW w:w="1811" w:type="dxa"/>
          </w:tcPr>
          <w:p w14:paraId="0C00CB6D"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56</w:t>
            </w:r>
          </w:p>
        </w:tc>
        <w:tc>
          <w:tcPr>
            <w:tcW w:w="1811" w:type="dxa"/>
          </w:tcPr>
          <w:p w14:paraId="1588D989"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60</w:t>
            </w:r>
          </w:p>
        </w:tc>
        <w:tc>
          <w:tcPr>
            <w:tcW w:w="1812" w:type="dxa"/>
          </w:tcPr>
          <w:p w14:paraId="3E0E1471"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60</w:t>
            </w:r>
          </w:p>
        </w:tc>
      </w:tr>
      <w:tr w:rsidR="00841362" w14:paraId="6A0E8702" w14:textId="77777777" w:rsidTr="00841362">
        <w:tc>
          <w:tcPr>
            <w:tcW w:w="1811" w:type="dxa"/>
          </w:tcPr>
          <w:p w14:paraId="6A45FB37" w14:textId="77777777" w:rsidR="00841362" w:rsidRDefault="00841362" w:rsidP="00841362">
            <w:pPr>
              <w:spacing w:line="360" w:lineRule="auto"/>
              <w:jc w:val="both"/>
              <w:rPr>
                <w:rFonts w:ascii="Arial" w:hAnsi="Arial" w:cs="Arial"/>
                <w:sz w:val="28"/>
                <w:szCs w:val="28"/>
              </w:rPr>
            </w:pPr>
            <w:r>
              <w:rPr>
                <w:rFonts w:ascii="Arial" w:hAnsi="Arial" w:cs="Arial"/>
                <w:sz w:val="28"/>
                <w:szCs w:val="28"/>
              </w:rPr>
              <w:t>Personnels-support</w:t>
            </w:r>
          </w:p>
        </w:tc>
        <w:tc>
          <w:tcPr>
            <w:tcW w:w="1811" w:type="dxa"/>
          </w:tcPr>
          <w:p w14:paraId="19C35030"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403</w:t>
            </w:r>
          </w:p>
        </w:tc>
        <w:tc>
          <w:tcPr>
            <w:tcW w:w="1811" w:type="dxa"/>
          </w:tcPr>
          <w:p w14:paraId="74E807CB"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408</w:t>
            </w:r>
          </w:p>
        </w:tc>
        <w:tc>
          <w:tcPr>
            <w:tcW w:w="1811" w:type="dxa"/>
          </w:tcPr>
          <w:p w14:paraId="047FE618"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403</w:t>
            </w:r>
          </w:p>
        </w:tc>
        <w:tc>
          <w:tcPr>
            <w:tcW w:w="1812" w:type="dxa"/>
          </w:tcPr>
          <w:p w14:paraId="39AAD733"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413</w:t>
            </w:r>
          </w:p>
        </w:tc>
      </w:tr>
      <w:tr w:rsidR="00841362" w14:paraId="2EDC3C53" w14:textId="77777777" w:rsidTr="00841362">
        <w:tc>
          <w:tcPr>
            <w:tcW w:w="1811" w:type="dxa"/>
          </w:tcPr>
          <w:p w14:paraId="4A5E3C81" w14:textId="77777777" w:rsidR="00841362" w:rsidRDefault="00841362" w:rsidP="00841362">
            <w:pPr>
              <w:spacing w:line="360" w:lineRule="auto"/>
              <w:jc w:val="both"/>
              <w:rPr>
                <w:rFonts w:ascii="Arial" w:hAnsi="Arial" w:cs="Arial"/>
                <w:sz w:val="28"/>
                <w:szCs w:val="28"/>
              </w:rPr>
            </w:pPr>
            <w:r>
              <w:rPr>
                <w:rFonts w:ascii="Arial" w:hAnsi="Arial" w:cs="Arial"/>
                <w:sz w:val="28"/>
                <w:szCs w:val="28"/>
              </w:rPr>
              <w:lastRenderedPageBreak/>
              <w:t>Ensemble</w:t>
            </w:r>
          </w:p>
        </w:tc>
        <w:tc>
          <w:tcPr>
            <w:tcW w:w="1811" w:type="dxa"/>
          </w:tcPr>
          <w:p w14:paraId="1C440678"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455</w:t>
            </w:r>
          </w:p>
        </w:tc>
        <w:tc>
          <w:tcPr>
            <w:tcW w:w="1811" w:type="dxa"/>
          </w:tcPr>
          <w:p w14:paraId="78B8E8C1"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464</w:t>
            </w:r>
          </w:p>
        </w:tc>
        <w:tc>
          <w:tcPr>
            <w:tcW w:w="1811" w:type="dxa"/>
          </w:tcPr>
          <w:p w14:paraId="68C63909"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463</w:t>
            </w:r>
          </w:p>
        </w:tc>
        <w:tc>
          <w:tcPr>
            <w:tcW w:w="1812" w:type="dxa"/>
          </w:tcPr>
          <w:p w14:paraId="1786F11A"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473</w:t>
            </w:r>
          </w:p>
        </w:tc>
      </w:tr>
    </w:tbl>
    <w:p w14:paraId="520319BD" w14:textId="77777777" w:rsidR="00841362" w:rsidRDefault="00841362" w:rsidP="00841362">
      <w:pPr>
        <w:spacing w:line="360" w:lineRule="auto"/>
        <w:jc w:val="both"/>
        <w:rPr>
          <w:rFonts w:ascii="Arial" w:hAnsi="Arial" w:cs="Arial"/>
          <w:sz w:val="28"/>
          <w:szCs w:val="28"/>
        </w:rPr>
      </w:pPr>
    </w:p>
    <w:p w14:paraId="5BFF3C7A" w14:textId="77777777" w:rsidR="00841362" w:rsidRDefault="00841362" w:rsidP="00841362">
      <w:pPr>
        <w:spacing w:line="360" w:lineRule="auto"/>
        <w:jc w:val="both"/>
        <w:rPr>
          <w:rFonts w:ascii="Arial" w:hAnsi="Arial" w:cs="Arial"/>
          <w:sz w:val="28"/>
          <w:szCs w:val="28"/>
        </w:rPr>
      </w:pPr>
      <w:r>
        <w:rPr>
          <w:rFonts w:ascii="Arial" w:hAnsi="Arial" w:cs="Arial"/>
          <w:sz w:val="28"/>
          <w:szCs w:val="28"/>
        </w:rPr>
        <w:t xml:space="preserve">Par contre, les effectifs des cabinets ministériels sont en hausse sensible par rapport au gouvernement d’Édouard Philippe. </w:t>
      </w:r>
    </w:p>
    <w:p w14:paraId="69C005D6" w14:textId="77777777" w:rsidR="00841362" w:rsidRDefault="00841362" w:rsidP="00841362">
      <w:pPr>
        <w:spacing w:line="360" w:lineRule="auto"/>
        <w:jc w:val="both"/>
        <w:rPr>
          <w:rFonts w:ascii="Arial" w:hAnsi="Arial" w:cs="Arial"/>
          <w:sz w:val="28"/>
          <w:szCs w:val="28"/>
        </w:rPr>
      </w:pPr>
    </w:p>
    <w:p w14:paraId="06ACC3B4" w14:textId="77777777" w:rsidR="00841362" w:rsidRDefault="00841362" w:rsidP="00841362">
      <w:pPr>
        <w:spacing w:line="360" w:lineRule="auto"/>
        <w:jc w:val="both"/>
        <w:rPr>
          <w:rFonts w:ascii="Arial" w:hAnsi="Arial" w:cs="Arial"/>
          <w:sz w:val="28"/>
          <w:szCs w:val="28"/>
        </w:rPr>
      </w:pPr>
    </w:p>
    <w:p w14:paraId="2CDC8584" w14:textId="77777777" w:rsidR="00841362" w:rsidRDefault="00841362" w:rsidP="00841362">
      <w:pPr>
        <w:spacing w:line="360" w:lineRule="auto"/>
        <w:jc w:val="both"/>
        <w:rPr>
          <w:rFonts w:ascii="Arial" w:hAnsi="Arial" w:cs="Arial"/>
          <w:sz w:val="28"/>
          <w:szCs w:val="28"/>
        </w:rPr>
      </w:pPr>
    </w:p>
    <w:p w14:paraId="22FAEA7A"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Effectifs des cabinets ministériels (hors PM)</w:t>
      </w:r>
    </w:p>
    <w:tbl>
      <w:tblPr>
        <w:tblStyle w:val="Grilledutableau"/>
        <w:tblW w:w="0" w:type="auto"/>
        <w:tblLook w:val="04A0" w:firstRow="1" w:lastRow="0" w:firstColumn="1" w:lastColumn="0" w:noHBand="0" w:noVBand="1"/>
      </w:tblPr>
      <w:tblGrid>
        <w:gridCol w:w="2264"/>
        <w:gridCol w:w="2264"/>
        <w:gridCol w:w="2264"/>
        <w:gridCol w:w="2264"/>
      </w:tblGrid>
      <w:tr w:rsidR="00841362" w14:paraId="369ECC53" w14:textId="77777777" w:rsidTr="00841362">
        <w:tc>
          <w:tcPr>
            <w:tcW w:w="2264" w:type="dxa"/>
          </w:tcPr>
          <w:p w14:paraId="0F0215C7" w14:textId="77777777" w:rsidR="00841362" w:rsidRDefault="00841362" w:rsidP="00841362">
            <w:pPr>
              <w:spacing w:line="360" w:lineRule="auto"/>
              <w:jc w:val="both"/>
              <w:rPr>
                <w:rFonts w:ascii="Arial" w:hAnsi="Arial" w:cs="Arial"/>
                <w:sz w:val="28"/>
                <w:szCs w:val="28"/>
              </w:rPr>
            </w:pPr>
          </w:p>
        </w:tc>
        <w:tc>
          <w:tcPr>
            <w:tcW w:w="2264" w:type="dxa"/>
          </w:tcPr>
          <w:p w14:paraId="5E0A2365"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2019</w:t>
            </w:r>
          </w:p>
        </w:tc>
        <w:tc>
          <w:tcPr>
            <w:tcW w:w="2264" w:type="dxa"/>
          </w:tcPr>
          <w:p w14:paraId="45FCCB0F"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2021</w:t>
            </w:r>
          </w:p>
        </w:tc>
        <w:tc>
          <w:tcPr>
            <w:tcW w:w="2264" w:type="dxa"/>
          </w:tcPr>
          <w:p w14:paraId="0E06D179"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Évolution %</w:t>
            </w:r>
          </w:p>
        </w:tc>
      </w:tr>
      <w:tr w:rsidR="00841362" w14:paraId="304BF96B" w14:textId="77777777" w:rsidTr="00841362">
        <w:tc>
          <w:tcPr>
            <w:tcW w:w="2264" w:type="dxa"/>
          </w:tcPr>
          <w:p w14:paraId="05115CEE" w14:textId="77777777" w:rsidR="00841362" w:rsidRDefault="00841362" w:rsidP="00841362">
            <w:pPr>
              <w:spacing w:line="360" w:lineRule="auto"/>
              <w:jc w:val="both"/>
              <w:rPr>
                <w:rFonts w:ascii="Arial" w:hAnsi="Arial" w:cs="Arial"/>
                <w:sz w:val="28"/>
                <w:szCs w:val="28"/>
              </w:rPr>
            </w:pPr>
            <w:r>
              <w:rPr>
                <w:rFonts w:ascii="Arial" w:hAnsi="Arial" w:cs="Arial"/>
                <w:sz w:val="28"/>
                <w:szCs w:val="28"/>
              </w:rPr>
              <w:t>Conseillers</w:t>
            </w:r>
          </w:p>
        </w:tc>
        <w:tc>
          <w:tcPr>
            <w:tcW w:w="2264" w:type="dxa"/>
          </w:tcPr>
          <w:p w14:paraId="0626C299"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254</w:t>
            </w:r>
          </w:p>
        </w:tc>
        <w:tc>
          <w:tcPr>
            <w:tcW w:w="2264" w:type="dxa"/>
          </w:tcPr>
          <w:p w14:paraId="18041A89"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499</w:t>
            </w:r>
          </w:p>
        </w:tc>
        <w:tc>
          <w:tcPr>
            <w:tcW w:w="2264" w:type="dxa"/>
          </w:tcPr>
          <w:p w14:paraId="707AC106"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+96%</w:t>
            </w:r>
          </w:p>
        </w:tc>
      </w:tr>
      <w:tr w:rsidR="00841362" w14:paraId="6180CEB1" w14:textId="77777777" w:rsidTr="00841362">
        <w:tc>
          <w:tcPr>
            <w:tcW w:w="2264" w:type="dxa"/>
          </w:tcPr>
          <w:p w14:paraId="6DAC499F" w14:textId="77777777" w:rsidR="00841362" w:rsidRDefault="00841362" w:rsidP="00841362">
            <w:pPr>
              <w:spacing w:line="360" w:lineRule="auto"/>
              <w:jc w:val="both"/>
              <w:rPr>
                <w:rFonts w:ascii="Arial" w:hAnsi="Arial" w:cs="Arial"/>
                <w:sz w:val="28"/>
                <w:szCs w:val="28"/>
              </w:rPr>
            </w:pPr>
            <w:r>
              <w:rPr>
                <w:rFonts w:ascii="Arial" w:hAnsi="Arial" w:cs="Arial"/>
                <w:sz w:val="28"/>
                <w:szCs w:val="28"/>
              </w:rPr>
              <w:t>Personnels-support</w:t>
            </w:r>
          </w:p>
        </w:tc>
        <w:tc>
          <w:tcPr>
            <w:tcW w:w="2264" w:type="dxa"/>
          </w:tcPr>
          <w:p w14:paraId="05914B1B"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1622</w:t>
            </w:r>
          </w:p>
        </w:tc>
        <w:tc>
          <w:tcPr>
            <w:tcW w:w="2264" w:type="dxa"/>
          </w:tcPr>
          <w:p w14:paraId="31FB057B"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1821</w:t>
            </w:r>
          </w:p>
        </w:tc>
        <w:tc>
          <w:tcPr>
            <w:tcW w:w="2264" w:type="dxa"/>
          </w:tcPr>
          <w:p w14:paraId="060DFBC8"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+12%</w:t>
            </w:r>
          </w:p>
        </w:tc>
      </w:tr>
      <w:tr w:rsidR="00841362" w14:paraId="63606916" w14:textId="77777777" w:rsidTr="00841362">
        <w:tc>
          <w:tcPr>
            <w:tcW w:w="2264" w:type="dxa"/>
          </w:tcPr>
          <w:p w14:paraId="25864E7E" w14:textId="77777777" w:rsidR="00841362" w:rsidRDefault="00841362" w:rsidP="00841362">
            <w:pPr>
              <w:spacing w:line="360" w:lineRule="auto"/>
              <w:jc w:val="both"/>
              <w:rPr>
                <w:rFonts w:ascii="Arial" w:hAnsi="Arial" w:cs="Arial"/>
                <w:sz w:val="28"/>
                <w:szCs w:val="28"/>
              </w:rPr>
            </w:pPr>
            <w:r>
              <w:rPr>
                <w:rFonts w:ascii="Arial" w:hAnsi="Arial" w:cs="Arial"/>
                <w:sz w:val="28"/>
                <w:szCs w:val="28"/>
              </w:rPr>
              <w:t>Ensemble</w:t>
            </w:r>
          </w:p>
        </w:tc>
        <w:tc>
          <w:tcPr>
            <w:tcW w:w="2264" w:type="dxa"/>
          </w:tcPr>
          <w:p w14:paraId="2C7E0AB8"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1876</w:t>
            </w:r>
          </w:p>
        </w:tc>
        <w:tc>
          <w:tcPr>
            <w:tcW w:w="2264" w:type="dxa"/>
          </w:tcPr>
          <w:p w14:paraId="7A6E119A"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2320</w:t>
            </w:r>
          </w:p>
        </w:tc>
        <w:tc>
          <w:tcPr>
            <w:tcW w:w="2264" w:type="dxa"/>
          </w:tcPr>
          <w:p w14:paraId="6BA63C33" w14:textId="77777777" w:rsidR="00841362" w:rsidRDefault="00841362" w:rsidP="00841362">
            <w:pPr>
              <w:spacing w:line="360" w:lineRule="auto"/>
              <w:jc w:val="center"/>
              <w:rPr>
                <w:rFonts w:ascii="Arial" w:hAnsi="Arial" w:cs="Arial"/>
                <w:sz w:val="28"/>
                <w:szCs w:val="28"/>
              </w:rPr>
            </w:pPr>
            <w:r>
              <w:rPr>
                <w:rFonts w:ascii="Arial" w:hAnsi="Arial" w:cs="Arial"/>
                <w:sz w:val="28"/>
                <w:szCs w:val="28"/>
              </w:rPr>
              <w:t>+24%</w:t>
            </w:r>
          </w:p>
        </w:tc>
      </w:tr>
    </w:tbl>
    <w:p w14:paraId="04AC54E0" w14:textId="77777777" w:rsidR="00841362" w:rsidRDefault="00841362" w:rsidP="00841362">
      <w:pPr>
        <w:spacing w:line="360" w:lineRule="auto"/>
        <w:jc w:val="both"/>
        <w:rPr>
          <w:rFonts w:ascii="Arial" w:hAnsi="Arial" w:cs="Arial"/>
          <w:sz w:val="28"/>
          <w:szCs w:val="28"/>
        </w:rPr>
      </w:pPr>
    </w:p>
    <w:p w14:paraId="6240CDB8" w14:textId="69084479" w:rsidR="00841362" w:rsidRDefault="00841362" w:rsidP="00841362">
      <w:pPr>
        <w:spacing w:line="360" w:lineRule="auto"/>
        <w:jc w:val="both"/>
        <w:rPr>
          <w:rFonts w:ascii="Arial" w:hAnsi="Arial" w:cs="Arial"/>
          <w:sz w:val="28"/>
          <w:szCs w:val="28"/>
        </w:rPr>
      </w:pPr>
      <w:r>
        <w:rPr>
          <w:rFonts w:ascii="Arial" w:hAnsi="Arial" w:cs="Arial"/>
          <w:sz w:val="28"/>
          <w:szCs w:val="28"/>
        </w:rPr>
        <w:t>Cette augmentation a deux origines : le gouvernement Castex est plus nombreux que celui de Philippe (42 départements ministériels contre 34). D’autre part les effectifs autorisés ont été augmentées</w:t>
      </w:r>
      <w:r w:rsidR="00624F9C">
        <w:rPr>
          <w:rFonts w:ascii="Arial" w:hAnsi="Arial" w:cs="Arial"/>
          <w:sz w:val="28"/>
          <w:szCs w:val="28"/>
        </w:rPr>
        <w:t xml:space="preserve"> : de 10 par ministre et 5 par secrétaire d’État en 2019, il est passé à 15 par ministre et 8 par secrétaire d’État. </w:t>
      </w:r>
    </w:p>
    <w:p w14:paraId="6B20FC75" w14:textId="77777777" w:rsidR="00F1014D" w:rsidRDefault="00F1014D" w:rsidP="00841362">
      <w:pPr>
        <w:spacing w:line="360" w:lineRule="auto"/>
        <w:jc w:val="both"/>
        <w:rPr>
          <w:rFonts w:ascii="Arial" w:hAnsi="Arial" w:cs="Arial"/>
          <w:sz w:val="28"/>
          <w:szCs w:val="28"/>
        </w:rPr>
      </w:pPr>
      <w:r>
        <w:rPr>
          <w:rFonts w:ascii="Arial" w:hAnsi="Arial" w:cs="Arial"/>
          <w:sz w:val="28"/>
          <w:szCs w:val="28"/>
        </w:rPr>
        <w:t>La composition type d’un cabinet ministériel fait apparaitre une stabilité : 55 membres par département ministériel (12 conseillers et 43 personnels-support) en 2021 contre 56 en 2019 (8 conseillers et 48 personnels-support).</w:t>
      </w:r>
    </w:p>
    <w:p w14:paraId="6B8214EE" w14:textId="77777777" w:rsidR="00F1014D" w:rsidRDefault="00F1014D" w:rsidP="00841362">
      <w:pPr>
        <w:spacing w:line="360" w:lineRule="auto"/>
        <w:jc w:val="both"/>
        <w:rPr>
          <w:rFonts w:ascii="Arial" w:hAnsi="Arial" w:cs="Arial"/>
          <w:sz w:val="28"/>
          <w:szCs w:val="28"/>
        </w:rPr>
      </w:pPr>
      <w:r>
        <w:rPr>
          <w:rFonts w:ascii="Arial" w:hAnsi="Arial" w:cs="Arial"/>
          <w:sz w:val="28"/>
          <w:szCs w:val="28"/>
        </w:rPr>
        <w:t xml:space="preserve">Toutefois, il ne faut pas oublier les différences qui apparaissent selon le statut ministériel et qu’exprime le tableau suivant : </w:t>
      </w:r>
    </w:p>
    <w:p w14:paraId="7869D52F" w14:textId="77777777" w:rsidR="00F1014D" w:rsidRDefault="00F1014D" w:rsidP="00F1014D">
      <w:pPr>
        <w:spacing w:line="360" w:lineRule="auto"/>
        <w:jc w:val="center"/>
        <w:rPr>
          <w:rFonts w:ascii="Arial" w:hAnsi="Arial" w:cs="Arial"/>
          <w:sz w:val="28"/>
          <w:szCs w:val="28"/>
        </w:rPr>
      </w:pPr>
      <w:r>
        <w:rPr>
          <w:rFonts w:ascii="Arial" w:hAnsi="Arial" w:cs="Arial"/>
          <w:sz w:val="28"/>
          <w:szCs w:val="28"/>
        </w:rPr>
        <w:t>Composition d’un cabinet ministériel type en 2021</w:t>
      </w:r>
    </w:p>
    <w:tbl>
      <w:tblPr>
        <w:tblStyle w:val="Grilledutableau"/>
        <w:tblW w:w="0" w:type="auto"/>
        <w:tblLook w:val="04A0" w:firstRow="1" w:lastRow="0" w:firstColumn="1" w:lastColumn="0" w:noHBand="0" w:noVBand="1"/>
      </w:tblPr>
      <w:tblGrid>
        <w:gridCol w:w="2264"/>
        <w:gridCol w:w="2264"/>
        <w:gridCol w:w="2264"/>
        <w:gridCol w:w="2264"/>
      </w:tblGrid>
      <w:tr w:rsidR="00F1014D" w14:paraId="665B0BC4" w14:textId="77777777" w:rsidTr="00F1014D">
        <w:tc>
          <w:tcPr>
            <w:tcW w:w="2264" w:type="dxa"/>
          </w:tcPr>
          <w:p w14:paraId="0F246D7B" w14:textId="77777777" w:rsidR="00F1014D" w:rsidRDefault="00F1014D" w:rsidP="00F1014D">
            <w:pPr>
              <w:spacing w:line="360" w:lineRule="auto"/>
              <w:jc w:val="both"/>
              <w:rPr>
                <w:rFonts w:ascii="Arial" w:hAnsi="Arial" w:cs="Arial"/>
                <w:sz w:val="28"/>
                <w:szCs w:val="28"/>
              </w:rPr>
            </w:pPr>
          </w:p>
        </w:tc>
        <w:tc>
          <w:tcPr>
            <w:tcW w:w="2264" w:type="dxa"/>
          </w:tcPr>
          <w:p w14:paraId="0388AF79" w14:textId="77777777" w:rsidR="00F1014D" w:rsidRDefault="00F1014D" w:rsidP="00F1014D">
            <w:pPr>
              <w:spacing w:line="360" w:lineRule="auto"/>
              <w:jc w:val="center"/>
              <w:rPr>
                <w:rFonts w:ascii="Arial" w:hAnsi="Arial" w:cs="Arial"/>
                <w:sz w:val="28"/>
                <w:szCs w:val="28"/>
              </w:rPr>
            </w:pPr>
            <w:r>
              <w:rPr>
                <w:rFonts w:ascii="Arial" w:hAnsi="Arial" w:cs="Arial"/>
                <w:sz w:val="28"/>
                <w:szCs w:val="28"/>
              </w:rPr>
              <w:t>Ministre</w:t>
            </w:r>
          </w:p>
        </w:tc>
        <w:tc>
          <w:tcPr>
            <w:tcW w:w="2264" w:type="dxa"/>
          </w:tcPr>
          <w:p w14:paraId="2DC079BE" w14:textId="77777777" w:rsidR="00F1014D" w:rsidRDefault="00F1014D" w:rsidP="00F1014D">
            <w:pPr>
              <w:spacing w:line="360" w:lineRule="auto"/>
              <w:jc w:val="center"/>
              <w:rPr>
                <w:rFonts w:ascii="Arial" w:hAnsi="Arial" w:cs="Arial"/>
                <w:sz w:val="28"/>
                <w:szCs w:val="28"/>
              </w:rPr>
            </w:pPr>
            <w:r>
              <w:rPr>
                <w:rFonts w:ascii="Arial" w:hAnsi="Arial" w:cs="Arial"/>
                <w:sz w:val="28"/>
                <w:szCs w:val="28"/>
              </w:rPr>
              <w:t>Ministre délégué</w:t>
            </w:r>
          </w:p>
        </w:tc>
        <w:tc>
          <w:tcPr>
            <w:tcW w:w="2264" w:type="dxa"/>
          </w:tcPr>
          <w:p w14:paraId="4C0B3E1F" w14:textId="77777777" w:rsidR="00F1014D" w:rsidRDefault="00F1014D" w:rsidP="00F1014D">
            <w:pPr>
              <w:spacing w:line="360" w:lineRule="auto"/>
              <w:jc w:val="center"/>
              <w:rPr>
                <w:rFonts w:ascii="Arial" w:hAnsi="Arial" w:cs="Arial"/>
                <w:sz w:val="28"/>
                <w:szCs w:val="28"/>
              </w:rPr>
            </w:pPr>
            <w:r>
              <w:rPr>
                <w:rFonts w:ascii="Arial" w:hAnsi="Arial" w:cs="Arial"/>
                <w:sz w:val="28"/>
                <w:szCs w:val="28"/>
              </w:rPr>
              <w:t>Secrétaire d’État</w:t>
            </w:r>
          </w:p>
        </w:tc>
      </w:tr>
      <w:tr w:rsidR="00F1014D" w14:paraId="349808C0" w14:textId="77777777" w:rsidTr="00F1014D">
        <w:tc>
          <w:tcPr>
            <w:tcW w:w="2264" w:type="dxa"/>
          </w:tcPr>
          <w:p w14:paraId="4DDF5C9B" w14:textId="77777777" w:rsidR="00F1014D" w:rsidRDefault="00F1014D" w:rsidP="00F1014D">
            <w:pPr>
              <w:spacing w:line="360" w:lineRule="auto"/>
              <w:jc w:val="both"/>
              <w:rPr>
                <w:rFonts w:ascii="Arial" w:hAnsi="Arial" w:cs="Arial"/>
                <w:sz w:val="28"/>
                <w:szCs w:val="28"/>
              </w:rPr>
            </w:pPr>
            <w:r>
              <w:rPr>
                <w:rFonts w:ascii="Arial" w:hAnsi="Arial" w:cs="Arial"/>
                <w:sz w:val="28"/>
                <w:szCs w:val="28"/>
              </w:rPr>
              <w:lastRenderedPageBreak/>
              <w:t>Conseillers</w:t>
            </w:r>
          </w:p>
        </w:tc>
        <w:tc>
          <w:tcPr>
            <w:tcW w:w="2264" w:type="dxa"/>
          </w:tcPr>
          <w:p w14:paraId="0CF0908F" w14:textId="77777777" w:rsidR="00F1014D" w:rsidRDefault="00F1014D" w:rsidP="00F1014D">
            <w:pPr>
              <w:spacing w:line="360" w:lineRule="auto"/>
              <w:jc w:val="center"/>
              <w:rPr>
                <w:rFonts w:ascii="Arial" w:hAnsi="Arial" w:cs="Arial"/>
                <w:sz w:val="28"/>
                <w:szCs w:val="28"/>
              </w:rPr>
            </w:pPr>
            <w:r>
              <w:rPr>
                <w:rFonts w:ascii="Arial" w:hAnsi="Arial" w:cs="Arial"/>
                <w:sz w:val="28"/>
                <w:szCs w:val="28"/>
              </w:rPr>
              <w:t>14</w:t>
            </w:r>
          </w:p>
        </w:tc>
        <w:tc>
          <w:tcPr>
            <w:tcW w:w="2264" w:type="dxa"/>
          </w:tcPr>
          <w:p w14:paraId="03E68728" w14:textId="77777777" w:rsidR="00F1014D" w:rsidRDefault="00F1014D" w:rsidP="00F1014D">
            <w:pPr>
              <w:spacing w:line="360" w:lineRule="auto"/>
              <w:jc w:val="center"/>
              <w:rPr>
                <w:rFonts w:ascii="Arial" w:hAnsi="Arial" w:cs="Arial"/>
                <w:sz w:val="28"/>
                <w:szCs w:val="28"/>
              </w:rPr>
            </w:pPr>
            <w:r>
              <w:rPr>
                <w:rFonts w:ascii="Arial" w:hAnsi="Arial" w:cs="Arial"/>
                <w:sz w:val="28"/>
                <w:szCs w:val="28"/>
              </w:rPr>
              <w:t>12</w:t>
            </w:r>
          </w:p>
        </w:tc>
        <w:tc>
          <w:tcPr>
            <w:tcW w:w="2264" w:type="dxa"/>
          </w:tcPr>
          <w:p w14:paraId="3DDBCEC4" w14:textId="77777777" w:rsidR="00F1014D" w:rsidRDefault="00F1014D" w:rsidP="00F1014D">
            <w:pPr>
              <w:spacing w:line="360" w:lineRule="auto"/>
              <w:jc w:val="center"/>
              <w:rPr>
                <w:rFonts w:ascii="Arial" w:hAnsi="Arial" w:cs="Arial"/>
                <w:sz w:val="28"/>
                <w:szCs w:val="28"/>
              </w:rPr>
            </w:pPr>
            <w:r>
              <w:rPr>
                <w:rFonts w:ascii="Arial" w:hAnsi="Arial" w:cs="Arial"/>
                <w:sz w:val="28"/>
                <w:szCs w:val="28"/>
              </w:rPr>
              <w:t>8</w:t>
            </w:r>
          </w:p>
        </w:tc>
      </w:tr>
      <w:tr w:rsidR="00F1014D" w14:paraId="7C1A021E" w14:textId="77777777" w:rsidTr="00F1014D">
        <w:tc>
          <w:tcPr>
            <w:tcW w:w="2264" w:type="dxa"/>
          </w:tcPr>
          <w:p w14:paraId="47947588" w14:textId="77777777" w:rsidR="00F1014D" w:rsidRDefault="00F1014D" w:rsidP="00F1014D">
            <w:pPr>
              <w:spacing w:line="360" w:lineRule="auto"/>
              <w:jc w:val="both"/>
              <w:rPr>
                <w:rFonts w:ascii="Arial" w:hAnsi="Arial" w:cs="Arial"/>
                <w:sz w:val="28"/>
                <w:szCs w:val="28"/>
              </w:rPr>
            </w:pPr>
            <w:r>
              <w:rPr>
                <w:rFonts w:ascii="Arial" w:hAnsi="Arial" w:cs="Arial"/>
                <w:sz w:val="28"/>
                <w:szCs w:val="28"/>
              </w:rPr>
              <w:t>Personnels-support</w:t>
            </w:r>
          </w:p>
        </w:tc>
        <w:tc>
          <w:tcPr>
            <w:tcW w:w="2264" w:type="dxa"/>
          </w:tcPr>
          <w:p w14:paraId="256DBCB2" w14:textId="77777777" w:rsidR="00F1014D" w:rsidRDefault="00F1014D" w:rsidP="00F1014D">
            <w:pPr>
              <w:spacing w:line="360" w:lineRule="auto"/>
              <w:jc w:val="center"/>
              <w:rPr>
                <w:rFonts w:ascii="Arial" w:hAnsi="Arial" w:cs="Arial"/>
                <w:sz w:val="28"/>
                <w:szCs w:val="28"/>
              </w:rPr>
            </w:pPr>
            <w:r>
              <w:rPr>
                <w:rFonts w:ascii="Arial" w:hAnsi="Arial" w:cs="Arial"/>
                <w:sz w:val="28"/>
                <w:szCs w:val="28"/>
              </w:rPr>
              <w:t>72</w:t>
            </w:r>
          </w:p>
        </w:tc>
        <w:tc>
          <w:tcPr>
            <w:tcW w:w="2264" w:type="dxa"/>
          </w:tcPr>
          <w:p w14:paraId="7DECCDC7" w14:textId="77777777" w:rsidR="00F1014D" w:rsidRDefault="00F1014D" w:rsidP="00F1014D">
            <w:pPr>
              <w:spacing w:line="360" w:lineRule="auto"/>
              <w:jc w:val="center"/>
              <w:rPr>
                <w:rFonts w:ascii="Arial" w:hAnsi="Arial" w:cs="Arial"/>
                <w:sz w:val="28"/>
                <w:szCs w:val="28"/>
              </w:rPr>
            </w:pPr>
            <w:r>
              <w:rPr>
                <w:rFonts w:ascii="Arial" w:hAnsi="Arial" w:cs="Arial"/>
                <w:sz w:val="28"/>
                <w:szCs w:val="28"/>
              </w:rPr>
              <w:t>27</w:t>
            </w:r>
          </w:p>
        </w:tc>
        <w:tc>
          <w:tcPr>
            <w:tcW w:w="2264" w:type="dxa"/>
          </w:tcPr>
          <w:p w14:paraId="009F58B0" w14:textId="77777777" w:rsidR="00F1014D" w:rsidRDefault="00F1014D" w:rsidP="00F1014D">
            <w:pPr>
              <w:spacing w:line="360" w:lineRule="auto"/>
              <w:jc w:val="center"/>
              <w:rPr>
                <w:rFonts w:ascii="Arial" w:hAnsi="Arial" w:cs="Arial"/>
                <w:sz w:val="28"/>
                <w:szCs w:val="28"/>
              </w:rPr>
            </w:pPr>
            <w:r>
              <w:rPr>
                <w:rFonts w:ascii="Arial" w:hAnsi="Arial" w:cs="Arial"/>
                <w:sz w:val="28"/>
                <w:szCs w:val="28"/>
              </w:rPr>
              <w:t>20</w:t>
            </w:r>
          </w:p>
        </w:tc>
      </w:tr>
      <w:tr w:rsidR="00F1014D" w14:paraId="784634F6" w14:textId="77777777" w:rsidTr="00F1014D">
        <w:tc>
          <w:tcPr>
            <w:tcW w:w="2264" w:type="dxa"/>
          </w:tcPr>
          <w:p w14:paraId="0CD04338" w14:textId="77777777" w:rsidR="00F1014D" w:rsidRDefault="00F1014D" w:rsidP="00F1014D">
            <w:pPr>
              <w:spacing w:line="360" w:lineRule="auto"/>
              <w:jc w:val="both"/>
              <w:rPr>
                <w:rFonts w:ascii="Arial" w:hAnsi="Arial" w:cs="Arial"/>
                <w:sz w:val="28"/>
                <w:szCs w:val="28"/>
              </w:rPr>
            </w:pPr>
            <w:r>
              <w:rPr>
                <w:rFonts w:ascii="Arial" w:hAnsi="Arial" w:cs="Arial"/>
                <w:sz w:val="28"/>
                <w:szCs w:val="28"/>
              </w:rPr>
              <w:t>Ensemble</w:t>
            </w:r>
          </w:p>
        </w:tc>
        <w:tc>
          <w:tcPr>
            <w:tcW w:w="2264" w:type="dxa"/>
          </w:tcPr>
          <w:p w14:paraId="2CAF8633" w14:textId="77777777" w:rsidR="00F1014D" w:rsidRDefault="00F1014D" w:rsidP="00F1014D">
            <w:pPr>
              <w:spacing w:line="360" w:lineRule="auto"/>
              <w:jc w:val="center"/>
              <w:rPr>
                <w:rFonts w:ascii="Arial" w:hAnsi="Arial" w:cs="Arial"/>
                <w:sz w:val="28"/>
                <w:szCs w:val="28"/>
              </w:rPr>
            </w:pPr>
            <w:r>
              <w:rPr>
                <w:rFonts w:ascii="Arial" w:hAnsi="Arial" w:cs="Arial"/>
                <w:sz w:val="28"/>
                <w:szCs w:val="28"/>
              </w:rPr>
              <w:t>86</w:t>
            </w:r>
          </w:p>
        </w:tc>
        <w:tc>
          <w:tcPr>
            <w:tcW w:w="2264" w:type="dxa"/>
          </w:tcPr>
          <w:p w14:paraId="64BC179C" w14:textId="77777777" w:rsidR="00F1014D" w:rsidRDefault="00F1014D" w:rsidP="00F1014D">
            <w:pPr>
              <w:spacing w:line="360" w:lineRule="auto"/>
              <w:jc w:val="center"/>
              <w:rPr>
                <w:rFonts w:ascii="Arial" w:hAnsi="Arial" w:cs="Arial"/>
                <w:sz w:val="28"/>
                <w:szCs w:val="28"/>
              </w:rPr>
            </w:pPr>
            <w:r>
              <w:rPr>
                <w:rFonts w:ascii="Arial" w:hAnsi="Arial" w:cs="Arial"/>
                <w:sz w:val="28"/>
                <w:szCs w:val="28"/>
              </w:rPr>
              <w:t>39</w:t>
            </w:r>
          </w:p>
        </w:tc>
        <w:tc>
          <w:tcPr>
            <w:tcW w:w="2264" w:type="dxa"/>
          </w:tcPr>
          <w:p w14:paraId="1EE2A7A5" w14:textId="77777777" w:rsidR="00F1014D" w:rsidRDefault="00F1014D" w:rsidP="00F1014D">
            <w:pPr>
              <w:spacing w:line="360" w:lineRule="auto"/>
              <w:jc w:val="center"/>
              <w:rPr>
                <w:rFonts w:ascii="Arial" w:hAnsi="Arial" w:cs="Arial"/>
                <w:sz w:val="28"/>
                <w:szCs w:val="28"/>
              </w:rPr>
            </w:pPr>
            <w:r>
              <w:rPr>
                <w:rFonts w:ascii="Arial" w:hAnsi="Arial" w:cs="Arial"/>
                <w:sz w:val="28"/>
                <w:szCs w:val="28"/>
              </w:rPr>
              <w:t>28</w:t>
            </w:r>
          </w:p>
        </w:tc>
      </w:tr>
    </w:tbl>
    <w:p w14:paraId="386AC145" w14:textId="77777777" w:rsidR="00F1014D" w:rsidRDefault="00F1014D" w:rsidP="00F1014D">
      <w:pPr>
        <w:spacing w:line="360" w:lineRule="auto"/>
        <w:jc w:val="both"/>
        <w:rPr>
          <w:rFonts w:ascii="Arial" w:hAnsi="Arial" w:cs="Arial"/>
          <w:sz w:val="28"/>
          <w:szCs w:val="28"/>
        </w:rPr>
      </w:pPr>
    </w:p>
    <w:p w14:paraId="7285504D" w14:textId="77777777" w:rsidR="00F1014D" w:rsidRDefault="00F1014D" w:rsidP="00F1014D">
      <w:pPr>
        <w:spacing w:line="360" w:lineRule="auto"/>
        <w:jc w:val="both"/>
        <w:rPr>
          <w:rFonts w:ascii="Arial" w:hAnsi="Arial" w:cs="Arial"/>
          <w:sz w:val="28"/>
          <w:szCs w:val="28"/>
        </w:rPr>
      </w:pPr>
      <w:r>
        <w:rPr>
          <w:rFonts w:ascii="Arial" w:hAnsi="Arial" w:cs="Arial"/>
          <w:sz w:val="28"/>
          <w:szCs w:val="28"/>
        </w:rPr>
        <w:t xml:space="preserve">Le cabinet d’un ministre de plein exercice est trois fois plus important que celui d’un secrétaire d’État. Si la différence était connue au niveau des conseillers, elle l’était moins en ce qui concerne le personnel support dont les effectifs sont </w:t>
      </w:r>
      <w:r w:rsidR="00155F44">
        <w:rPr>
          <w:rFonts w:ascii="Arial" w:hAnsi="Arial" w:cs="Arial"/>
          <w:sz w:val="28"/>
          <w:szCs w:val="28"/>
        </w:rPr>
        <w:t>essentiellement au</w:t>
      </w:r>
      <w:r>
        <w:rPr>
          <w:rFonts w:ascii="Arial" w:hAnsi="Arial" w:cs="Arial"/>
          <w:sz w:val="28"/>
          <w:szCs w:val="28"/>
        </w:rPr>
        <w:t xml:space="preserve"> service du ministre.</w:t>
      </w:r>
    </w:p>
    <w:p w14:paraId="7F668AD0" w14:textId="77777777" w:rsidR="00155F44" w:rsidRDefault="00155F44" w:rsidP="00F1014D">
      <w:pPr>
        <w:spacing w:line="360" w:lineRule="auto"/>
        <w:jc w:val="both"/>
        <w:rPr>
          <w:rFonts w:ascii="Arial" w:hAnsi="Arial" w:cs="Arial"/>
          <w:sz w:val="28"/>
          <w:szCs w:val="28"/>
        </w:rPr>
      </w:pPr>
      <w:r>
        <w:rPr>
          <w:rFonts w:ascii="Arial" w:hAnsi="Arial" w:cs="Arial"/>
          <w:sz w:val="28"/>
          <w:szCs w:val="28"/>
        </w:rPr>
        <w:t>On distingue cinq catégories parmi le personnel-support.</w:t>
      </w:r>
    </w:p>
    <w:p w14:paraId="1BE83CAF" w14:textId="77777777" w:rsidR="007168A5" w:rsidRDefault="00155F44" w:rsidP="00F1014D">
      <w:pPr>
        <w:spacing w:line="360" w:lineRule="auto"/>
        <w:jc w:val="both"/>
        <w:rPr>
          <w:rFonts w:ascii="Arial" w:hAnsi="Arial" w:cs="Arial"/>
          <w:sz w:val="28"/>
          <w:szCs w:val="28"/>
        </w:rPr>
      </w:pPr>
      <w:r>
        <w:rPr>
          <w:rFonts w:ascii="Arial" w:hAnsi="Arial" w:cs="Arial"/>
          <w:sz w:val="28"/>
          <w:szCs w:val="28"/>
        </w:rPr>
        <w:t xml:space="preserve">Tout d’abord la sécurité personnelle </w:t>
      </w:r>
      <w:r w:rsidR="00A068FD">
        <w:rPr>
          <w:rFonts w:ascii="Arial" w:hAnsi="Arial" w:cs="Arial"/>
          <w:sz w:val="28"/>
          <w:szCs w:val="28"/>
        </w:rPr>
        <w:t>du ministre. Chaque ministre dispose de deux agents de sécurité à l’exception des quatre ministres dont la protection est renforcée : le ministre de l’Intérieur (26 agents), le ministre des Armées et le garde des sceaux (15 chacun), le ministre des Affaires Étrangères (14).</w:t>
      </w:r>
    </w:p>
    <w:p w14:paraId="376CC770" w14:textId="77777777" w:rsidR="007168A5" w:rsidRDefault="00A068FD" w:rsidP="00F1014D">
      <w:pPr>
        <w:spacing w:line="360" w:lineRule="auto"/>
        <w:jc w:val="both"/>
        <w:rPr>
          <w:rFonts w:ascii="Arial" w:hAnsi="Arial" w:cs="Arial"/>
          <w:sz w:val="28"/>
          <w:szCs w:val="28"/>
        </w:rPr>
      </w:pPr>
      <w:r>
        <w:rPr>
          <w:rFonts w:ascii="Arial" w:hAnsi="Arial" w:cs="Arial"/>
          <w:sz w:val="28"/>
          <w:szCs w:val="28"/>
        </w:rPr>
        <w:t xml:space="preserve"> La sécurité des bâtiments et les tâches de secrétariat n’appellent pas d’observations particulières.</w:t>
      </w:r>
    </w:p>
    <w:p w14:paraId="632BE090" w14:textId="77777777" w:rsidR="00155F44" w:rsidRDefault="00A068FD" w:rsidP="00F1014D">
      <w:pPr>
        <w:spacing w:line="360" w:lineRule="auto"/>
        <w:jc w:val="both"/>
        <w:rPr>
          <w:rFonts w:ascii="Arial" w:hAnsi="Arial" w:cs="Arial"/>
          <w:sz w:val="28"/>
          <w:szCs w:val="28"/>
        </w:rPr>
      </w:pPr>
      <w:r>
        <w:rPr>
          <w:rFonts w:ascii="Arial" w:hAnsi="Arial" w:cs="Arial"/>
          <w:sz w:val="28"/>
          <w:szCs w:val="28"/>
        </w:rPr>
        <w:t xml:space="preserve"> Par contre les effectifs affectés à l’intendance (hôtellerie-restauration) varient sensiblement. Si dix départements ministériels ne disposent d’aucune personne à ce titre, certains ministères sont mieux pourvus : 39 personnes au ministère des Affaires Étrangères, 21 au ministère de l’Écologie, 19 au ministère de l’Intérieur, 15 au ministère de la Justice, une cinquantaine pour les divers départements ministériels localisés à Bercy : 12. Pour le ministère de l’économie, 10 pour les ministres de l’industrie, des. PME et de l’économie sociale, 6 pour le ministère des comptes publics.</w:t>
      </w:r>
    </w:p>
    <w:p w14:paraId="2552DC17" w14:textId="77777777" w:rsidR="00A068FD" w:rsidRDefault="00A068FD" w:rsidP="00F1014D">
      <w:pPr>
        <w:spacing w:line="360" w:lineRule="auto"/>
        <w:jc w:val="both"/>
        <w:rPr>
          <w:rFonts w:ascii="Arial" w:hAnsi="Arial" w:cs="Arial"/>
          <w:sz w:val="28"/>
          <w:szCs w:val="28"/>
        </w:rPr>
      </w:pPr>
      <w:r>
        <w:rPr>
          <w:rFonts w:ascii="Arial" w:hAnsi="Arial" w:cs="Arial"/>
          <w:sz w:val="28"/>
          <w:szCs w:val="28"/>
        </w:rPr>
        <w:t xml:space="preserve">L’examen des chauffeurs révèle cette année une nouveauté : deux chauffeurs apparaissent au ministère de l’Intérieur ! depuis que ce document existe, la rubrique « chauffeur » du ministère de l’Intérieur était </w:t>
      </w:r>
      <w:r>
        <w:rPr>
          <w:rFonts w:ascii="Arial" w:hAnsi="Arial" w:cs="Arial"/>
          <w:sz w:val="28"/>
          <w:szCs w:val="28"/>
        </w:rPr>
        <w:lastRenderedPageBreak/>
        <w:t xml:space="preserve">vide, le ministre utilisant, autant que de besoin, la logistique de la police nationale. Pour autant ces effectifs ne figurent pas dans le document budgétaire, ce qui est regrettable. </w:t>
      </w:r>
    </w:p>
    <w:p w14:paraId="76D227C8" w14:textId="77777777" w:rsidR="00A068FD" w:rsidRDefault="00A068FD" w:rsidP="00F1014D">
      <w:pPr>
        <w:spacing w:line="360" w:lineRule="auto"/>
        <w:jc w:val="both"/>
        <w:rPr>
          <w:rFonts w:ascii="Arial" w:hAnsi="Arial" w:cs="Arial"/>
          <w:sz w:val="28"/>
          <w:szCs w:val="28"/>
        </w:rPr>
      </w:pPr>
      <w:r>
        <w:rPr>
          <w:rFonts w:ascii="Arial" w:hAnsi="Arial" w:cs="Arial"/>
          <w:sz w:val="28"/>
          <w:szCs w:val="28"/>
        </w:rPr>
        <w:t>Le tableau suivant montre l’évolution de ce personnel-support</w:t>
      </w:r>
    </w:p>
    <w:tbl>
      <w:tblPr>
        <w:tblStyle w:val="Grilledutableau"/>
        <w:tblW w:w="0" w:type="auto"/>
        <w:tblLook w:val="04A0" w:firstRow="1" w:lastRow="0" w:firstColumn="1" w:lastColumn="0" w:noHBand="0" w:noVBand="1"/>
      </w:tblPr>
      <w:tblGrid>
        <w:gridCol w:w="2264"/>
        <w:gridCol w:w="2264"/>
        <w:gridCol w:w="2264"/>
        <w:gridCol w:w="2264"/>
      </w:tblGrid>
      <w:tr w:rsidR="00D07298" w14:paraId="255230E1" w14:textId="77777777" w:rsidTr="00D07298">
        <w:tc>
          <w:tcPr>
            <w:tcW w:w="2264" w:type="dxa"/>
          </w:tcPr>
          <w:p w14:paraId="774D2428" w14:textId="77777777" w:rsidR="00D07298" w:rsidRDefault="00D07298" w:rsidP="00F1014D">
            <w:pPr>
              <w:spacing w:line="360" w:lineRule="auto"/>
              <w:jc w:val="both"/>
              <w:rPr>
                <w:rFonts w:ascii="Arial" w:hAnsi="Arial" w:cs="Arial"/>
                <w:sz w:val="28"/>
                <w:szCs w:val="28"/>
              </w:rPr>
            </w:pPr>
          </w:p>
        </w:tc>
        <w:tc>
          <w:tcPr>
            <w:tcW w:w="2264" w:type="dxa"/>
          </w:tcPr>
          <w:p w14:paraId="65710026"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2019</w:t>
            </w:r>
          </w:p>
        </w:tc>
        <w:tc>
          <w:tcPr>
            <w:tcW w:w="2264" w:type="dxa"/>
          </w:tcPr>
          <w:p w14:paraId="3B1FA81E"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2021</w:t>
            </w:r>
          </w:p>
        </w:tc>
        <w:tc>
          <w:tcPr>
            <w:tcW w:w="2264" w:type="dxa"/>
          </w:tcPr>
          <w:p w14:paraId="48815978"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Évolution %</w:t>
            </w:r>
          </w:p>
        </w:tc>
      </w:tr>
      <w:tr w:rsidR="00D07298" w14:paraId="1A633BB9" w14:textId="77777777" w:rsidTr="00D07298">
        <w:tc>
          <w:tcPr>
            <w:tcW w:w="2264" w:type="dxa"/>
          </w:tcPr>
          <w:p w14:paraId="5D29EADF" w14:textId="77777777" w:rsidR="00D07298" w:rsidRDefault="009725ED" w:rsidP="00F1014D">
            <w:pPr>
              <w:spacing w:line="360" w:lineRule="auto"/>
              <w:jc w:val="both"/>
              <w:rPr>
                <w:rFonts w:ascii="Arial" w:hAnsi="Arial" w:cs="Arial"/>
                <w:sz w:val="28"/>
                <w:szCs w:val="28"/>
              </w:rPr>
            </w:pPr>
            <w:r>
              <w:rPr>
                <w:rFonts w:ascii="Arial" w:hAnsi="Arial" w:cs="Arial"/>
                <w:sz w:val="28"/>
                <w:szCs w:val="28"/>
              </w:rPr>
              <w:t>Protection</w:t>
            </w:r>
          </w:p>
        </w:tc>
        <w:tc>
          <w:tcPr>
            <w:tcW w:w="2264" w:type="dxa"/>
          </w:tcPr>
          <w:p w14:paraId="2C2463A0"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136</w:t>
            </w:r>
          </w:p>
        </w:tc>
        <w:tc>
          <w:tcPr>
            <w:tcW w:w="2264" w:type="dxa"/>
          </w:tcPr>
          <w:p w14:paraId="0B0EB936"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158</w:t>
            </w:r>
          </w:p>
        </w:tc>
        <w:tc>
          <w:tcPr>
            <w:tcW w:w="2264" w:type="dxa"/>
          </w:tcPr>
          <w:p w14:paraId="4EE3F60D"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+17,6%</w:t>
            </w:r>
          </w:p>
        </w:tc>
      </w:tr>
      <w:tr w:rsidR="00D07298" w14:paraId="3C55A98B" w14:textId="77777777" w:rsidTr="00D07298">
        <w:tc>
          <w:tcPr>
            <w:tcW w:w="2264" w:type="dxa"/>
          </w:tcPr>
          <w:p w14:paraId="6BF6EA5E" w14:textId="77777777" w:rsidR="00D07298" w:rsidRDefault="009725ED" w:rsidP="00F1014D">
            <w:pPr>
              <w:spacing w:line="360" w:lineRule="auto"/>
              <w:jc w:val="both"/>
              <w:rPr>
                <w:rFonts w:ascii="Arial" w:hAnsi="Arial" w:cs="Arial"/>
                <w:sz w:val="28"/>
                <w:szCs w:val="28"/>
              </w:rPr>
            </w:pPr>
            <w:r>
              <w:rPr>
                <w:rFonts w:ascii="Arial" w:hAnsi="Arial" w:cs="Arial"/>
                <w:sz w:val="28"/>
                <w:szCs w:val="28"/>
              </w:rPr>
              <w:t>Sécurité des bâtiments</w:t>
            </w:r>
          </w:p>
        </w:tc>
        <w:tc>
          <w:tcPr>
            <w:tcW w:w="2264" w:type="dxa"/>
          </w:tcPr>
          <w:p w14:paraId="7A8A00E5"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139</w:t>
            </w:r>
          </w:p>
        </w:tc>
        <w:tc>
          <w:tcPr>
            <w:tcW w:w="2264" w:type="dxa"/>
          </w:tcPr>
          <w:p w14:paraId="1B514F00"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140</w:t>
            </w:r>
          </w:p>
        </w:tc>
        <w:tc>
          <w:tcPr>
            <w:tcW w:w="2264" w:type="dxa"/>
          </w:tcPr>
          <w:p w14:paraId="19506594"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w:t>
            </w:r>
          </w:p>
        </w:tc>
      </w:tr>
      <w:tr w:rsidR="00D07298" w14:paraId="2859284F" w14:textId="77777777" w:rsidTr="00D07298">
        <w:tc>
          <w:tcPr>
            <w:tcW w:w="2264" w:type="dxa"/>
          </w:tcPr>
          <w:p w14:paraId="3D561DFA" w14:textId="77777777" w:rsidR="00D07298" w:rsidRDefault="009725ED" w:rsidP="00F1014D">
            <w:pPr>
              <w:spacing w:line="360" w:lineRule="auto"/>
              <w:jc w:val="both"/>
              <w:rPr>
                <w:rFonts w:ascii="Arial" w:hAnsi="Arial" w:cs="Arial"/>
                <w:sz w:val="28"/>
                <w:szCs w:val="28"/>
              </w:rPr>
            </w:pPr>
            <w:r>
              <w:rPr>
                <w:rFonts w:ascii="Arial" w:hAnsi="Arial" w:cs="Arial"/>
                <w:sz w:val="28"/>
                <w:szCs w:val="28"/>
              </w:rPr>
              <w:t xml:space="preserve">Secrétariat </w:t>
            </w:r>
          </w:p>
        </w:tc>
        <w:tc>
          <w:tcPr>
            <w:tcW w:w="2264" w:type="dxa"/>
          </w:tcPr>
          <w:p w14:paraId="2BC8C98D"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912</w:t>
            </w:r>
          </w:p>
        </w:tc>
        <w:tc>
          <w:tcPr>
            <w:tcW w:w="2264" w:type="dxa"/>
          </w:tcPr>
          <w:p w14:paraId="50E8F5DF"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1035</w:t>
            </w:r>
          </w:p>
        </w:tc>
        <w:tc>
          <w:tcPr>
            <w:tcW w:w="2264" w:type="dxa"/>
          </w:tcPr>
          <w:p w14:paraId="142D4913"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+13,5%</w:t>
            </w:r>
          </w:p>
        </w:tc>
      </w:tr>
      <w:tr w:rsidR="00D07298" w14:paraId="0A078AF1" w14:textId="77777777" w:rsidTr="00D07298">
        <w:tc>
          <w:tcPr>
            <w:tcW w:w="2264" w:type="dxa"/>
          </w:tcPr>
          <w:p w14:paraId="7F6C2055" w14:textId="77777777" w:rsidR="00D07298" w:rsidRDefault="009725ED" w:rsidP="00F1014D">
            <w:pPr>
              <w:spacing w:line="360" w:lineRule="auto"/>
              <w:jc w:val="both"/>
              <w:rPr>
                <w:rFonts w:ascii="Arial" w:hAnsi="Arial" w:cs="Arial"/>
                <w:sz w:val="28"/>
                <w:szCs w:val="28"/>
              </w:rPr>
            </w:pPr>
            <w:r>
              <w:rPr>
                <w:rFonts w:ascii="Arial" w:hAnsi="Arial" w:cs="Arial"/>
                <w:sz w:val="28"/>
                <w:szCs w:val="28"/>
              </w:rPr>
              <w:t>Intendance</w:t>
            </w:r>
          </w:p>
        </w:tc>
        <w:tc>
          <w:tcPr>
            <w:tcW w:w="2264" w:type="dxa"/>
          </w:tcPr>
          <w:p w14:paraId="72216193"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217</w:t>
            </w:r>
          </w:p>
        </w:tc>
        <w:tc>
          <w:tcPr>
            <w:tcW w:w="2264" w:type="dxa"/>
          </w:tcPr>
          <w:p w14:paraId="05A9389F"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254</w:t>
            </w:r>
          </w:p>
        </w:tc>
        <w:tc>
          <w:tcPr>
            <w:tcW w:w="2264" w:type="dxa"/>
          </w:tcPr>
          <w:p w14:paraId="47EDD4BF"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+17%</w:t>
            </w:r>
          </w:p>
        </w:tc>
      </w:tr>
      <w:tr w:rsidR="00D07298" w14:paraId="3EC74F94" w14:textId="77777777" w:rsidTr="00D07298">
        <w:tc>
          <w:tcPr>
            <w:tcW w:w="2264" w:type="dxa"/>
          </w:tcPr>
          <w:p w14:paraId="5E69F413" w14:textId="77777777" w:rsidR="00D07298" w:rsidRDefault="009725ED" w:rsidP="00F1014D">
            <w:pPr>
              <w:spacing w:line="360" w:lineRule="auto"/>
              <w:jc w:val="both"/>
              <w:rPr>
                <w:rFonts w:ascii="Arial" w:hAnsi="Arial" w:cs="Arial"/>
                <w:sz w:val="28"/>
                <w:szCs w:val="28"/>
              </w:rPr>
            </w:pPr>
            <w:r>
              <w:rPr>
                <w:rFonts w:ascii="Arial" w:hAnsi="Arial" w:cs="Arial"/>
                <w:sz w:val="28"/>
                <w:szCs w:val="28"/>
              </w:rPr>
              <w:t>Chauffeurs</w:t>
            </w:r>
          </w:p>
        </w:tc>
        <w:tc>
          <w:tcPr>
            <w:tcW w:w="2264" w:type="dxa"/>
          </w:tcPr>
          <w:p w14:paraId="21C56368"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218</w:t>
            </w:r>
          </w:p>
        </w:tc>
        <w:tc>
          <w:tcPr>
            <w:tcW w:w="2264" w:type="dxa"/>
          </w:tcPr>
          <w:p w14:paraId="2C8352D7"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234</w:t>
            </w:r>
          </w:p>
        </w:tc>
        <w:tc>
          <w:tcPr>
            <w:tcW w:w="2264" w:type="dxa"/>
          </w:tcPr>
          <w:p w14:paraId="450DD593"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+7,3%</w:t>
            </w:r>
          </w:p>
        </w:tc>
      </w:tr>
      <w:tr w:rsidR="00D07298" w14:paraId="59FEBFA4" w14:textId="77777777" w:rsidTr="00D07298">
        <w:tc>
          <w:tcPr>
            <w:tcW w:w="2264" w:type="dxa"/>
          </w:tcPr>
          <w:p w14:paraId="7F44BF2C" w14:textId="77777777" w:rsidR="00D07298" w:rsidRDefault="009725ED" w:rsidP="00F1014D">
            <w:pPr>
              <w:spacing w:line="360" w:lineRule="auto"/>
              <w:jc w:val="both"/>
              <w:rPr>
                <w:rFonts w:ascii="Arial" w:hAnsi="Arial" w:cs="Arial"/>
                <w:sz w:val="28"/>
                <w:szCs w:val="28"/>
              </w:rPr>
            </w:pPr>
            <w:r>
              <w:rPr>
                <w:rFonts w:ascii="Arial" w:hAnsi="Arial" w:cs="Arial"/>
                <w:sz w:val="28"/>
                <w:szCs w:val="28"/>
              </w:rPr>
              <w:t xml:space="preserve">Ensemble </w:t>
            </w:r>
          </w:p>
        </w:tc>
        <w:tc>
          <w:tcPr>
            <w:tcW w:w="2264" w:type="dxa"/>
          </w:tcPr>
          <w:p w14:paraId="0B66F618"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1622</w:t>
            </w:r>
          </w:p>
        </w:tc>
        <w:tc>
          <w:tcPr>
            <w:tcW w:w="2264" w:type="dxa"/>
          </w:tcPr>
          <w:p w14:paraId="07FBBAFB"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1821</w:t>
            </w:r>
          </w:p>
        </w:tc>
        <w:tc>
          <w:tcPr>
            <w:tcW w:w="2264" w:type="dxa"/>
          </w:tcPr>
          <w:p w14:paraId="5F40F4DE" w14:textId="77777777" w:rsidR="00D07298" w:rsidRDefault="009725ED" w:rsidP="009725ED">
            <w:pPr>
              <w:spacing w:line="360" w:lineRule="auto"/>
              <w:jc w:val="center"/>
              <w:rPr>
                <w:rFonts w:ascii="Arial" w:hAnsi="Arial" w:cs="Arial"/>
                <w:sz w:val="28"/>
                <w:szCs w:val="28"/>
              </w:rPr>
            </w:pPr>
            <w:r>
              <w:rPr>
                <w:rFonts w:ascii="Arial" w:hAnsi="Arial" w:cs="Arial"/>
                <w:sz w:val="28"/>
                <w:szCs w:val="28"/>
              </w:rPr>
              <w:t>+11,4%</w:t>
            </w:r>
          </w:p>
        </w:tc>
      </w:tr>
    </w:tbl>
    <w:p w14:paraId="1D0ACC00" w14:textId="77777777" w:rsidR="00A068FD" w:rsidRDefault="00A068FD" w:rsidP="00F1014D">
      <w:pPr>
        <w:spacing w:line="360" w:lineRule="auto"/>
        <w:jc w:val="both"/>
        <w:rPr>
          <w:rFonts w:ascii="Arial" w:hAnsi="Arial" w:cs="Arial"/>
          <w:sz w:val="28"/>
          <w:szCs w:val="28"/>
        </w:rPr>
      </w:pPr>
    </w:p>
    <w:p w14:paraId="4240D22C" w14:textId="77777777" w:rsidR="002324C1" w:rsidRDefault="002324C1" w:rsidP="00F1014D">
      <w:pPr>
        <w:spacing w:line="360" w:lineRule="auto"/>
        <w:jc w:val="both"/>
        <w:rPr>
          <w:rFonts w:ascii="Arial" w:hAnsi="Arial" w:cs="Arial"/>
          <w:sz w:val="28"/>
          <w:szCs w:val="28"/>
        </w:rPr>
      </w:pPr>
      <w:r>
        <w:rPr>
          <w:rFonts w:ascii="Arial" w:hAnsi="Arial" w:cs="Arial"/>
          <w:sz w:val="28"/>
          <w:szCs w:val="28"/>
        </w:rPr>
        <w:t xml:space="preserve">Derrière ces chiffres apparaissent des évolutions sensibles </w:t>
      </w:r>
      <w:r w:rsidR="00897384">
        <w:rPr>
          <w:rFonts w:ascii="Arial" w:hAnsi="Arial" w:cs="Arial"/>
          <w:sz w:val="28"/>
          <w:szCs w:val="28"/>
        </w:rPr>
        <w:t xml:space="preserve">au sein des cabinets ministériels. En premier lieu, il faut souligner la féminisation progressive des effectifs des conseillers qui atteint 43% du nombre total de conseillers (Premier ministre compris). Cette proportion augmente régulièrement : 40% en 2019, 39 en 2016, 30% dans les années 2000. Toutefois on relève que les postes à responsabilités sont toujours majoritairement occupés par des hommes. </w:t>
      </w:r>
    </w:p>
    <w:p w14:paraId="4BCBC856" w14:textId="77777777" w:rsidR="00897384" w:rsidRDefault="00897384" w:rsidP="00897384">
      <w:pPr>
        <w:spacing w:line="360" w:lineRule="auto"/>
        <w:jc w:val="center"/>
        <w:rPr>
          <w:rFonts w:ascii="Arial" w:hAnsi="Arial" w:cs="Arial"/>
          <w:sz w:val="28"/>
          <w:szCs w:val="28"/>
        </w:rPr>
      </w:pPr>
      <w:r>
        <w:rPr>
          <w:rFonts w:ascii="Arial" w:hAnsi="Arial" w:cs="Arial"/>
          <w:sz w:val="28"/>
          <w:szCs w:val="28"/>
        </w:rPr>
        <w:t>Proportion des femmes dans les cabinets ministériels (ensemble du gouvernement)</w:t>
      </w:r>
    </w:p>
    <w:tbl>
      <w:tblPr>
        <w:tblStyle w:val="Grilledutableau"/>
        <w:tblW w:w="0" w:type="auto"/>
        <w:tblLook w:val="04A0" w:firstRow="1" w:lastRow="0" w:firstColumn="1" w:lastColumn="0" w:noHBand="0" w:noVBand="1"/>
      </w:tblPr>
      <w:tblGrid>
        <w:gridCol w:w="3018"/>
        <w:gridCol w:w="3019"/>
        <w:gridCol w:w="3019"/>
      </w:tblGrid>
      <w:tr w:rsidR="00897384" w14:paraId="790709A7" w14:textId="77777777" w:rsidTr="00897384">
        <w:tc>
          <w:tcPr>
            <w:tcW w:w="3018" w:type="dxa"/>
          </w:tcPr>
          <w:p w14:paraId="63D169BA" w14:textId="77777777" w:rsidR="00897384" w:rsidRDefault="00897384" w:rsidP="00897384">
            <w:pPr>
              <w:spacing w:line="360" w:lineRule="auto"/>
              <w:jc w:val="both"/>
              <w:rPr>
                <w:rFonts w:ascii="Arial" w:hAnsi="Arial" w:cs="Arial"/>
                <w:sz w:val="28"/>
                <w:szCs w:val="28"/>
              </w:rPr>
            </w:pPr>
          </w:p>
        </w:tc>
        <w:tc>
          <w:tcPr>
            <w:tcW w:w="3019" w:type="dxa"/>
          </w:tcPr>
          <w:p w14:paraId="73D1E048" w14:textId="77777777" w:rsidR="00897384" w:rsidRDefault="00897384" w:rsidP="00897384">
            <w:pPr>
              <w:spacing w:line="360" w:lineRule="auto"/>
              <w:jc w:val="center"/>
              <w:rPr>
                <w:rFonts w:ascii="Arial" w:hAnsi="Arial" w:cs="Arial"/>
                <w:sz w:val="28"/>
                <w:szCs w:val="28"/>
              </w:rPr>
            </w:pPr>
            <w:r>
              <w:rPr>
                <w:rFonts w:ascii="Arial" w:hAnsi="Arial" w:cs="Arial"/>
                <w:sz w:val="28"/>
                <w:szCs w:val="28"/>
              </w:rPr>
              <w:t>2021</w:t>
            </w:r>
          </w:p>
        </w:tc>
        <w:tc>
          <w:tcPr>
            <w:tcW w:w="3019" w:type="dxa"/>
          </w:tcPr>
          <w:p w14:paraId="55961095" w14:textId="77777777" w:rsidR="00897384" w:rsidRDefault="00897384" w:rsidP="00897384">
            <w:pPr>
              <w:spacing w:line="360" w:lineRule="auto"/>
              <w:jc w:val="center"/>
              <w:rPr>
                <w:rFonts w:ascii="Arial" w:hAnsi="Arial" w:cs="Arial"/>
                <w:sz w:val="28"/>
                <w:szCs w:val="28"/>
              </w:rPr>
            </w:pPr>
            <w:r>
              <w:rPr>
                <w:rFonts w:ascii="Arial" w:hAnsi="Arial" w:cs="Arial"/>
                <w:sz w:val="28"/>
                <w:szCs w:val="28"/>
              </w:rPr>
              <w:t>2019</w:t>
            </w:r>
          </w:p>
        </w:tc>
      </w:tr>
      <w:tr w:rsidR="00897384" w14:paraId="20C87F83" w14:textId="77777777" w:rsidTr="00897384">
        <w:tc>
          <w:tcPr>
            <w:tcW w:w="3018" w:type="dxa"/>
          </w:tcPr>
          <w:p w14:paraId="1E0A5098" w14:textId="77777777" w:rsidR="00897384" w:rsidRDefault="00897384" w:rsidP="00897384">
            <w:pPr>
              <w:spacing w:line="360" w:lineRule="auto"/>
              <w:jc w:val="both"/>
              <w:rPr>
                <w:rFonts w:ascii="Arial" w:hAnsi="Arial" w:cs="Arial"/>
                <w:sz w:val="28"/>
                <w:szCs w:val="28"/>
              </w:rPr>
            </w:pPr>
            <w:r>
              <w:rPr>
                <w:rFonts w:ascii="Arial" w:hAnsi="Arial" w:cs="Arial"/>
                <w:sz w:val="28"/>
                <w:szCs w:val="28"/>
              </w:rPr>
              <w:t>Directeurs et adjoints</w:t>
            </w:r>
          </w:p>
        </w:tc>
        <w:tc>
          <w:tcPr>
            <w:tcW w:w="3019" w:type="dxa"/>
          </w:tcPr>
          <w:p w14:paraId="0CC293B0" w14:textId="77777777" w:rsidR="00897384" w:rsidRDefault="00897384" w:rsidP="00897384">
            <w:pPr>
              <w:spacing w:line="360" w:lineRule="auto"/>
              <w:jc w:val="center"/>
              <w:rPr>
                <w:rFonts w:ascii="Arial" w:hAnsi="Arial" w:cs="Arial"/>
                <w:sz w:val="28"/>
                <w:szCs w:val="28"/>
              </w:rPr>
            </w:pPr>
            <w:r>
              <w:rPr>
                <w:rFonts w:ascii="Arial" w:hAnsi="Arial" w:cs="Arial"/>
                <w:sz w:val="28"/>
                <w:szCs w:val="28"/>
              </w:rPr>
              <w:t>28%</w:t>
            </w:r>
          </w:p>
        </w:tc>
        <w:tc>
          <w:tcPr>
            <w:tcW w:w="3019" w:type="dxa"/>
          </w:tcPr>
          <w:p w14:paraId="1FA890D2" w14:textId="77777777" w:rsidR="00897384" w:rsidRDefault="00897384" w:rsidP="00897384">
            <w:pPr>
              <w:spacing w:line="360" w:lineRule="auto"/>
              <w:jc w:val="center"/>
              <w:rPr>
                <w:rFonts w:ascii="Arial" w:hAnsi="Arial" w:cs="Arial"/>
                <w:sz w:val="28"/>
                <w:szCs w:val="28"/>
              </w:rPr>
            </w:pPr>
            <w:r>
              <w:rPr>
                <w:rFonts w:ascii="Arial" w:hAnsi="Arial" w:cs="Arial"/>
                <w:sz w:val="28"/>
                <w:szCs w:val="28"/>
              </w:rPr>
              <w:t>20%</w:t>
            </w:r>
          </w:p>
        </w:tc>
      </w:tr>
      <w:tr w:rsidR="00897384" w14:paraId="13B7462B" w14:textId="77777777" w:rsidTr="00897384">
        <w:tc>
          <w:tcPr>
            <w:tcW w:w="3018" w:type="dxa"/>
          </w:tcPr>
          <w:p w14:paraId="46D09969" w14:textId="77777777" w:rsidR="00897384" w:rsidRDefault="00897384" w:rsidP="00897384">
            <w:pPr>
              <w:spacing w:line="360" w:lineRule="auto"/>
              <w:jc w:val="both"/>
              <w:rPr>
                <w:rFonts w:ascii="Arial" w:hAnsi="Arial" w:cs="Arial"/>
                <w:sz w:val="28"/>
                <w:szCs w:val="28"/>
              </w:rPr>
            </w:pPr>
            <w:r>
              <w:rPr>
                <w:rFonts w:ascii="Arial" w:hAnsi="Arial" w:cs="Arial"/>
                <w:sz w:val="28"/>
                <w:szCs w:val="28"/>
              </w:rPr>
              <w:t>Chefs et adjoints</w:t>
            </w:r>
          </w:p>
        </w:tc>
        <w:tc>
          <w:tcPr>
            <w:tcW w:w="3019" w:type="dxa"/>
          </w:tcPr>
          <w:p w14:paraId="4B9A1C4C" w14:textId="77777777" w:rsidR="00897384" w:rsidRDefault="00897384" w:rsidP="00897384">
            <w:pPr>
              <w:spacing w:line="360" w:lineRule="auto"/>
              <w:jc w:val="center"/>
              <w:rPr>
                <w:rFonts w:ascii="Arial" w:hAnsi="Arial" w:cs="Arial"/>
                <w:sz w:val="28"/>
                <w:szCs w:val="28"/>
              </w:rPr>
            </w:pPr>
            <w:r>
              <w:rPr>
                <w:rFonts w:ascii="Arial" w:hAnsi="Arial" w:cs="Arial"/>
                <w:sz w:val="28"/>
                <w:szCs w:val="28"/>
              </w:rPr>
              <w:t>45%</w:t>
            </w:r>
          </w:p>
        </w:tc>
        <w:tc>
          <w:tcPr>
            <w:tcW w:w="3019" w:type="dxa"/>
          </w:tcPr>
          <w:p w14:paraId="723C7090" w14:textId="77777777" w:rsidR="00897384" w:rsidRDefault="00897384" w:rsidP="00897384">
            <w:pPr>
              <w:spacing w:line="360" w:lineRule="auto"/>
              <w:jc w:val="center"/>
              <w:rPr>
                <w:rFonts w:ascii="Arial" w:hAnsi="Arial" w:cs="Arial"/>
                <w:sz w:val="28"/>
                <w:szCs w:val="28"/>
              </w:rPr>
            </w:pPr>
            <w:r>
              <w:rPr>
                <w:rFonts w:ascii="Arial" w:hAnsi="Arial" w:cs="Arial"/>
                <w:sz w:val="28"/>
                <w:szCs w:val="28"/>
              </w:rPr>
              <w:t>49%</w:t>
            </w:r>
          </w:p>
        </w:tc>
      </w:tr>
      <w:tr w:rsidR="00897384" w14:paraId="3D232CC9" w14:textId="77777777" w:rsidTr="00897384">
        <w:tc>
          <w:tcPr>
            <w:tcW w:w="3018" w:type="dxa"/>
          </w:tcPr>
          <w:p w14:paraId="790B8ADA" w14:textId="77777777" w:rsidR="00897384" w:rsidRDefault="00897384" w:rsidP="00897384">
            <w:pPr>
              <w:spacing w:line="360" w:lineRule="auto"/>
              <w:jc w:val="both"/>
              <w:rPr>
                <w:rFonts w:ascii="Arial" w:hAnsi="Arial" w:cs="Arial"/>
                <w:sz w:val="28"/>
                <w:szCs w:val="28"/>
              </w:rPr>
            </w:pPr>
            <w:r>
              <w:rPr>
                <w:rFonts w:ascii="Arial" w:hAnsi="Arial" w:cs="Arial"/>
                <w:sz w:val="28"/>
                <w:szCs w:val="28"/>
              </w:rPr>
              <w:t xml:space="preserve">Conseillers </w:t>
            </w:r>
          </w:p>
        </w:tc>
        <w:tc>
          <w:tcPr>
            <w:tcW w:w="3019" w:type="dxa"/>
          </w:tcPr>
          <w:p w14:paraId="4ADAC5FB" w14:textId="77777777" w:rsidR="00897384" w:rsidRDefault="00897384" w:rsidP="00897384">
            <w:pPr>
              <w:spacing w:line="360" w:lineRule="auto"/>
              <w:jc w:val="center"/>
              <w:rPr>
                <w:rFonts w:ascii="Arial" w:hAnsi="Arial" w:cs="Arial"/>
                <w:sz w:val="28"/>
                <w:szCs w:val="28"/>
              </w:rPr>
            </w:pPr>
            <w:r>
              <w:rPr>
                <w:rFonts w:ascii="Arial" w:hAnsi="Arial" w:cs="Arial"/>
                <w:sz w:val="28"/>
                <w:szCs w:val="28"/>
              </w:rPr>
              <w:t>45%</w:t>
            </w:r>
          </w:p>
        </w:tc>
        <w:tc>
          <w:tcPr>
            <w:tcW w:w="3019" w:type="dxa"/>
          </w:tcPr>
          <w:p w14:paraId="45EA0088" w14:textId="77777777" w:rsidR="00897384" w:rsidRDefault="00897384" w:rsidP="00897384">
            <w:pPr>
              <w:spacing w:line="360" w:lineRule="auto"/>
              <w:jc w:val="center"/>
              <w:rPr>
                <w:rFonts w:ascii="Arial" w:hAnsi="Arial" w:cs="Arial"/>
                <w:sz w:val="28"/>
                <w:szCs w:val="28"/>
              </w:rPr>
            </w:pPr>
            <w:r>
              <w:rPr>
                <w:rFonts w:ascii="Arial" w:hAnsi="Arial" w:cs="Arial"/>
                <w:sz w:val="28"/>
                <w:szCs w:val="28"/>
              </w:rPr>
              <w:t>40%</w:t>
            </w:r>
          </w:p>
        </w:tc>
      </w:tr>
      <w:tr w:rsidR="00897384" w14:paraId="270BA7EB" w14:textId="77777777" w:rsidTr="00897384">
        <w:tc>
          <w:tcPr>
            <w:tcW w:w="3018" w:type="dxa"/>
          </w:tcPr>
          <w:p w14:paraId="0979EA86" w14:textId="77777777" w:rsidR="00897384" w:rsidRDefault="00897384" w:rsidP="00897384">
            <w:pPr>
              <w:spacing w:line="360" w:lineRule="auto"/>
              <w:jc w:val="both"/>
              <w:rPr>
                <w:rFonts w:ascii="Arial" w:hAnsi="Arial" w:cs="Arial"/>
                <w:sz w:val="28"/>
                <w:szCs w:val="28"/>
              </w:rPr>
            </w:pPr>
            <w:r>
              <w:rPr>
                <w:rFonts w:ascii="Arial" w:hAnsi="Arial" w:cs="Arial"/>
                <w:sz w:val="28"/>
                <w:szCs w:val="28"/>
              </w:rPr>
              <w:t>Total</w:t>
            </w:r>
          </w:p>
        </w:tc>
        <w:tc>
          <w:tcPr>
            <w:tcW w:w="3019" w:type="dxa"/>
          </w:tcPr>
          <w:p w14:paraId="2526BF71" w14:textId="77777777" w:rsidR="00897384" w:rsidRDefault="00897384" w:rsidP="00897384">
            <w:pPr>
              <w:spacing w:line="360" w:lineRule="auto"/>
              <w:jc w:val="center"/>
              <w:rPr>
                <w:rFonts w:ascii="Arial" w:hAnsi="Arial" w:cs="Arial"/>
                <w:sz w:val="28"/>
                <w:szCs w:val="28"/>
              </w:rPr>
            </w:pPr>
            <w:r>
              <w:rPr>
                <w:rFonts w:ascii="Arial" w:hAnsi="Arial" w:cs="Arial"/>
                <w:sz w:val="28"/>
                <w:szCs w:val="28"/>
              </w:rPr>
              <w:t>43%</w:t>
            </w:r>
          </w:p>
        </w:tc>
        <w:tc>
          <w:tcPr>
            <w:tcW w:w="3019" w:type="dxa"/>
          </w:tcPr>
          <w:p w14:paraId="5A8B24B2" w14:textId="77777777" w:rsidR="00897384" w:rsidRDefault="00897384" w:rsidP="00897384">
            <w:pPr>
              <w:spacing w:line="360" w:lineRule="auto"/>
              <w:jc w:val="center"/>
              <w:rPr>
                <w:rFonts w:ascii="Arial" w:hAnsi="Arial" w:cs="Arial"/>
                <w:sz w:val="28"/>
                <w:szCs w:val="28"/>
              </w:rPr>
            </w:pPr>
            <w:r>
              <w:rPr>
                <w:rFonts w:ascii="Arial" w:hAnsi="Arial" w:cs="Arial"/>
                <w:sz w:val="28"/>
                <w:szCs w:val="28"/>
              </w:rPr>
              <w:t>40%</w:t>
            </w:r>
          </w:p>
        </w:tc>
      </w:tr>
    </w:tbl>
    <w:p w14:paraId="0535A164" w14:textId="77777777" w:rsidR="00897384" w:rsidRDefault="00897384" w:rsidP="00897384">
      <w:pPr>
        <w:spacing w:line="360" w:lineRule="auto"/>
        <w:jc w:val="both"/>
        <w:rPr>
          <w:rFonts w:ascii="Arial" w:hAnsi="Arial" w:cs="Arial"/>
          <w:sz w:val="28"/>
          <w:szCs w:val="28"/>
        </w:rPr>
      </w:pPr>
    </w:p>
    <w:p w14:paraId="757D2396" w14:textId="77777777" w:rsidR="00897384" w:rsidRPr="00D76635" w:rsidRDefault="00897384" w:rsidP="00897384">
      <w:pPr>
        <w:spacing w:line="360" w:lineRule="auto"/>
        <w:jc w:val="both"/>
        <w:rPr>
          <w:rFonts w:ascii="Arial" w:hAnsi="Arial" w:cs="Arial"/>
          <w:sz w:val="28"/>
          <w:szCs w:val="28"/>
        </w:rPr>
      </w:pPr>
      <w:r>
        <w:rPr>
          <w:rFonts w:ascii="Arial" w:hAnsi="Arial" w:cs="Arial"/>
          <w:sz w:val="28"/>
          <w:szCs w:val="28"/>
        </w:rPr>
        <w:lastRenderedPageBreak/>
        <w:t xml:space="preserve">Il convient de relever, également, que le cabinet du Premier ministre est le moins féminin (30%) contre 46% pour les cabinets des ministres délégués. En second lieu je relève que les personnels recrutés sur contrat sont devenus, pour la première fois, majoritaires : 54% pour l’ensemble des ministères. Toutefois les postes à responsabilité (directeurs et chefs de cabinet) sont toujours occupés par des hauts fonctionnaires, tout comme la majorité des postes de conseillers au cabinet du Premier ministre. Ce partage de responsabilités explique le niveau plus élevé des rémunérations parmi les fonctionnaires. On constate d’ailleurs, à l’occasion des déplacements ministériels, que les membres du gouvernement sont entourés de très jeunes conseillers qui ont fait leurs premières armes au sein du parti majoritaire ou (et) comme assistants parlementaires. Au sein des cabinets ministériels se met en place un partage des tâches </w:t>
      </w:r>
      <w:r w:rsidR="003A134A">
        <w:rPr>
          <w:rFonts w:ascii="Arial" w:hAnsi="Arial" w:cs="Arial"/>
          <w:sz w:val="28"/>
          <w:szCs w:val="28"/>
        </w:rPr>
        <w:t>entre les fonctionnaires expérimentés qui exercent la direction du cabinet, avec une rémunération élevée (compte tenu des indemnités de sujétions particulières) et des collaborateurs plus jeunes et politiques recrutés pour se consacrer à la communication et aux relations du ministre, avec une rémunération réellement moins élevée. Seules des investigations journalistiques et des statistiques plus précises (sur l’âge et le parcours des intéressés) permettront de préciser cette analyse. Il est significatif de noter qu’au sein des cabinets des secrétaires d’État les contractuels représentent 69% des effectifs.</w:t>
      </w:r>
    </w:p>
    <w:sectPr w:rsidR="00897384" w:rsidRPr="00D76635" w:rsidSect="004670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76635"/>
    <w:rsid w:val="000E6713"/>
    <w:rsid w:val="00155F44"/>
    <w:rsid w:val="002324C1"/>
    <w:rsid w:val="003A134A"/>
    <w:rsid w:val="00467076"/>
    <w:rsid w:val="00624F9C"/>
    <w:rsid w:val="007168A5"/>
    <w:rsid w:val="00724582"/>
    <w:rsid w:val="00841362"/>
    <w:rsid w:val="00842787"/>
    <w:rsid w:val="00897384"/>
    <w:rsid w:val="0093646E"/>
    <w:rsid w:val="009725ED"/>
    <w:rsid w:val="00A068FD"/>
    <w:rsid w:val="00D07298"/>
    <w:rsid w:val="00D76635"/>
    <w:rsid w:val="00DD20D3"/>
    <w:rsid w:val="00F101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F023"/>
  <w15:docId w15:val="{208DAB8A-4B14-114C-A614-A099592B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7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41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1054</Words>
  <Characters>5799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lahouali cherif</dc:creator>
  <cp:lastModifiedBy>lahouali cherif</cp:lastModifiedBy>
  <cp:revision>3</cp:revision>
  <dcterms:created xsi:type="dcterms:W3CDTF">2021-10-12T15:11:00Z</dcterms:created>
  <dcterms:modified xsi:type="dcterms:W3CDTF">2021-10-13T15:31:00Z</dcterms:modified>
</cp:coreProperties>
</file>