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C764" w14:textId="263142E2" w:rsidR="0093646E" w:rsidRDefault="00891612" w:rsidP="00891612">
      <w:pPr>
        <w:jc w:val="center"/>
        <w:rPr>
          <w:rFonts w:ascii="Arial" w:hAnsi="Arial" w:cs="Arial"/>
          <w:sz w:val="32"/>
          <w:szCs w:val="32"/>
        </w:rPr>
      </w:pPr>
      <w:r>
        <w:rPr>
          <w:rFonts w:ascii="Arial" w:hAnsi="Arial" w:cs="Arial"/>
          <w:sz w:val="32"/>
          <w:szCs w:val="32"/>
        </w:rPr>
        <w:t>LE GOUVERNEMENT LE PLUS CHER DE LA Vème REPUBLIQUE</w:t>
      </w:r>
    </w:p>
    <w:p w14:paraId="4ADFABDF" w14:textId="01D166B4" w:rsidR="00891612" w:rsidRDefault="00891612" w:rsidP="00891612">
      <w:pPr>
        <w:jc w:val="center"/>
        <w:rPr>
          <w:rFonts w:ascii="Arial" w:hAnsi="Arial" w:cs="Arial"/>
          <w:sz w:val="32"/>
          <w:szCs w:val="32"/>
        </w:rPr>
      </w:pPr>
    </w:p>
    <w:p w14:paraId="595DAEF4" w14:textId="7A0D9CE2" w:rsidR="00891612" w:rsidRDefault="00891612" w:rsidP="00891612">
      <w:pPr>
        <w:jc w:val="center"/>
        <w:rPr>
          <w:rFonts w:ascii="Arial" w:hAnsi="Arial" w:cs="Arial"/>
          <w:sz w:val="32"/>
          <w:szCs w:val="32"/>
        </w:rPr>
      </w:pPr>
    </w:p>
    <w:p w14:paraId="77487D90" w14:textId="3305FA12" w:rsidR="00891612" w:rsidRDefault="00891612" w:rsidP="00891612">
      <w:pPr>
        <w:jc w:val="center"/>
        <w:rPr>
          <w:rFonts w:ascii="Arial" w:hAnsi="Arial" w:cs="Arial"/>
          <w:sz w:val="32"/>
          <w:szCs w:val="32"/>
        </w:rPr>
      </w:pPr>
    </w:p>
    <w:p w14:paraId="075748A7" w14:textId="76CD4827" w:rsidR="00891612" w:rsidRDefault="00891612" w:rsidP="00891612">
      <w:pPr>
        <w:spacing w:line="360" w:lineRule="auto"/>
        <w:jc w:val="both"/>
        <w:rPr>
          <w:rFonts w:ascii="Arial" w:hAnsi="Arial" w:cs="Arial"/>
          <w:sz w:val="28"/>
          <w:szCs w:val="28"/>
        </w:rPr>
      </w:pPr>
      <w:r w:rsidRPr="00891612">
        <w:rPr>
          <w:rFonts w:ascii="Arial" w:hAnsi="Arial" w:cs="Arial"/>
          <w:sz w:val="28"/>
          <w:szCs w:val="28"/>
        </w:rPr>
        <w:t>160 millions d’euros. C’est le c</w:t>
      </w:r>
      <w:r>
        <w:rPr>
          <w:rFonts w:ascii="Arial" w:hAnsi="Arial" w:cs="Arial"/>
          <w:sz w:val="28"/>
          <w:szCs w:val="28"/>
        </w:rPr>
        <w:t>oût global, en 2021, du gouvernement Castex tel qu’il résulte de l’examen attentif du document budgétaire (« jaune ») consacré aux cabinets ministériels que j’analyse chaque année depuis quinze ans. Il y a deux ans, le coût du gouvernement d’Édouard Philippe s’élevait à 126 millions, soit en deux ans une augmentation de 26,6%.</w:t>
      </w:r>
    </w:p>
    <w:p w14:paraId="1BDDD3F0" w14:textId="360375BF" w:rsidR="00891612" w:rsidRDefault="00891612" w:rsidP="00891612">
      <w:pPr>
        <w:spacing w:line="360" w:lineRule="auto"/>
        <w:jc w:val="both"/>
        <w:rPr>
          <w:rFonts w:ascii="Arial" w:hAnsi="Arial" w:cs="Arial"/>
          <w:sz w:val="28"/>
          <w:szCs w:val="28"/>
        </w:rPr>
      </w:pPr>
      <w:r>
        <w:rPr>
          <w:rFonts w:ascii="Arial" w:hAnsi="Arial" w:cs="Arial"/>
          <w:sz w:val="28"/>
          <w:szCs w:val="28"/>
        </w:rPr>
        <w:t>L’année dernière, le document établi par les services du Premier ministre étant particulièrement incomplet, compte tenu de la date de nomination des secrétaires d’État, j’avais surestimé la dépense globale en majorant les effectifs concernant le personnel-support</w:t>
      </w:r>
      <w:r>
        <w:rPr>
          <w:rStyle w:val="Appelnotedebasdep"/>
          <w:rFonts w:ascii="Arial" w:hAnsi="Arial" w:cs="Arial"/>
          <w:sz w:val="28"/>
          <w:szCs w:val="28"/>
        </w:rPr>
        <w:footnoteReference w:id="1"/>
      </w:r>
      <w:r>
        <w:rPr>
          <w:rFonts w:ascii="Arial" w:hAnsi="Arial" w:cs="Arial"/>
          <w:sz w:val="28"/>
          <w:szCs w:val="28"/>
        </w:rPr>
        <w:t>.</w:t>
      </w:r>
    </w:p>
    <w:p w14:paraId="3DC90072" w14:textId="5883D2E5" w:rsidR="00891612" w:rsidRDefault="00891612" w:rsidP="00891612">
      <w:pPr>
        <w:spacing w:line="360" w:lineRule="auto"/>
        <w:jc w:val="both"/>
        <w:rPr>
          <w:rFonts w:ascii="Arial" w:hAnsi="Arial" w:cs="Arial"/>
          <w:sz w:val="28"/>
          <w:szCs w:val="28"/>
        </w:rPr>
      </w:pPr>
      <w:r>
        <w:rPr>
          <w:rFonts w:ascii="Arial" w:hAnsi="Arial" w:cs="Arial"/>
          <w:sz w:val="28"/>
          <w:szCs w:val="28"/>
        </w:rPr>
        <w:t xml:space="preserve">Pour autant la réalité ne change pas : le gouvernement Castex reste le plus cher de la Vème République. Ce coût doit cependant </w:t>
      </w:r>
      <w:r w:rsidR="00206898">
        <w:rPr>
          <w:rFonts w:ascii="Arial" w:hAnsi="Arial" w:cs="Arial"/>
          <w:sz w:val="28"/>
          <w:szCs w:val="28"/>
        </w:rPr>
        <w:t>être relativisé : sur 1000 euros de dépenses publique, il représente 12 centimes d’euros. Toutefois, compte tenu de la visibilité qui s’attache au gouvernement, un comportement exemplaire est souhaitable.</w:t>
      </w:r>
    </w:p>
    <w:p w14:paraId="291E0EA2" w14:textId="13EC999E" w:rsidR="00C84DF1" w:rsidRDefault="00C84DF1" w:rsidP="00891612">
      <w:pPr>
        <w:spacing w:line="360" w:lineRule="auto"/>
        <w:jc w:val="both"/>
        <w:rPr>
          <w:rFonts w:ascii="Arial" w:hAnsi="Arial" w:cs="Arial"/>
          <w:sz w:val="28"/>
          <w:szCs w:val="28"/>
        </w:rPr>
      </w:pPr>
      <w:r>
        <w:rPr>
          <w:rFonts w:ascii="Arial" w:hAnsi="Arial" w:cs="Arial"/>
          <w:sz w:val="28"/>
          <w:szCs w:val="28"/>
        </w:rPr>
        <w:t>Or le rapprochement des gouvernements de Philippe (2019) et de Castex (2021) se caractérise par l’expression toujours plus. Plus de ministres : 42 contre 34 (+24%), plus de conseillers 559 contre 313 (+79%), plus d’effectifs de cabinets ministériels 2793 contre 2338 (+19%), plus d’indemnités de sujétions particulières 27,7 millions contre 22,3 millions (+24%).</w:t>
      </w:r>
    </w:p>
    <w:p w14:paraId="76CDF26D" w14:textId="5E37447D" w:rsidR="00C84DF1" w:rsidRDefault="00C84DF1" w:rsidP="00891612">
      <w:pPr>
        <w:spacing w:line="360" w:lineRule="auto"/>
        <w:jc w:val="both"/>
        <w:rPr>
          <w:rFonts w:ascii="Arial" w:hAnsi="Arial" w:cs="Arial"/>
          <w:sz w:val="28"/>
          <w:szCs w:val="28"/>
        </w:rPr>
      </w:pPr>
      <w:r>
        <w:rPr>
          <w:rFonts w:ascii="Arial" w:hAnsi="Arial" w:cs="Arial"/>
          <w:sz w:val="28"/>
          <w:szCs w:val="28"/>
        </w:rPr>
        <w:t xml:space="preserve">Seul point positif : la rémunération moyenne individuelle d’un conseiller ministériel diminue, et cela pour la troisième année consécutive : 9318 </w:t>
      </w:r>
      <w:r>
        <w:rPr>
          <w:rFonts w:ascii="Arial" w:hAnsi="Arial" w:cs="Arial"/>
          <w:sz w:val="28"/>
          <w:szCs w:val="28"/>
        </w:rPr>
        <w:lastRenderedPageBreak/>
        <w:t>euros en 2018, 9160 euros en 2019 (-1,7%), 8737 en 2020 (-4,6%) et 8225 en 2021 (-5,9%). Il est vrai qu’en 2017 le gouvernement Philippe avait augmenté les rémunérations des membres de cabinet de 20%.</w:t>
      </w:r>
    </w:p>
    <w:p w14:paraId="3CB00593" w14:textId="4793D8E0" w:rsidR="002A2B11" w:rsidRDefault="002A2B11" w:rsidP="00891612">
      <w:pPr>
        <w:spacing w:line="360" w:lineRule="auto"/>
        <w:jc w:val="both"/>
        <w:rPr>
          <w:rFonts w:ascii="Arial" w:hAnsi="Arial" w:cs="Arial"/>
          <w:sz w:val="28"/>
          <w:szCs w:val="28"/>
        </w:rPr>
      </w:pPr>
      <w:r>
        <w:rPr>
          <w:rFonts w:ascii="Arial" w:hAnsi="Arial" w:cs="Arial"/>
          <w:sz w:val="28"/>
          <w:szCs w:val="28"/>
        </w:rPr>
        <w:t>Le détail des coûts des deux gouvernements figure ci-dessous (en millions d’euros)</w:t>
      </w:r>
    </w:p>
    <w:p w14:paraId="0DF3EE3B" w14:textId="620713A4" w:rsidR="002A2B11" w:rsidRDefault="002A2B11" w:rsidP="00891612">
      <w:pPr>
        <w:spacing w:line="360" w:lineRule="auto"/>
        <w:jc w:val="both"/>
        <w:rPr>
          <w:rFonts w:ascii="Arial" w:hAnsi="Arial" w:cs="Arial"/>
          <w:sz w:val="28"/>
          <w:szCs w:val="28"/>
        </w:rPr>
      </w:pPr>
    </w:p>
    <w:tbl>
      <w:tblPr>
        <w:tblStyle w:val="Grilledutableau"/>
        <w:tblW w:w="0" w:type="auto"/>
        <w:tblLook w:val="04A0" w:firstRow="1" w:lastRow="0" w:firstColumn="1" w:lastColumn="0" w:noHBand="0" w:noVBand="1"/>
      </w:tblPr>
      <w:tblGrid>
        <w:gridCol w:w="3018"/>
        <w:gridCol w:w="3019"/>
        <w:gridCol w:w="3019"/>
      </w:tblGrid>
      <w:tr w:rsidR="002A2B11" w14:paraId="4FF0586A" w14:textId="77777777" w:rsidTr="002A2B11">
        <w:tc>
          <w:tcPr>
            <w:tcW w:w="3018" w:type="dxa"/>
          </w:tcPr>
          <w:p w14:paraId="3DBE3F53" w14:textId="77777777" w:rsidR="002A2B11" w:rsidRDefault="002A2B11" w:rsidP="00891612">
            <w:pPr>
              <w:spacing w:line="360" w:lineRule="auto"/>
              <w:jc w:val="both"/>
              <w:rPr>
                <w:rFonts w:ascii="Arial" w:hAnsi="Arial" w:cs="Arial"/>
                <w:sz w:val="28"/>
                <w:szCs w:val="28"/>
              </w:rPr>
            </w:pPr>
          </w:p>
        </w:tc>
        <w:tc>
          <w:tcPr>
            <w:tcW w:w="3019" w:type="dxa"/>
          </w:tcPr>
          <w:p w14:paraId="4690159D" w14:textId="14341B96" w:rsidR="002A2B11" w:rsidRDefault="002A2B11" w:rsidP="002A2B11">
            <w:pPr>
              <w:spacing w:line="360" w:lineRule="auto"/>
              <w:jc w:val="center"/>
              <w:rPr>
                <w:rFonts w:ascii="Arial" w:hAnsi="Arial" w:cs="Arial"/>
                <w:sz w:val="28"/>
                <w:szCs w:val="28"/>
              </w:rPr>
            </w:pPr>
            <w:r>
              <w:rPr>
                <w:rFonts w:ascii="Arial" w:hAnsi="Arial" w:cs="Arial"/>
                <w:sz w:val="28"/>
                <w:szCs w:val="28"/>
              </w:rPr>
              <w:t>2021</w:t>
            </w:r>
          </w:p>
        </w:tc>
        <w:tc>
          <w:tcPr>
            <w:tcW w:w="3019" w:type="dxa"/>
          </w:tcPr>
          <w:p w14:paraId="209A064C" w14:textId="5CAA8E82" w:rsidR="002A2B11" w:rsidRDefault="002A2B11" w:rsidP="002A2B11">
            <w:pPr>
              <w:spacing w:line="360" w:lineRule="auto"/>
              <w:jc w:val="center"/>
              <w:rPr>
                <w:rFonts w:ascii="Arial" w:hAnsi="Arial" w:cs="Arial"/>
                <w:sz w:val="28"/>
                <w:szCs w:val="28"/>
              </w:rPr>
            </w:pPr>
            <w:r>
              <w:rPr>
                <w:rFonts w:ascii="Arial" w:hAnsi="Arial" w:cs="Arial"/>
                <w:sz w:val="28"/>
                <w:szCs w:val="28"/>
              </w:rPr>
              <w:t>2019</w:t>
            </w:r>
          </w:p>
        </w:tc>
      </w:tr>
      <w:tr w:rsidR="002A2B11" w14:paraId="7B219CDB" w14:textId="77777777" w:rsidTr="002A2B11">
        <w:tc>
          <w:tcPr>
            <w:tcW w:w="3018" w:type="dxa"/>
          </w:tcPr>
          <w:p w14:paraId="527CCD4C" w14:textId="72121350" w:rsidR="002A2B11" w:rsidRDefault="002A2B11" w:rsidP="00891612">
            <w:pPr>
              <w:spacing w:line="360" w:lineRule="auto"/>
              <w:jc w:val="both"/>
              <w:rPr>
                <w:rFonts w:ascii="Arial" w:hAnsi="Arial" w:cs="Arial"/>
                <w:sz w:val="28"/>
                <w:szCs w:val="28"/>
              </w:rPr>
            </w:pPr>
            <w:r>
              <w:rPr>
                <w:rFonts w:ascii="Arial" w:hAnsi="Arial" w:cs="Arial"/>
                <w:sz w:val="28"/>
                <w:szCs w:val="28"/>
              </w:rPr>
              <w:t>Rémunérations des ministres</w:t>
            </w:r>
          </w:p>
        </w:tc>
        <w:tc>
          <w:tcPr>
            <w:tcW w:w="3019" w:type="dxa"/>
          </w:tcPr>
          <w:p w14:paraId="18DCC0F1" w14:textId="6BAD5669" w:rsidR="002A2B11" w:rsidRDefault="002A2B11" w:rsidP="002A2B11">
            <w:pPr>
              <w:spacing w:line="360" w:lineRule="auto"/>
              <w:jc w:val="center"/>
              <w:rPr>
                <w:rFonts w:ascii="Arial" w:hAnsi="Arial" w:cs="Arial"/>
                <w:sz w:val="28"/>
                <w:szCs w:val="28"/>
              </w:rPr>
            </w:pPr>
            <w:r>
              <w:rPr>
                <w:rFonts w:ascii="Arial" w:hAnsi="Arial" w:cs="Arial"/>
                <w:sz w:val="28"/>
                <w:szCs w:val="28"/>
              </w:rPr>
              <w:t>5,2</w:t>
            </w:r>
          </w:p>
        </w:tc>
        <w:tc>
          <w:tcPr>
            <w:tcW w:w="3019" w:type="dxa"/>
          </w:tcPr>
          <w:p w14:paraId="67E29957" w14:textId="4C7D49B7" w:rsidR="002A2B11" w:rsidRDefault="002A2B11" w:rsidP="002A2B11">
            <w:pPr>
              <w:spacing w:line="360" w:lineRule="auto"/>
              <w:jc w:val="center"/>
              <w:rPr>
                <w:rFonts w:ascii="Arial" w:hAnsi="Arial" w:cs="Arial"/>
                <w:sz w:val="28"/>
                <w:szCs w:val="28"/>
              </w:rPr>
            </w:pPr>
            <w:r>
              <w:rPr>
                <w:rFonts w:ascii="Arial" w:hAnsi="Arial" w:cs="Arial"/>
                <w:sz w:val="28"/>
                <w:szCs w:val="28"/>
              </w:rPr>
              <w:t>4,1</w:t>
            </w:r>
          </w:p>
        </w:tc>
      </w:tr>
      <w:tr w:rsidR="002A2B11" w14:paraId="2AB65F1A" w14:textId="77777777" w:rsidTr="002A2B11">
        <w:tc>
          <w:tcPr>
            <w:tcW w:w="3018" w:type="dxa"/>
          </w:tcPr>
          <w:p w14:paraId="538B803C" w14:textId="391D30ED" w:rsidR="002A2B11" w:rsidRDefault="002A2B11" w:rsidP="00891612">
            <w:pPr>
              <w:spacing w:line="360" w:lineRule="auto"/>
              <w:jc w:val="both"/>
              <w:rPr>
                <w:rFonts w:ascii="Arial" w:hAnsi="Arial" w:cs="Arial"/>
                <w:sz w:val="28"/>
                <w:szCs w:val="28"/>
              </w:rPr>
            </w:pPr>
            <w:r>
              <w:rPr>
                <w:rFonts w:ascii="Arial" w:hAnsi="Arial" w:cs="Arial"/>
                <w:sz w:val="28"/>
                <w:szCs w:val="28"/>
              </w:rPr>
              <w:t>Cabinet du Premier ministre</w:t>
            </w:r>
          </w:p>
        </w:tc>
        <w:tc>
          <w:tcPr>
            <w:tcW w:w="3019" w:type="dxa"/>
          </w:tcPr>
          <w:p w14:paraId="29C34F3F" w14:textId="3B012EA3" w:rsidR="002A2B11" w:rsidRDefault="002A2B11" w:rsidP="002A2B11">
            <w:pPr>
              <w:spacing w:line="360" w:lineRule="auto"/>
              <w:jc w:val="center"/>
              <w:rPr>
                <w:rFonts w:ascii="Arial" w:hAnsi="Arial" w:cs="Arial"/>
                <w:sz w:val="28"/>
                <w:szCs w:val="28"/>
              </w:rPr>
            </w:pPr>
            <w:r>
              <w:rPr>
                <w:rFonts w:ascii="Arial" w:hAnsi="Arial" w:cs="Arial"/>
                <w:sz w:val="28"/>
                <w:szCs w:val="28"/>
              </w:rPr>
              <w:t>27,5</w:t>
            </w:r>
          </w:p>
        </w:tc>
        <w:tc>
          <w:tcPr>
            <w:tcW w:w="3019" w:type="dxa"/>
          </w:tcPr>
          <w:p w14:paraId="44C3E85F" w14:textId="0F074CA4" w:rsidR="002A2B11" w:rsidRDefault="002A2B11" w:rsidP="002A2B11">
            <w:pPr>
              <w:spacing w:line="360" w:lineRule="auto"/>
              <w:jc w:val="center"/>
              <w:rPr>
                <w:rFonts w:ascii="Arial" w:hAnsi="Arial" w:cs="Arial"/>
                <w:sz w:val="28"/>
                <w:szCs w:val="28"/>
              </w:rPr>
            </w:pPr>
            <w:r>
              <w:rPr>
                <w:rFonts w:ascii="Arial" w:hAnsi="Arial" w:cs="Arial"/>
                <w:sz w:val="28"/>
                <w:szCs w:val="28"/>
              </w:rPr>
              <w:t>26,7</w:t>
            </w:r>
          </w:p>
        </w:tc>
      </w:tr>
      <w:tr w:rsidR="002A2B11" w14:paraId="09B5F605" w14:textId="77777777" w:rsidTr="002A2B11">
        <w:tc>
          <w:tcPr>
            <w:tcW w:w="3018" w:type="dxa"/>
          </w:tcPr>
          <w:p w14:paraId="316B3313" w14:textId="421A7806" w:rsidR="002A2B11" w:rsidRDefault="002A2B11" w:rsidP="00891612">
            <w:pPr>
              <w:spacing w:line="360" w:lineRule="auto"/>
              <w:jc w:val="both"/>
              <w:rPr>
                <w:rFonts w:ascii="Arial" w:hAnsi="Arial" w:cs="Arial"/>
                <w:sz w:val="28"/>
                <w:szCs w:val="28"/>
              </w:rPr>
            </w:pPr>
            <w:r>
              <w:rPr>
                <w:rFonts w:ascii="Arial" w:hAnsi="Arial" w:cs="Arial"/>
                <w:sz w:val="28"/>
                <w:szCs w:val="28"/>
              </w:rPr>
              <w:t xml:space="preserve">Cabinet des ministres et des secrétaires d’État </w:t>
            </w:r>
          </w:p>
        </w:tc>
        <w:tc>
          <w:tcPr>
            <w:tcW w:w="3019" w:type="dxa"/>
          </w:tcPr>
          <w:p w14:paraId="78933671" w14:textId="286146A8" w:rsidR="002A2B11" w:rsidRDefault="002A2B11" w:rsidP="002A2B11">
            <w:pPr>
              <w:spacing w:line="360" w:lineRule="auto"/>
              <w:jc w:val="center"/>
              <w:rPr>
                <w:rFonts w:ascii="Arial" w:hAnsi="Arial" w:cs="Arial"/>
                <w:sz w:val="28"/>
                <w:szCs w:val="28"/>
              </w:rPr>
            </w:pPr>
            <w:r>
              <w:rPr>
                <w:rFonts w:ascii="Arial" w:hAnsi="Arial" w:cs="Arial"/>
                <w:sz w:val="28"/>
                <w:szCs w:val="28"/>
              </w:rPr>
              <w:t>126,8</w:t>
            </w:r>
          </w:p>
        </w:tc>
        <w:tc>
          <w:tcPr>
            <w:tcW w:w="3019" w:type="dxa"/>
          </w:tcPr>
          <w:p w14:paraId="429C8563" w14:textId="4395DA88" w:rsidR="002A2B11" w:rsidRDefault="002A2B11" w:rsidP="002A2B11">
            <w:pPr>
              <w:spacing w:line="360" w:lineRule="auto"/>
              <w:jc w:val="center"/>
              <w:rPr>
                <w:rFonts w:ascii="Arial" w:hAnsi="Arial" w:cs="Arial"/>
                <w:sz w:val="28"/>
                <w:szCs w:val="28"/>
              </w:rPr>
            </w:pPr>
            <w:r>
              <w:rPr>
                <w:rFonts w:ascii="Arial" w:hAnsi="Arial" w:cs="Arial"/>
                <w:sz w:val="28"/>
                <w:szCs w:val="28"/>
              </w:rPr>
              <w:t>125,9</w:t>
            </w:r>
          </w:p>
        </w:tc>
      </w:tr>
      <w:tr w:rsidR="002A2B11" w14:paraId="5E84B3BE" w14:textId="77777777" w:rsidTr="002A2B11">
        <w:tc>
          <w:tcPr>
            <w:tcW w:w="3018" w:type="dxa"/>
          </w:tcPr>
          <w:p w14:paraId="24ABC322" w14:textId="4B1EF546" w:rsidR="002A2B11" w:rsidRPr="002A2B11" w:rsidRDefault="002A2B11" w:rsidP="002A2B11">
            <w:pPr>
              <w:spacing w:line="360" w:lineRule="auto"/>
              <w:jc w:val="center"/>
              <w:rPr>
                <w:rFonts w:ascii="Arial" w:hAnsi="Arial" w:cs="Arial"/>
                <w:b/>
                <w:bCs/>
                <w:sz w:val="28"/>
                <w:szCs w:val="28"/>
              </w:rPr>
            </w:pPr>
            <w:r w:rsidRPr="002A2B11">
              <w:rPr>
                <w:rFonts w:ascii="Arial" w:hAnsi="Arial" w:cs="Arial"/>
                <w:b/>
                <w:bCs/>
                <w:sz w:val="28"/>
                <w:szCs w:val="28"/>
              </w:rPr>
              <w:t>TOTAL</w:t>
            </w:r>
          </w:p>
        </w:tc>
        <w:tc>
          <w:tcPr>
            <w:tcW w:w="3019" w:type="dxa"/>
          </w:tcPr>
          <w:p w14:paraId="6C69B45C" w14:textId="2E55C6F1" w:rsidR="002A2B11" w:rsidRPr="002A2B11" w:rsidRDefault="002A2B11" w:rsidP="002A2B11">
            <w:pPr>
              <w:spacing w:line="360" w:lineRule="auto"/>
              <w:jc w:val="center"/>
              <w:rPr>
                <w:rFonts w:ascii="Arial" w:hAnsi="Arial" w:cs="Arial"/>
                <w:b/>
                <w:bCs/>
                <w:sz w:val="28"/>
                <w:szCs w:val="28"/>
              </w:rPr>
            </w:pPr>
            <w:r w:rsidRPr="002A2B11">
              <w:rPr>
                <w:rFonts w:ascii="Arial" w:hAnsi="Arial" w:cs="Arial"/>
                <w:b/>
                <w:bCs/>
                <w:sz w:val="28"/>
                <w:szCs w:val="28"/>
              </w:rPr>
              <w:t>159,4</w:t>
            </w:r>
          </w:p>
        </w:tc>
        <w:tc>
          <w:tcPr>
            <w:tcW w:w="3019" w:type="dxa"/>
          </w:tcPr>
          <w:p w14:paraId="2E39126D" w14:textId="16AB2ED1" w:rsidR="002A2B11" w:rsidRPr="002A2B11" w:rsidRDefault="002A2B11" w:rsidP="002A2B11">
            <w:pPr>
              <w:spacing w:line="360" w:lineRule="auto"/>
              <w:jc w:val="center"/>
              <w:rPr>
                <w:rFonts w:ascii="Arial" w:hAnsi="Arial" w:cs="Arial"/>
                <w:b/>
                <w:bCs/>
                <w:sz w:val="28"/>
                <w:szCs w:val="28"/>
              </w:rPr>
            </w:pPr>
            <w:r w:rsidRPr="002A2B11">
              <w:rPr>
                <w:rFonts w:ascii="Arial" w:hAnsi="Arial" w:cs="Arial"/>
                <w:b/>
                <w:bCs/>
                <w:sz w:val="28"/>
                <w:szCs w:val="28"/>
              </w:rPr>
              <w:t>125,9</w:t>
            </w:r>
          </w:p>
        </w:tc>
      </w:tr>
    </w:tbl>
    <w:p w14:paraId="44895BFC" w14:textId="402FCE35" w:rsidR="002A2B11" w:rsidRDefault="002A2B11" w:rsidP="00891612">
      <w:pPr>
        <w:spacing w:line="360" w:lineRule="auto"/>
        <w:jc w:val="both"/>
        <w:rPr>
          <w:rFonts w:ascii="Arial" w:hAnsi="Arial" w:cs="Arial"/>
          <w:sz w:val="28"/>
          <w:szCs w:val="28"/>
        </w:rPr>
      </w:pPr>
    </w:p>
    <w:p w14:paraId="673BFF81" w14:textId="2FBF5B09" w:rsidR="002A2B11" w:rsidRDefault="002A2B11" w:rsidP="00891612">
      <w:pPr>
        <w:spacing w:line="360" w:lineRule="auto"/>
        <w:jc w:val="both"/>
        <w:rPr>
          <w:rFonts w:ascii="Arial" w:hAnsi="Arial" w:cs="Arial"/>
          <w:sz w:val="28"/>
          <w:szCs w:val="28"/>
        </w:rPr>
      </w:pPr>
      <w:r>
        <w:rPr>
          <w:rFonts w:ascii="Arial" w:hAnsi="Arial" w:cs="Arial"/>
          <w:sz w:val="28"/>
          <w:szCs w:val="28"/>
        </w:rPr>
        <w:t>Une analyse plus fine permet de chiffrer en 2021 le coût d’un cabinet ministériel de plein exercice à 4,8 millions d’euros, celui d’un ministre délégué à 2,2 millions et celui d’un secrétaire d’État à 1,6 millions.</w:t>
      </w:r>
    </w:p>
    <w:p w14:paraId="5B142988" w14:textId="08D8BF05" w:rsidR="002A2B11" w:rsidRDefault="00CF2B4E" w:rsidP="00891612">
      <w:pPr>
        <w:spacing w:line="360" w:lineRule="auto"/>
        <w:jc w:val="both"/>
        <w:rPr>
          <w:rFonts w:ascii="Arial" w:hAnsi="Arial" w:cs="Arial"/>
          <w:sz w:val="28"/>
          <w:szCs w:val="28"/>
        </w:rPr>
      </w:pPr>
      <w:r>
        <w:rPr>
          <w:rFonts w:ascii="Arial" w:hAnsi="Arial" w:cs="Arial"/>
          <w:sz w:val="28"/>
          <w:szCs w:val="28"/>
        </w:rPr>
        <w:t>Malgré les progrès accomplis, au fil des années, ce document annexé au projet de loi de finances devrait être complété comme le réclame l’observatoire de l’éthique publique et, plus récemment la Cour des comptes. Ainsi, la Cour dans l’examen des crédits du cabinet du ministre des Outre-Mer préconise d’identifier précisément les crédits alloués aux dépenses de fonctionnement et de représentation du cabinet, aujourd’hui non connues. De même elle estime judicieux en s’appuyant sur des critères objectifs, tel que le niveau des fonctions exercées, d’aboutir à une échelle de rémunérations claire, objective et sans ambiguïté pour les collaborateurs de cabinets.</w:t>
      </w:r>
    </w:p>
    <w:p w14:paraId="7E24CF8C" w14:textId="3586B3EC" w:rsidR="00CF2B4E" w:rsidRDefault="00CF2B4E" w:rsidP="00891612">
      <w:pPr>
        <w:spacing w:line="360" w:lineRule="auto"/>
        <w:jc w:val="both"/>
        <w:rPr>
          <w:rFonts w:ascii="Arial" w:hAnsi="Arial" w:cs="Arial"/>
          <w:sz w:val="28"/>
          <w:szCs w:val="28"/>
        </w:rPr>
      </w:pPr>
      <w:r>
        <w:rPr>
          <w:rFonts w:ascii="Arial" w:hAnsi="Arial" w:cs="Arial"/>
          <w:sz w:val="28"/>
          <w:szCs w:val="28"/>
        </w:rPr>
        <w:lastRenderedPageBreak/>
        <w:t xml:space="preserve">Enfin la Cour </w:t>
      </w:r>
      <w:r w:rsidR="00B1473B">
        <w:rPr>
          <w:rFonts w:ascii="Arial" w:hAnsi="Arial" w:cs="Arial"/>
          <w:sz w:val="28"/>
          <w:szCs w:val="28"/>
        </w:rPr>
        <w:t>souhaite l’apparition de règles claires et transparentes concernant l’attribution des indemnités de sujétions particulières réparties aujourd’hui à la liberté d’appréciation du ministre.</w:t>
      </w:r>
    </w:p>
    <w:p w14:paraId="0BB12853" w14:textId="681F77EC" w:rsidR="00B1473B" w:rsidRDefault="00B1473B" w:rsidP="00891612">
      <w:pPr>
        <w:spacing w:line="360" w:lineRule="auto"/>
        <w:jc w:val="both"/>
        <w:rPr>
          <w:rFonts w:ascii="Arial" w:hAnsi="Arial" w:cs="Arial"/>
          <w:sz w:val="28"/>
          <w:szCs w:val="28"/>
        </w:rPr>
      </w:pPr>
      <w:r>
        <w:rPr>
          <w:rFonts w:ascii="Arial" w:hAnsi="Arial" w:cs="Arial"/>
          <w:sz w:val="28"/>
          <w:szCs w:val="28"/>
        </w:rPr>
        <w:t xml:space="preserve">Ces trois améliorations sont préconisées également par l’observatoire de l’éthique publique, que j’ai l’honneur de présider, au nom de la transparence constructive qui constitue notre ligne directrice. Il faut souhaiter qu’elles </w:t>
      </w:r>
      <w:proofErr w:type="gramStart"/>
      <w:r>
        <w:rPr>
          <w:rFonts w:ascii="Arial" w:hAnsi="Arial" w:cs="Arial"/>
          <w:sz w:val="28"/>
          <w:szCs w:val="28"/>
        </w:rPr>
        <w:t>apparaitront</w:t>
      </w:r>
      <w:proofErr w:type="gramEnd"/>
      <w:r>
        <w:rPr>
          <w:rFonts w:ascii="Arial" w:hAnsi="Arial" w:cs="Arial"/>
          <w:sz w:val="28"/>
          <w:szCs w:val="28"/>
        </w:rPr>
        <w:t xml:space="preserve"> dans le prochain document sur les cabinets ministériels.</w:t>
      </w:r>
    </w:p>
    <w:p w14:paraId="1A48908C" w14:textId="6CDE0F57" w:rsidR="00B1473B" w:rsidRDefault="00B1473B" w:rsidP="00891612">
      <w:pPr>
        <w:spacing w:line="360" w:lineRule="auto"/>
        <w:jc w:val="both"/>
        <w:rPr>
          <w:rFonts w:ascii="Arial" w:hAnsi="Arial" w:cs="Arial"/>
          <w:sz w:val="28"/>
          <w:szCs w:val="28"/>
        </w:rPr>
      </w:pPr>
    </w:p>
    <w:p w14:paraId="1DFF7D8F" w14:textId="6D80A1A6" w:rsidR="00B1473B" w:rsidRDefault="00B1473B" w:rsidP="00891612">
      <w:pPr>
        <w:spacing w:line="360" w:lineRule="auto"/>
        <w:jc w:val="both"/>
        <w:rPr>
          <w:rFonts w:ascii="Arial" w:hAnsi="Arial" w:cs="Arial"/>
          <w:sz w:val="28"/>
          <w:szCs w:val="28"/>
        </w:rPr>
      </w:pPr>
    </w:p>
    <w:p w14:paraId="7AC6612D" w14:textId="278AEF90" w:rsidR="00B1473B" w:rsidRDefault="00B1473B" w:rsidP="00891612">
      <w:pPr>
        <w:spacing w:line="360" w:lineRule="auto"/>
        <w:jc w:val="both"/>
        <w:rPr>
          <w:rFonts w:ascii="Arial" w:hAnsi="Arial" w:cs="Arial"/>
          <w:sz w:val="28"/>
          <w:szCs w:val="28"/>
        </w:rPr>
      </w:pPr>
    </w:p>
    <w:p w14:paraId="181536AA" w14:textId="00DED8F3" w:rsidR="00B1473B" w:rsidRDefault="00B1473B" w:rsidP="00891612">
      <w:pPr>
        <w:spacing w:line="360" w:lineRule="auto"/>
        <w:jc w:val="both"/>
        <w:rPr>
          <w:rFonts w:ascii="Arial" w:hAnsi="Arial" w:cs="Arial"/>
          <w:sz w:val="28"/>
          <w:szCs w:val="28"/>
        </w:rPr>
      </w:pPr>
    </w:p>
    <w:p w14:paraId="1DE75DFF" w14:textId="6E6FE5B5" w:rsidR="00B1473B" w:rsidRPr="00891612" w:rsidRDefault="00B1473B" w:rsidP="00B1473B">
      <w:pPr>
        <w:spacing w:line="360" w:lineRule="auto"/>
        <w:ind w:left="4248" w:firstLine="708"/>
        <w:jc w:val="both"/>
        <w:rPr>
          <w:rFonts w:ascii="Arial" w:hAnsi="Arial" w:cs="Arial"/>
          <w:sz w:val="28"/>
          <w:szCs w:val="28"/>
        </w:rPr>
      </w:pPr>
    </w:p>
    <w:sectPr w:rsidR="00B1473B" w:rsidRPr="00891612" w:rsidSect="0046707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7A15" w14:textId="77777777" w:rsidR="00492965" w:rsidRDefault="00492965" w:rsidP="00891612">
      <w:r>
        <w:separator/>
      </w:r>
    </w:p>
  </w:endnote>
  <w:endnote w:type="continuationSeparator" w:id="0">
    <w:p w14:paraId="1B6EBDC7" w14:textId="77777777" w:rsidR="00492965" w:rsidRDefault="00492965" w:rsidP="0089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A0D1" w14:textId="77777777" w:rsidR="00492965" w:rsidRDefault="00492965" w:rsidP="00891612">
      <w:r>
        <w:separator/>
      </w:r>
    </w:p>
  </w:footnote>
  <w:footnote w:type="continuationSeparator" w:id="0">
    <w:p w14:paraId="465B2D8C" w14:textId="77777777" w:rsidR="00492965" w:rsidRDefault="00492965" w:rsidP="00891612">
      <w:r>
        <w:continuationSeparator/>
      </w:r>
    </w:p>
  </w:footnote>
  <w:footnote w:id="1">
    <w:p w14:paraId="696F96AF" w14:textId="610D2953" w:rsidR="00891612" w:rsidRDefault="00891612">
      <w:pPr>
        <w:pStyle w:val="Notedebasdepage"/>
      </w:pPr>
      <w:r>
        <w:rPr>
          <w:rStyle w:val="Appelnotedebasdep"/>
        </w:rPr>
        <w:footnoteRef/>
      </w:r>
      <w:r>
        <w:t xml:space="preserve"> Alors qu’en 2019 on comptait 6,5 personnes-support par conseiller ministériel, j’avais retenu un ratio de 4,8 qui s’est révélé encore trop élevé puisqu’en 2021 il s’élève à 4 par conseiller.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12"/>
    <w:rsid w:val="000F57C7"/>
    <w:rsid w:val="00206898"/>
    <w:rsid w:val="002A2B11"/>
    <w:rsid w:val="00467076"/>
    <w:rsid w:val="0049105D"/>
    <w:rsid w:val="00492965"/>
    <w:rsid w:val="006F6FD9"/>
    <w:rsid w:val="00730AD6"/>
    <w:rsid w:val="00891612"/>
    <w:rsid w:val="0093646E"/>
    <w:rsid w:val="00B02FCE"/>
    <w:rsid w:val="00B03B5F"/>
    <w:rsid w:val="00B1473B"/>
    <w:rsid w:val="00C84DF1"/>
    <w:rsid w:val="00CF2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9BCD48"/>
  <w15:chartTrackingRefBased/>
  <w15:docId w15:val="{D2210694-FE85-CE48-9908-49DA63E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1612"/>
    <w:rPr>
      <w:sz w:val="20"/>
      <w:szCs w:val="20"/>
    </w:rPr>
  </w:style>
  <w:style w:type="character" w:customStyle="1" w:styleId="NotedebasdepageCar">
    <w:name w:val="Note de bas de page Car"/>
    <w:basedOn w:val="Policepardfaut"/>
    <w:link w:val="Notedebasdepage"/>
    <w:uiPriority w:val="99"/>
    <w:semiHidden/>
    <w:rsid w:val="00891612"/>
    <w:rPr>
      <w:sz w:val="20"/>
      <w:szCs w:val="20"/>
    </w:rPr>
  </w:style>
  <w:style w:type="character" w:styleId="Appelnotedebasdep">
    <w:name w:val="footnote reference"/>
    <w:basedOn w:val="Policepardfaut"/>
    <w:uiPriority w:val="99"/>
    <w:semiHidden/>
    <w:unhideWhenUsed/>
    <w:rsid w:val="00891612"/>
    <w:rPr>
      <w:vertAlign w:val="superscript"/>
    </w:rPr>
  </w:style>
  <w:style w:type="table" w:styleId="Grilledutableau">
    <w:name w:val="Table Grid"/>
    <w:basedOn w:val="TableauNormal"/>
    <w:uiPriority w:val="39"/>
    <w:rsid w:val="002A2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BEFB-4C13-D746-AABE-D678FE54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lahouali cherif</dc:creator>
  <cp:keywords/>
  <dc:description/>
  <cp:lastModifiedBy>lahouali cherif</cp:lastModifiedBy>
  <cp:revision>7</cp:revision>
  <dcterms:created xsi:type="dcterms:W3CDTF">2021-10-11T07:50:00Z</dcterms:created>
  <dcterms:modified xsi:type="dcterms:W3CDTF">2021-10-13T15:21:00Z</dcterms:modified>
</cp:coreProperties>
</file>