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578C" w:rsidRDefault="00453A39" w:rsidP="00453A39">
      <w:pPr>
        <w:spacing w:line="360" w:lineRule="auto"/>
        <w:jc w:val="center"/>
        <w:rPr>
          <w:rFonts w:ascii="Garamond" w:hAnsi="Garamond"/>
          <w:sz w:val="32"/>
          <w:szCs w:val="32"/>
        </w:rPr>
      </w:pPr>
      <w:r w:rsidRPr="00453A39">
        <w:rPr>
          <w:rFonts w:ascii="Garamond" w:hAnsi="Garamond"/>
          <w:sz w:val="32"/>
          <w:szCs w:val="32"/>
        </w:rPr>
        <w:t xml:space="preserve">Quelques remarques </w:t>
      </w:r>
      <w:r w:rsidR="00C9666B">
        <w:rPr>
          <w:rFonts w:ascii="Garamond" w:hAnsi="Garamond"/>
          <w:sz w:val="32"/>
          <w:szCs w:val="32"/>
        </w:rPr>
        <w:t xml:space="preserve">à propos du </w:t>
      </w:r>
      <w:r w:rsidRPr="00453A39">
        <w:rPr>
          <w:rFonts w:ascii="Garamond" w:hAnsi="Garamond"/>
          <w:sz w:val="32"/>
          <w:szCs w:val="32"/>
        </w:rPr>
        <w:t>rapport de la Cour des comptes sur le budget 2019 de l’Élysée</w:t>
      </w:r>
    </w:p>
    <w:p w:rsidR="00453A39" w:rsidRDefault="00453A39" w:rsidP="00453A39">
      <w:pPr>
        <w:spacing w:line="360" w:lineRule="auto"/>
        <w:jc w:val="center"/>
        <w:rPr>
          <w:rFonts w:ascii="Garamond" w:hAnsi="Garamond"/>
          <w:sz w:val="32"/>
          <w:szCs w:val="32"/>
        </w:rPr>
      </w:pPr>
    </w:p>
    <w:p w:rsidR="00453A39" w:rsidRDefault="00453A39" w:rsidP="00453A39">
      <w:pPr>
        <w:spacing w:line="360" w:lineRule="auto"/>
        <w:jc w:val="center"/>
        <w:rPr>
          <w:rFonts w:ascii="Garamond" w:hAnsi="Garamond"/>
          <w:sz w:val="32"/>
          <w:szCs w:val="32"/>
        </w:rPr>
      </w:pPr>
    </w:p>
    <w:p w:rsidR="00453A39" w:rsidRDefault="00453A39" w:rsidP="00453A39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53A39">
        <w:rPr>
          <w:rFonts w:ascii="Garamond" w:hAnsi="Garamond"/>
          <w:sz w:val="28"/>
          <w:szCs w:val="28"/>
          <w:u w:val="single"/>
        </w:rPr>
        <w:t>Analyse de la masse salariale</w:t>
      </w:r>
      <w:r>
        <w:rPr>
          <w:rFonts w:ascii="Garamond" w:hAnsi="Garamond"/>
          <w:sz w:val="28"/>
          <w:szCs w:val="28"/>
        </w:rPr>
        <w:t xml:space="preserve"> : </w:t>
      </w:r>
    </w:p>
    <w:p w:rsidR="00453A39" w:rsidRDefault="00453A39" w:rsidP="00453A39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L’année dernière, la Cour des comptes s’était penchée avec rigueur et précision sur l’évolution de la masse salariale de l’Élysée qui constitue le poste le plus important </w:t>
      </w:r>
      <w:r w:rsidR="00C9666B">
        <w:rPr>
          <w:rFonts w:ascii="Garamond" w:hAnsi="Garamond"/>
          <w:sz w:val="28"/>
          <w:szCs w:val="28"/>
        </w:rPr>
        <w:t xml:space="preserve">de la </w:t>
      </w:r>
      <w:r w:rsidR="00A824F9">
        <w:rPr>
          <w:rFonts w:ascii="Garamond" w:hAnsi="Garamond"/>
          <w:sz w:val="28"/>
          <w:szCs w:val="28"/>
        </w:rPr>
        <w:t>dépense (</w:t>
      </w:r>
      <w:r>
        <w:rPr>
          <w:rFonts w:ascii="Garamond" w:hAnsi="Garamond"/>
          <w:sz w:val="28"/>
          <w:szCs w:val="28"/>
        </w:rPr>
        <w:t>67%).</w:t>
      </w:r>
    </w:p>
    <w:p w:rsidR="00453A39" w:rsidRDefault="00453A39" w:rsidP="00453A39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Elle avait </w:t>
      </w:r>
      <w:r w:rsidR="00C9666B">
        <w:rPr>
          <w:rFonts w:ascii="Garamond" w:hAnsi="Garamond"/>
          <w:sz w:val="28"/>
          <w:szCs w:val="28"/>
        </w:rPr>
        <w:t>mis en évidence les difficultés du</w:t>
      </w:r>
      <w:r>
        <w:rPr>
          <w:rFonts w:ascii="Garamond" w:hAnsi="Garamond"/>
          <w:sz w:val="28"/>
          <w:szCs w:val="28"/>
        </w:rPr>
        <w:t xml:space="preserve"> pilotage budgétaire de cette masse </w:t>
      </w:r>
      <w:r w:rsidR="00A824F9">
        <w:rPr>
          <w:rFonts w:ascii="Garamond" w:hAnsi="Garamond"/>
          <w:sz w:val="28"/>
          <w:szCs w:val="28"/>
        </w:rPr>
        <w:t>salariale, notamment</w:t>
      </w:r>
      <w:r w:rsidR="00C9666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par trois motifs : </w:t>
      </w:r>
    </w:p>
    <w:p w:rsidR="00453A39" w:rsidRDefault="00453A39" w:rsidP="00453A39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453A39">
        <w:rPr>
          <w:rFonts w:ascii="Garamond" w:hAnsi="Garamond"/>
          <w:sz w:val="28"/>
          <w:szCs w:val="28"/>
        </w:rPr>
        <w:t>La présidence ne fixe pas les déterminants de la rémunération des personnels mis à disposition</w:t>
      </w:r>
      <w:r w:rsidR="00C9666B">
        <w:rPr>
          <w:rFonts w:ascii="Garamond" w:hAnsi="Garamond"/>
          <w:sz w:val="28"/>
          <w:szCs w:val="28"/>
        </w:rPr>
        <w:t xml:space="preserve"> car ils continuent </w:t>
      </w:r>
      <w:r w:rsidR="00A824F9">
        <w:rPr>
          <w:rFonts w:ascii="Garamond" w:hAnsi="Garamond"/>
          <w:sz w:val="28"/>
          <w:szCs w:val="28"/>
        </w:rPr>
        <w:t xml:space="preserve">à </w:t>
      </w:r>
      <w:r w:rsidR="00A824F9" w:rsidRPr="00453A39">
        <w:rPr>
          <w:rFonts w:ascii="Garamond" w:hAnsi="Garamond"/>
          <w:sz w:val="28"/>
          <w:szCs w:val="28"/>
        </w:rPr>
        <w:t>être</w:t>
      </w:r>
      <w:r w:rsidR="00C9666B">
        <w:rPr>
          <w:rFonts w:ascii="Garamond" w:hAnsi="Garamond"/>
          <w:sz w:val="28"/>
          <w:szCs w:val="28"/>
        </w:rPr>
        <w:t xml:space="preserve"> établis </w:t>
      </w:r>
      <w:r w:rsidRPr="00453A39">
        <w:rPr>
          <w:rFonts w:ascii="Garamond" w:hAnsi="Garamond"/>
          <w:sz w:val="28"/>
          <w:szCs w:val="28"/>
        </w:rPr>
        <w:t xml:space="preserve">par les administrations </w:t>
      </w:r>
      <w:r w:rsidR="00A824F9" w:rsidRPr="00453A39">
        <w:rPr>
          <w:rFonts w:ascii="Garamond" w:hAnsi="Garamond"/>
          <w:sz w:val="28"/>
          <w:szCs w:val="28"/>
        </w:rPr>
        <w:t>d’origine.</w:t>
      </w:r>
    </w:p>
    <w:p w:rsidR="00453A39" w:rsidRDefault="00453A39" w:rsidP="00453A39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La comptabilisation des effectifs n’est pas quantifiée </w:t>
      </w:r>
      <w:r w:rsidR="00C9666B">
        <w:rPr>
          <w:rFonts w:ascii="Garamond" w:hAnsi="Garamond"/>
          <w:sz w:val="28"/>
          <w:szCs w:val="28"/>
        </w:rPr>
        <w:t xml:space="preserve">avec précision </w:t>
      </w:r>
      <w:r>
        <w:rPr>
          <w:rFonts w:ascii="Garamond" w:hAnsi="Garamond"/>
          <w:sz w:val="28"/>
          <w:szCs w:val="28"/>
        </w:rPr>
        <w:t>mais</w:t>
      </w:r>
      <w:r w:rsidR="00C9666B">
        <w:rPr>
          <w:rFonts w:ascii="Garamond" w:hAnsi="Garamond"/>
          <w:sz w:val="28"/>
          <w:szCs w:val="28"/>
        </w:rPr>
        <w:t xml:space="preserve"> résulte </w:t>
      </w:r>
      <w:r>
        <w:rPr>
          <w:rFonts w:ascii="Garamond" w:hAnsi="Garamond"/>
          <w:sz w:val="28"/>
          <w:szCs w:val="28"/>
        </w:rPr>
        <w:t>d’une évaluation moyenne</w:t>
      </w:r>
      <w:r w:rsidR="00C9666B">
        <w:rPr>
          <w:rFonts w:ascii="Garamond" w:hAnsi="Garamond"/>
          <w:sz w:val="28"/>
          <w:szCs w:val="28"/>
        </w:rPr>
        <w:t xml:space="preserve"> annuelle.</w:t>
      </w:r>
    </w:p>
    <w:p w:rsidR="00453A39" w:rsidRDefault="00453A39" w:rsidP="00453A39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 fonctionnement de la présidence fait coexister des indemnités</w:t>
      </w:r>
      <w:r w:rsidR="00C9666B">
        <w:rPr>
          <w:rFonts w:ascii="Garamond" w:hAnsi="Garamond"/>
          <w:sz w:val="28"/>
          <w:szCs w:val="28"/>
        </w:rPr>
        <w:t xml:space="preserve"> de sujétions </w:t>
      </w:r>
      <w:r w:rsidR="00A824F9">
        <w:rPr>
          <w:rFonts w:ascii="Garamond" w:hAnsi="Garamond"/>
          <w:sz w:val="28"/>
          <w:szCs w:val="28"/>
        </w:rPr>
        <w:t>particulières et</w:t>
      </w:r>
      <w:r>
        <w:rPr>
          <w:rFonts w:ascii="Garamond" w:hAnsi="Garamond"/>
          <w:sz w:val="28"/>
          <w:szCs w:val="28"/>
        </w:rPr>
        <w:t xml:space="preserve"> </w:t>
      </w:r>
      <w:r w:rsidR="00C9666B">
        <w:rPr>
          <w:rFonts w:ascii="Garamond" w:hAnsi="Garamond"/>
          <w:sz w:val="28"/>
          <w:szCs w:val="28"/>
        </w:rPr>
        <w:t xml:space="preserve">l’attribution </w:t>
      </w:r>
      <w:r w:rsidR="00A824F9">
        <w:rPr>
          <w:rFonts w:ascii="Garamond" w:hAnsi="Garamond"/>
          <w:sz w:val="28"/>
          <w:szCs w:val="28"/>
        </w:rPr>
        <w:t>d’heures</w:t>
      </w:r>
      <w:r>
        <w:rPr>
          <w:rFonts w:ascii="Garamond" w:hAnsi="Garamond"/>
          <w:sz w:val="28"/>
          <w:szCs w:val="28"/>
        </w:rPr>
        <w:t xml:space="preserve"> supplémentaires qui ont la même finalité : compenser les sujétions auxquelles les agents sont astreints.</w:t>
      </w:r>
    </w:p>
    <w:p w:rsidR="00453A39" w:rsidRDefault="00453A39" w:rsidP="00453A39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Le rapport de cette année </w:t>
      </w:r>
      <w:r w:rsidR="00C9666B">
        <w:rPr>
          <w:rFonts w:ascii="Garamond" w:hAnsi="Garamond"/>
          <w:sz w:val="28"/>
          <w:szCs w:val="28"/>
        </w:rPr>
        <w:t xml:space="preserve"> ne revient pas </w:t>
      </w:r>
      <w:r w:rsidR="001E24AA">
        <w:rPr>
          <w:rFonts w:ascii="Garamond" w:hAnsi="Garamond"/>
          <w:sz w:val="28"/>
          <w:szCs w:val="28"/>
        </w:rPr>
        <w:t xml:space="preserve">sur ces aspects et </w:t>
      </w:r>
      <w:r>
        <w:rPr>
          <w:rFonts w:ascii="Garamond" w:hAnsi="Garamond"/>
          <w:sz w:val="28"/>
          <w:szCs w:val="28"/>
        </w:rPr>
        <w:t>se contente de dire que la présidence</w:t>
      </w:r>
      <w:r w:rsidR="001E24AA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n’a pas modifié</w:t>
      </w:r>
      <w:r w:rsidR="001E24AA">
        <w:rPr>
          <w:rFonts w:ascii="Garamond" w:hAnsi="Garamond"/>
          <w:sz w:val="28"/>
          <w:szCs w:val="28"/>
        </w:rPr>
        <w:t xml:space="preserve"> son fonctionnement sur ce point.</w:t>
      </w:r>
    </w:p>
    <w:p w:rsidR="002A26F2" w:rsidRDefault="002A26F2" w:rsidP="00453A39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En outre, d’une année sur l’autre, le périmètre de la présentation budgétaire change, ce qui complique les évaluations.</w:t>
      </w:r>
    </w:p>
    <w:p w:rsidR="002A26F2" w:rsidRDefault="002A26F2" w:rsidP="00453A39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Ainsi, entre 2017 et 2018, l’effectif croît de +1,4% mais la masse sa</w:t>
      </w:r>
      <w:r w:rsidR="001E24AA">
        <w:rPr>
          <w:rFonts w:ascii="Garamond" w:hAnsi="Garamond"/>
          <w:sz w:val="28"/>
          <w:szCs w:val="28"/>
        </w:rPr>
        <w:t xml:space="preserve">lariale de 4,2% (selon la </w:t>
      </w:r>
      <w:r w:rsidR="00A824F9">
        <w:rPr>
          <w:rFonts w:ascii="Garamond" w:hAnsi="Garamond"/>
          <w:sz w:val="28"/>
          <w:szCs w:val="28"/>
        </w:rPr>
        <w:t>Cour) alors</w:t>
      </w:r>
      <w:r w:rsidR="001E24AA">
        <w:rPr>
          <w:rFonts w:ascii="Garamond" w:hAnsi="Garamond"/>
          <w:sz w:val="28"/>
          <w:szCs w:val="28"/>
        </w:rPr>
        <w:t xml:space="preserve"> </w:t>
      </w:r>
      <w:r w:rsidR="00A824F9">
        <w:rPr>
          <w:rFonts w:ascii="Garamond" w:hAnsi="Garamond"/>
          <w:sz w:val="28"/>
          <w:szCs w:val="28"/>
        </w:rPr>
        <w:t>que le</w:t>
      </w:r>
      <w:r w:rsidR="001E24AA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document officiel</w:t>
      </w:r>
      <w:r w:rsidR="001E24AA">
        <w:rPr>
          <w:rFonts w:ascii="Garamond" w:hAnsi="Garamond"/>
          <w:sz w:val="28"/>
          <w:szCs w:val="28"/>
        </w:rPr>
        <w:t xml:space="preserve"> de l’Elysée </w:t>
      </w:r>
      <w:r>
        <w:rPr>
          <w:rFonts w:ascii="Garamond" w:hAnsi="Garamond"/>
          <w:sz w:val="28"/>
          <w:szCs w:val="28"/>
        </w:rPr>
        <w:t xml:space="preserve"> </w:t>
      </w:r>
      <w:r w:rsidR="001E24AA">
        <w:rPr>
          <w:rFonts w:ascii="Garamond" w:hAnsi="Garamond"/>
          <w:sz w:val="28"/>
          <w:szCs w:val="28"/>
        </w:rPr>
        <w:t xml:space="preserve"> évoque une </w:t>
      </w:r>
      <w:r>
        <w:rPr>
          <w:rFonts w:ascii="Garamond" w:hAnsi="Garamond"/>
          <w:sz w:val="28"/>
          <w:szCs w:val="28"/>
        </w:rPr>
        <w:t>augmentation de +7,1%.</w:t>
      </w:r>
    </w:p>
    <w:p w:rsidR="002A26F2" w:rsidRDefault="002A26F2" w:rsidP="00453A39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Entre 2018 et 2019, l’effectif diminue de 2,5%</w:t>
      </w:r>
      <w:r w:rsidR="001E24AA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mais la masse salariale a</w:t>
      </w:r>
      <w:r w:rsidR="001E24AA">
        <w:rPr>
          <w:rFonts w:ascii="Garamond" w:hAnsi="Garamond"/>
          <w:sz w:val="28"/>
          <w:szCs w:val="28"/>
        </w:rPr>
        <w:t>ugmente de 0,8% (selon la Cour) quand  l</w:t>
      </w:r>
      <w:r>
        <w:rPr>
          <w:rFonts w:ascii="Garamond" w:hAnsi="Garamond"/>
          <w:sz w:val="28"/>
          <w:szCs w:val="28"/>
        </w:rPr>
        <w:t xml:space="preserve">e document officiel de l’Élysée </w:t>
      </w:r>
      <w:r w:rsidR="001E24AA">
        <w:rPr>
          <w:rFonts w:ascii="Garamond" w:hAnsi="Garamond"/>
          <w:sz w:val="28"/>
          <w:szCs w:val="28"/>
        </w:rPr>
        <w:t>parle d’</w:t>
      </w:r>
      <w:r>
        <w:rPr>
          <w:rFonts w:ascii="Garamond" w:hAnsi="Garamond"/>
          <w:sz w:val="28"/>
          <w:szCs w:val="28"/>
        </w:rPr>
        <w:t>une augmentation de +2%.</w:t>
      </w:r>
      <w:r w:rsidR="001E24AA">
        <w:rPr>
          <w:rFonts w:ascii="Garamond" w:hAnsi="Garamond"/>
          <w:sz w:val="28"/>
          <w:szCs w:val="28"/>
        </w:rPr>
        <w:t xml:space="preserve"> </w:t>
      </w:r>
    </w:p>
    <w:p w:rsidR="002A26F2" w:rsidRDefault="001E24AA" w:rsidP="00453A39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Il serait donc souhaitable que l</w:t>
      </w:r>
      <w:r w:rsidR="002A26F2">
        <w:rPr>
          <w:rFonts w:ascii="Garamond" w:hAnsi="Garamond"/>
          <w:sz w:val="28"/>
          <w:szCs w:val="28"/>
        </w:rPr>
        <w:t xml:space="preserve">’analyse des frais de personnel </w:t>
      </w:r>
      <w:r>
        <w:rPr>
          <w:rFonts w:ascii="Garamond" w:hAnsi="Garamond"/>
          <w:sz w:val="28"/>
          <w:szCs w:val="28"/>
        </w:rPr>
        <w:t xml:space="preserve">fasse </w:t>
      </w:r>
      <w:r w:rsidR="002A26F2">
        <w:rPr>
          <w:rFonts w:ascii="Garamond" w:hAnsi="Garamond"/>
          <w:sz w:val="28"/>
          <w:szCs w:val="28"/>
        </w:rPr>
        <w:t>apparaître, de façon précise et à périmètre comparable, les divers aspects de la rémunération (traitement de base, charges patronales, indemnités de sujétion, heures supplémentaires) de manière globale et pour chacune des nouvelles directions.</w:t>
      </w:r>
    </w:p>
    <w:p w:rsidR="002A26F2" w:rsidRDefault="002A26F2" w:rsidP="00453A39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2A26F2" w:rsidRDefault="002A26F2" w:rsidP="00453A39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2A26F2">
        <w:rPr>
          <w:rFonts w:ascii="Garamond" w:hAnsi="Garamond"/>
          <w:sz w:val="28"/>
          <w:szCs w:val="28"/>
          <w:u w:val="single"/>
        </w:rPr>
        <w:t>Le Groupement de Sécurité de la Présidence de la République</w:t>
      </w:r>
      <w:r>
        <w:rPr>
          <w:rFonts w:ascii="Garamond" w:hAnsi="Garamond"/>
          <w:sz w:val="28"/>
          <w:szCs w:val="28"/>
        </w:rPr>
        <w:t xml:space="preserve"> : </w:t>
      </w:r>
    </w:p>
    <w:p w:rsidR="002A26F2" w:rsidRDefault="002A26F2" w:rsidP="00453A39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Concernant les membres du GSPR, les heures supplémentaires font l’objet d’un système particulier sur lequel la Cour </w:t>
      </w:r>
      <w:r w:rsidR="001E24AA">
        <w:rPr>
          <w:rFonts w:ascii="Garamond" w:hAnsi="Garamond"/>
          <w:sz w:val="28"/>
          <w:szCs w:val="28"/>
        </w:rPr>
        <w:t xml:space="preserve"> a plusieurs fois attiré l’attention mais sur lequel elle </w:t>
      </w:r>
      <w:r>
        <w:rPr>
          <w:rFonts w:ascii="Garamond" w:hAnsi="Garamond"/>
          <w:sz w:val="28"/>
          <w:szCs w:val="28"/>
        </w:rPr>
        <w:t>ne s’attarde pas.</w:t>
      </w:r>
      <w:r w:rsidR="00D4595B">
        <w:rPr>
          <w:rFonts w:ascii="Garamond" w:hAnsi="Garamond"/>
          <w:sz w:val="28"/>
          <w:szCs w:val="28"/>
        </w:rPr>
        <w:t xml:space="preserve"> </w:t>
      </w:r>
      <w:r w:rsidR="001E24AA">
        <w:rPr>
          <w:rFonts w:ascii="Garamond" w:hAnsi="Garamond"/>
          <w:sz w:val="28"/>
          <w:szCs w:val="28"/>
        </w:rPr>
        <w:t xml:space="preserve">Elle se garde d’évoquer les propositions de la commission d’enquête sénatoriale </w:t>
      </w:r>
      <w:r w:rsidR="00D4595B">
        <w:rPr>
          <w:rFonts w:ascii="Garamond" w:hAnsi="Garamond"/>
          <w:sz w:val="28"/>
          <w:szCs w:val="28"/>
        </w:rPr>
        <w:t>concernant le cadre juridique de la sécurité du Président.</w:t>
      </w:r>
    </w:p>
    <w:p w:rsidR="002A26F2" w:rsidRDefault="002A26F2" w:rsidP="00453A39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2A26F2" w:rsidRDefault="002A26F2" w:rsidP="00453A39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2A26F2">
        <w:rPr>
          <w:rFonts w:ascii="Garamond" w:hAnsi="Garamond"/>
          <w:sz w:val="28"/>
          <w:szCs w:val="28"/>
          <w:u w:val="single"/>
        </w:rPr>
        <w:t>Le parc automobile</w:t>
      </w:r>
      <w:r>
        <w:rPr>
          <w:rFonts w:ascii="Garamond" w:hAnsi="Garamond"/>
          <w:sz w:val="28"/>
          <w:szCs w:val="28"/>
        </w:rPr>
        <w:t xml:space="preserve"> : </w:t>
      </w:r>
    </w:p>
    <w:p w:rsidR="00D2511B" w:rsidRDefault="002A26F2" w:rsidP="00453A39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La Cour signale que les dépenses de fonctionnement du service automobile ont progressé de 27% sans s’attarder sur les motifs de cette hausse importante. L’année précédente les mêmes dépenses avaient augmenté déjà de 27%, la Cour expliquait cette situation par une plus forte activité présidentielle </w:t>
      </w:r>
      <w:r w:rsidR="00D2511B">
        <w:rPr>
          <w:rFonts w:ascii="Garamond" w:hAnsi="Garamond"/>
          <w:sz w:val="28"/>
          <w:szCs w:val="28"/>
        </w:rPr>
        <w:t>(ce qui n’est plus le cas en 2019) et par un surcoût lié au blindage des véhicules.</w:t>
      </w:r>
    </w:p>
    <w:p w:rsidR="002A26F2" w:rsidRDefault="00D2511B" w:rsidP="00453A39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De même la Cour signale, à nouveau, que le ministre de l’intérieur met à disposition du GSPR 52 véhicules. Dans le passé, la Cour suggérait que leur coût figure dans le budget de l’Élysée. Aucune précision n’est fournie sur ce point.</w:t>
      </w:r>
    </w:p>
    <w:p w:rsidR="00D2511B" w:rsidRDefault="00D2511B" w:rsidP="00453A39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D2511B" w:rsidRDefault="00D2511B" w:rsidP="00453A39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D2511B">
        <w:rPr>
          <w:rFonts w:ascii="Garamond" w:hAnsi="Garamond"/>
          <w:sz w:val="28"/>
          <w:szCs w:val="28"/>
          <w:u w:val="single"/>
        </w:rPr>
        <w:t>Les dépenses de protection juridique</w:t>
      </w:r>
      <w:r>
        <w:rPr>
          <w:rFonts w:ascii="Garamond" w:hAnsi="Garamond"/>
          <w:sz w:val="28"/>
          <w:szCs w:val="28"/>
        </w:rPr>
        <w:t xml:space="preserve"> : </w:t>
      </w:r>
    </w:p>
    <w:p w:rsidR="00D2511B" w:rsidRDefault="00D2511B" w:rsidP="00453A39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Cette rubrique, jusqu’alors anecdotique, fait apparaître une dépense de 159 766 € (2353 € en 2015) dans le cadre d’un plafond fixé à 630 000 € pour 14 prises en charge de frais d’avocats. Aucune précision n’est fournie sur les aff</w:t>
      </w:r>
      <w:r w:rsidR="00D4595B">
        <w:rPr>
          <w:rFonts w:ascii="Garamond" w:hAnsi="Garamond"/>
          <w:sz w:val="28"/>
          <w:szCs w:val="28"/>
        </w:rPr>
        <w:t>aires en question (qui ? quoi ?comment ?)</w:t>
      </w:r>
    </w:p>
    <w:p w:rsidR="00D2511B" w:rsidRDefault="00D2511B" w:rsidP="00453A39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A824F9" w:rsidRDefault="00A824F9" w:rsidP="00453A39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D2511B" w:rsidRDefault="00D2511B" w:rsidP="00453A39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D2511B">
        <w:rPr>
          <w:rFonts w:ascii="Garamond" w:hAnsi="Garamond"/>
          <w:sz w:val="28"/>
          <w:szCs w:val="28"/>
          <w:u w:val="single"/>
        </w:rPr>
        <w:lastRenderedPageBreak/>
        <w:t>Les investissements immobiliers</w:t>
      </w:r>
      <w:r>
        <w:rPr>
          <w:rFonts w:ascii="Garamond" w:hAnsi="Garamond"/>
          <w:sz w:val="28"/>
          <w:szCs w:val="28"/>
        </w:rPr>
        <w:t xml:space="preserve"> : </w:t>
      </w:r>
    </w:p>
    <w:p w:rsidR="00D2511B" w:rsidRDefault="00D2511B" w:rsidP="00453A39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Aucune précision n’est fournie sur l’avancement et le financement des travaux du palais de l’Alma, alors qu’un précédent rapport de la Cour préconisait </w:t>
      </w:r>
      <w:r w:rsidR="00D4595B">
        <w:rPr>
          <w:rFonts w:ascii="Garamond" w:hAnsi="Garamond"/>
          <w:sz w:val="28"/>
          <w:szCs w:val="28"/>
        </w:rPr>
        <w:t xml:space="preserve">d’éviter </w:t>
      </w:r>
      <w:r>
        <w:rPr>
          <w:rFonts w:ascii="Garamond" w:hAnsi="Garamond"/>
          <w:sz w:val="28"/>
          <w:szCs w:val="28"/>
        </w:rPr>
        <w:t xml:space="preserve">le financement </w:t>
      </w:r>
      <w:r w:rsidR="00D4595B">
        <w:rPr>
          <w:rFonts w:ascii="Garamond" w:hAnsi="Garamond"/>
          <w:sz w:val="28"/>
          <w:szCs w:val="28"/>
        </w:rPr>
        <w:t xml:space="preserve">consacré aux </w:t>
      </w:r>
      <w:r>
        <w:rPr>
          <w:rFonts w:ascii="Garamond" w:hAnsi="Garamond"/>
          <w:sz w:val="28"/>
          <w:szCs w:val="28"/>
        </w:rPr>
        <w:t xml:space="preserve">monuments historiques avec le financement </w:t>
      </w:r>
      <w:r w:rsidR="00D4595B">
        <w:rPr>
          <w:rFonts w:ascii="Garamond" w:hAnsi="Garamond"/>
          <w:sz w:val="28"/>
          <w:szCs w:val="28"/>
        </w:rPr>
        <w:t>destiné à l’</w:t>
      </w:r>
      <w:r>
        <w:rPr>
          <w:rFonts w:ascii="Garamond" w:hAnsi="Garamond"/>
          <w:sz w:val="28"/>
          <w:szCs w:val="28"/>
        </w:rPr>
        <w:t>amélioration des bureaux et logements.</w:t>
      </w:r>
    </w:p>
    <w:p w:rsidR="00D2511B" w:rsidRDefault="00D2511B" w:rsidP="00453A39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S’agissant des gros travaux d’investissement à l’initiative de l’OPPIC (opérateur du ministère de la Culture), </w:t>
      </w:r>
      <w:r w:rsidR="00D4595B">
        <w:rPr>
          <w:rFonts w:ascii="Garamond" w:hAnsi="Garamond"/>
          <w:sz w:val="28"/>
          <w:szCs w:val="28"/>
        </w:rPr>
        <w:t xml:space="preserve">si la Cour relève à nouveau </w:t>
      </w:r>
      <w:r>
        <w:rPr>
          <w:rFonts w:ascii="Garamond" w:hAnsi="Garamond"/>
          <w:sz w:val="28"/>
          <w:szCs w:val="28"/>
        </w:rPr>
        <w:t xml:space="preserve">que les crédits prévus ne sont pas utilisés en totalité, </w:t>
      </w:r>
      <w:r w:rsidR="00D4595B">
        <w:rPr>
          <w:rFonts w:ascii="Garamond" w:hAnsi="Garamond"/>
          <w:sz w:val="28"/>
          <w:szCs w:val="28"/>
        </w:rPr>
        <w:t xml:space="preserve">elle n’en indique pas </w:t>
      </w:r>
      <w:r>
        <w:rPr>
          <w:rFonts w:ascii="Garamond" w:hAnsi="Garamond"/>
          <w:sz w:val="28"/>
          <w:szCs w:val="28"/>
        </w:rPr>
        <w:t>les raisons.</w:t>
      </w:r>
    </w:p>
    <w:p w:rsidR="00D2511B" w:rsidRDefault="00D2511B" w:rsidP="00453A39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D2511B" w:rsidRDefault="00D2511B" w:rsidP="00453A39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D2511B">
        <w:rPr>
          <w:rFonts w:ascii="Garamond" w:hAnsi="Garamond"/>
          <w:sz w:val="28"/>
          <w:szCs w:val="28"/>
          <w:u w:val="single"/>
        </w:rPr>
        <w:t>Les déplacements</w:t>
      </w:r>
      <w:r>
        <w:rPr>
          <w:rFonts w:ascii="Garamond" w:hAnsi="Garamond"/>
          <w:sz w:val="28"/>
          <w:szCs w:val="28"/>
        </w:rPr>
        <w:t xml:space="preserve"> : </w:t>
      </w:r>
    </w:p>
    <w:p w:rsidR="00D2511B" w:rsidRDefault="00D2511B" w:rsidP="00453A39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La cour signale que la mise en place d’une direction des opérations a permis de diminuer le coût des déplacements</w:t>
      </w:r>
      <w:r w:rsidR="00D4595B">
        <w:rPr>
          <w:rFonts w:ascii="Garamond" w:hAnsi="Garamond"/>
          <w:sz w:val="28"/>
          <w:szCs w:val="28"/>
        </w:rPr>
        <w:t>, mais ne fournit aucun exemple précis.</w:t>
      </w:r>
    </w:p>
    <w:p w:rsidR="00D2511B" w:rsidRDefault="00D2511B" w:rsidP="00453A39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D2511B" w:rsidRDefault="00D2511B" w:rsidP="00453A39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D2511B">
        <w:rPr>
          <w:rFonts w:ascii="Garamond" w:hAnsi="Garamond"/>
          <w:sz w:val="28"/>
          <w:szCs w:val="28"/>
          <w:u w:val="single"/>
        </w:rPr>
        <w:t>La réorganisation des services de la présidence</w:t>
      </w:r>
      <w:r>
        <w:rPr>
          <w:rFonts w:ascii="Garamond" w:hAnsi="Garamond"/>
          <w:sz w:val="28"/>
          <w:szCs w:val="28"/>
        </w:rPr>
        <w:t> :</w:t>
      </w:r>
    </w:p>
    <w:p w:rsidR="00D2511B" w:rsidRDefault="00D4595B" w:rsidP="00453A39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L’analyse </w:t>
      </w:r>
      <w:r w:rsidR="00D2511B">
        <w:rPr>
          <w:rFonts w:ascii="Garamond" w:hAnsi="Garamond"/>
          <w:sz w:val="28"/>
          <w:szCs w:val="28"/>
        </w:rPr>
        <w:t>concernant cette réorganisation</w:t>
      </w:r>
      <w:r>
        <w:rPr>
          <w:rFonts w:ascii="Garamond" w:hAnsi="Garamond"/>
          <w:sz w:val="28"/>
          <w:szCs w:val="28"/>
        </w:rPr>
        <w:t xml:space="preserve"> novatrice </w:t>
      </w:r>
      <w:r w:rsidR="00D2511B">
        <w:rPr>
          <w:rFonts w:ascii="Garamond" w:hAnsi="Garamond"/>
          <w:sz w:val="28"/>
          <w:szCs w:val="28"/>
        </w:rPr>
        <w:t xml:space="preserve"> </w:t>
      </w:r>
      <w:r w:rsidR="00846D18">
        <w:rPr>
          <w:rFonts w:ascii="Garamond" w:hAnsi="Garamond"/>
          <w:sz w:val="28"/>
          <w:szCs w:val="28"/>
        </w:rPr>
        <w:t xml:space="preserve">reprend les explications générales </w:t>
      </w:r>
      <w:r>
        <w:rPr>
          <w:rFonts w:ascii="Garamond" w:hAnsi="Garamond"/>
          <w:sz w:val="28"/>
          <w:szCs w:val="28"/>
        </w:rPr>
        <w:t xml:space="preserve"> fournies par </w:t>
      </w:r>
      <w:r w:rsidR="00846D18">
        <w:rPr>
          <w:rFonts w:ascii="Garamond" w:hAnsi="Garamond"/>
          <w:sz w:val="28"/>
          <w:szCs w:val="28"/>
        </w:rPr>
        <w:t xml:space="preserve">la présidence, mais ne </w:t>
      </w:r>
      <w:r>
        <w:rPr>
          <w:rFonts w:ascii="Garamond" w:hAnsi="Garamond"/>
          <w:sz w:val="28"/>
          <w:szCs w:val="28"/>
        </w:rPr>
        <w:t xml:space="preserve">donne </w:t>
      </w:r>
      <w:r w:rsidR="00846D18">
        <w:rPr>
          <w:rFonts w:ascii="Garamond" w:hAnsi="Garamond"/>
          <w:sz w:val="28"/>
          <w:szCs w:val="28"/>
        </w:rPr>
        <w:t>aucun exemple précis des améliorations qui en résulte, à l’exception de la diminution de 20% des heures supplémentaires qui apparaît davantage liée à la réduction globale d’activité de la présidence.</w:t>
      </w:r>
    </w:p>
    <w:p w:rsidR="00D2511B" w:rsidRDefault="00D2511B" w:rsidP="00453A39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2A26F2" w:rsidRDefault="002A26F2" w:rsidP="00453A39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2A26F2" w:rsidRDefault="002A26F2" w:rsidP="00453A39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2A26F2" w:rsidRPr="00453A39" w:rsidRDefault="002A26F2" w:rsidP="00453A39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sectPr w:rsidR="002A26F2" w:rsidRPr="00453A39" w:rsidSect="004670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D18D4"/>
    <w:multiLevelType w:val="hybridMultilevel"/>
    <w:tmpl w:val="82547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A39"/>
    <w:rsid w:val="001E0FD2"/>
    <w:rsid w:val="001E24AA"/>
    <w:rsid w:val="002A26F2"/>
    <w:rsid w:val="00453A39"/>
    <w:rsid w:val="00467076"/>
    <w:rsid w:val="0050578C"/>
    <w:rsid w:val="00846D18"/>
    <w:rsid w:val="00A824F9"/>
    <w:rsid w:val="00C9666B"/>
    <w:rsid w:val="00D2511B"/>
    <w:rsid w:val="00D4595B"/>
    <w:rsid w:val="00EC4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D71D"/>
  <w15:docId w15:val="{6017ABF1-EA77-104A-8AB3-ED3E6F62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A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668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lahouali cherif</dc:creator>
  <cp:lastModifiedBy>lahouali cherif</cp:lastModifiedBy>
  <cp:revision>4</cp:revision>
  <dcterms:created xsi:type="dcterms:W3CDTF">2020-08-04T09:39:00Z</dcterms:created>
  <dcterms:modified xsi:type="dcterms:W3CDTF">2020-08-04T09:58:00Z</dcterms:modified>
</cp:coreProperties>
</file>