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59D" w:rsidRDefault="00C5059D" w:rsidP="00C5059D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b/>
          <w:sz w:val="28"/>
          <w:szCs w:val="88"/>
        </w:rPr>
      </w:pPr>
      <w:r w:rsidRPr="00084FB4">
        <w:rPr>
          <w:rFonts w:ascii="Times-Roman" w:hAnsi="Times-Roman" w:cs="Times-Roman"/>
          <w:b/>
          <w:noProof/>
          <w:sz w:val="38"/>
          <w:szCs w:val="88"/>
          <w:lang w:eastAsia="fr-FR"/>
        </w:rPr>
        <w:drawing>
          <wp:anchor distT="0" distB="0" distL="114300" distR="114300" simplePos="0" relativeHeight="251658240" behindDoc="0" locked="0" layoutInCell="1" allowOverlap="1" wp14:anchorId="1128D8B3" wp14:editId="670E144E">
            <wp:simplePos x="2286000" y="901700"/>
            <wp:positionH relativeFrom="margin">
              <wp:align>left</wp:align>
            </wp:positionH>
            <wp:positionV relativeFrom="margin">
              <wp:align>top</wp:align>
            </wp:positionV>
            <wp:extent cx="1930400" cy="2729230"/>
            <wp:effectExtent l="171450" t="171450" r="374650" b="35687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E 135 Troubles du langage et Apprentissag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72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84FB4">
        <w:rPr>
          <w:rFonts w:ascii="Times-Roman" w:hAnsi="Times-Roman" w:cs="Times-Roman"/>
          <w:b/>
          <w:sz w:val="38"/>
          <w:szCs w:val="88"/>
        </w:rPr>
        <w:t>ANAE N° 135</w:t>
      </w:r>
    </w:p>
    <w:p w:rsidR="00084FB4" w:rsidRDefault="00084FB4" w:rsidP="00C5059D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b/>
          <w:sz w:val="28"/>
          <w:szCs w:val="88"/>
        </w:rPr>
      </w:pPr>
      <w:r w:rsidRPr="00A65441">
        <w:rPr>
          <w:rFonts w:ascii="Times-Roman" w:hAnsi="Times-Roman" w:cs="Times-Roman"/>
          <w:i/>
          <w:sz w:val="24"/>
          <w:szCs w:val="88"/>
        </w:rPr>
        <w:t>Année 2015, tome II, septembre</w:t>
      </w:r>
    </w:p>
    <w:p w:rsidR="00C5059D" w:rsidRPr="00C5059D" w:rsidRDefault="00C5059D" w:rsidP="00C5059D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b/>
          <w:sz w:val="28"/>
          <w:szCs w:val="88"/>
        </w:rPr>
      </w:pPr>
    </w:p>
    <w:p w:rsidR="00C5059D" w:rsidRPr="00084FB4" w:rsidRDefault="00C5059D" w:rsidP="00C5059D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b/>
          <w:sz w:val="28"/>
          <w:szCs w:val="88"/>
        </w:rPr>
      </w:pPr>
      <w:r w:rsidRPr="00084FB4">
        <w:rPr>
          <w:rFonts w:ascii="Times-Roman" w:hAnsi="Times-Roman" w:cs="Times-Roman"/>
          <w:b/>
          <w:sz w:val="28"/>
          <w:szCs w:val="88"/>
        </w:rPr>
        <w:t>TROUBLES DU LANGAGE ET APPRENTISSAGES</w:t>
      </w:r>
    </w:p>
    <w:p w:rsidR="00C5059D" w:rsidRDefault="00C5059D" w:rsidP="00C5059D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b/>
          <w:sz w:val="28"/>
          <w:szCs w:val="88"/>
        </w:rPr>
      </w:pPr>
    </w:p>
    <w:p w:rsidR="00C5059D" w:rsidRPr="00084FB4" w:rsidRDefault="00084FB4" w:rsidP="00C5059D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i/>
          <w:sz w:val="24"/>
          <w:szCs w:val="88"/>
        </w:rPr>
      </w:pPr>
      <w:r w:rsidRPr="00084FB4">
        <w:rPr>
          <w:rFonts w:ascii="Times-Roman" w:hAnsi="Times-Roman" w:cs="Times-Roman"/>
          <w:i/>
          <w:sz w:val="24"/>
          <w:szCs w:val="88"/>
        </w:rPr>
        <w:t xml:space="preserve">Dossier coordonné par le Pr J. Grégoire (Université de Louvain) et </w:t>
      </w:r>
      <w:r w:rsidRPr="00084FB4">
        <w:rPr>
          <w:rFonts w:ascii="Times New Roman" w:hAnsi="Times New Roman" w:cs="Times New Roman"/>
          <w:i/>
          <w:iCs/>
          <w:sz w:val="24"/>
          <w:szCs w:val="20"/>
        </w:rPr>
        <w:t>T. Martinez-Perez (Université de Liège), ASELF</w:t>
      </w:r>
    </w:p>
    <w:p w:rsidR="0067562A" w:rsidRDefault="0067562A" w:rsidP="00C5059D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i/>
          <w:sz w:val="24"/>
          <w:szCs w:val="88"/>
        </w:rPr>
      </w:pPr>
    </w:p>
    <w:p w:rsidR="0067562A" w:rsidRPr="002607D2" w:rsidRDefault="0067562A" w:rsidP="00C5059D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b/>
          <w:i/>
          <w:sz w:val="24"/>
          <w:szCs w:val="88"/>
          <w:u w:val="single"/>
        </w:rPr>
      </w:pPr>
      <w:r w:rsidRPr="002607D2">
        <w:rPr>
          <w:rFonts w:ascii="Times-Roman" w:hAnsi="Times-Roman" w:cs="Times-Roman"/>
          <w:b/>
          <w:i/>
          <w:sz w:val="24"/>
          <w:szCs w:val="88"/>
          <w:u w:val="single"/>
        </w:rPr>
        <w:t>Dossier</w:t>
      </w:r>
    </w:p>
    <w:p w:rsidR="00C5059D" w:rsidRDefault="00C5059D" w:rsidP="00C5059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88"/>
        </w:rPr>
      </w:pPr>
    </w:p>
    <w:p w:rsidR="0067562A" w:rsidRDefault="0067562A" w:rsidP="0067562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0"/>
        </w:rPr>
      </w:pPr>
      <w:r w:rsidRPr="0067562A">
        <w:rPr>
          <w:rFonts w:ascii="Times-BoldItalic" w:hAnsi="Times-BoldItalic" w:cs="Times-BoldItalic"/>
          <w:b/>
          <w:bCs/>
          <w:iCs/>
          <w:sz w:val="24"/>
          <w:szCs w:val="20"/>
        </w:rPr>
        <w:t>Jacques Grégoire</w:t>
      </w:r>
      <w:r w:rsidRPr="0067562A">
        <w:rPr>
          <w:rFonts w:ascii="Times-BoldItalic" w:hAnsi="Times-BoldItalic" w:cs="Times-BoldItalic"/>
          <w:b/>
          <w:bCs/>
          <w:i/>
          <w:iCs/>
          <w:sz w:val="24"/>
          <w:szCs w:val="20"/>
        </w:rPr>
        <w:t xml:space="preserve"> </w:t>
      </w:r>
      <w:r w:rsidRPr="0067562A">
        <w:rPr>
          <w:rFonts w:ascii="Times-BoldItalic" w:hAnsi="Times-BoldItalic" w:cs="Times-BoldItalic"/>
          <w:bCs/>
          <w:iCs/>
          <w:sz w:val="24"/>
          <w:szCs w:val="20"/>
        </w:rPr>
        <w:t>traitera de l</w:t>
      </w:r>
      <w:r w:rsidRPr="0067562A">
        <w:rPr>
          <w:rFonts w:ascii="Times-BoldItalic" w:hAnsi="Times-BoldItalic" w:cs="Times-BoldItalic"/>
          <w:bCs/>
          <w:iCs/>
          <w:sz w:val="24"/>
          <w:szCs w:val="20"/>
        </w:rPr>
        <w:t>’évaluation intellectuelle dans l’examen des troubles du langage</w:t>
      </w:r>
      <w:r w:rsidRPr="0067562A">
        <w:rPr>
          <w:rFonts w:ascii="Times-BoldItalic" w:hAnsi="Times-BoldItalic" w:cs="Times-BoldItalic"/>
          <w:bCs/>
          <w:iCs/>
          <w:sz w:val="24"/>
          <w:szCs w:val="20"/>
        </w:rPr>
        <w:t xml:space="preserve">. </w:t>
      </w:r>
      <w:r w:rsidRPr="0067562A">
        <w:rPr>
          <w:rFonts w:ascii="Times-Roman" w:hAnsi="Times-Roman" w:cs="Times-Roman"/>
          <w:sz w:val="24"/>
          <w:szCs w:val="20"/>
        </w:rPr>
        <w:t xml:space="preserve">Les critères diagnostiques des troubles du langage oral et/ou écrit ont évolué. </w:t>
      </w:r>
      <w:r w:rsidR="004C11D9">
        <w:rPr>
          <w:rFonts w:ascii="Times-Roman" w:hAnsi="Times-Roman" w:cs="Times-Roman"/>
          <w:sz w:val="24"/>
          <w:szCs w:val="20"/>
        </w:rPr>
        <w:t xml:space="preserve">Or ces troubles </w:t>
      </w:r>
      <w:r w:rsidRPr="0067562A">
        <w:rPr>
          <w:rFonts w:ascii="Times-Roman" w:hAnsi="Times-Roman" w:cs="Times-Roman"/>
          <w:sz w:val="24"/>
          <w:szCs w:val="20"/>
        </w:rPr>
        <w:t>peuvent avoir un impact négatif sur les mesures de l’intelligence. Se pose dès lors la</w:t>
      </w:r>
      <w:r w:rsidR="004C11D9">
        <w:rPr>
          <w:rFonts w:ascii="Times-Roman" w:hAnsi="Times-Roman" w:cs="Times-Roman"/>
          <w:sz w:val="24"/>
          <w:szCs w:val="20"/>
        </w:rPr>
        <w:t xml:space="preserve"> </w:t>
      </w:r>
      <w:r w:rsidRPr="0067562A">
        <w:rPr>
          <w:rFonts w:ascii="Times-Roman" w:hAnsi="Times-Roman" w:cs="Times-Roman"/>
          <w:sz w:val="24"/>
          <w:szCs w:val="20"/>
        </w:rPr>
        <w:t>question du choix d’un instrument de mesure approprié et de l’interprétation des scores observés.</w:t>
      </w:r>
      <w:r w:rsidRPr="0067562A">
        <w:rPr>
          <w:rFonts w:ascii="Times-Roman" w:hAnsi="Times-Roman" w:cs="Times-Roman"/>
          <w:sz w:val="24"/>
          <w:szCs w:val="20"/>
        </w:rPr>
        <w:t xml:space="preserve"> </w:t>
      </w:r>
      <w:r w:rsidRPr="0067562A">
        <w:rPr>
          <w:rFonts w:ascii="Times-Roman" w:hAnsi="Times-Roman" w:cs="Times-Roman"/>
          <w:sz w:val="24"/>
          <w:szCs w:val="20"/>
        </w:rPr>
        <w:t>Dans cet article, cette question est analysée en détail et des propositions concrètes sont faites pour</w:t>
      </w:r>
      <w:r w:rsidRPr="0067562A">
        <w:rPr>
          <w:rFonts w:ascii="Times-Roman" w:hAnsi="Times-Roman" w:cs="Times-Roman"/>
          <w:sz w:val="24"/>
          <w:szCs w:val="20"/>
        </w:rPr>
        <w:t xml:space="preserve"> </w:t>
      </w:r>
      <w:r w:rsidRPr="0067562A">
        <w:rPr>
          <w:rFonts w:ascii="Times-Roman" w:hAnsi="Times-Roman" w:cs="Times-Roman"/>
          <w:sz w:val="24"/>
          <w:szCs w:val="20"/>
        </w:rPr>
        <w:t>la pratique du diagnostic.</w:t>
      </w:r>
    </w:p>
    <w:p w:rsidR="004C11D9" w:rsidRDefault="004C11D9" w:rsidP="0067562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0"/>
        </w:rPr>
      </w:pPr>
    </w:p>
    <w:p w:rsidR="004C11D9" w:rsidRDefault="000E4F4A" w:rsidP="006D3C4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D3C41">
        <w:rPr>
          <w:rFonts w:ascii="Times-Roman" w:hAnsi="Times-Roman" w:cs="Times-Roman"/>
          <w:b/>
          <w:sz w:val="24"/>
          <w:szCs w:val="24"/>
        </w:rPr>
        <w:t xml:space="preserve">Lisa </w:t>
      </w:r>
      <w:proofErr w:type="spellStart"/>
      <w:r w:rsidRPr="006D3C41">
        <w:rPr>
          <w:rFonts w:ascii="Times-Roman" w:hAnsi="Times-Roman" w:cs="Times-Roman"/>
          <w:b/>
          <w:sz w:val="24"/>
          <w:szCs w:val="24"/>
        </w:rPr>
        <w:t>Ouss</w:t>
      </w:r>
      <w:proofErr w:type="spellEnd"/>
      <w:r w:rsidRPr="006D3C41">
        <w:rPr>
          <w:rFonts w:ascii="Times-Roman" w:hAnsi="Times-Roman" w:cs="Times-Roman"/>
          <w:sz w:val="24"/>
          <w:szCs w:val="24"/>
        </w:rPr>
        <w:t xml:space="preserve"> s’intéresse </w:t>
      </w:r>
      <w:r w:rsidRPr="006D3C41">
        <w:rPr>
          <w:rFonts w:ascii="Times-BoldItalic" w:hAnsi="Times-BoldItalic" w:cs="Times-BoldItalic"/>
          <w:bCs/>
          <w:iCs/>
          <w:sz w:val="24"/>
          <w:szCs w:val="24"/>
        </w:rPr>
        <w:t>aux</w:t>
      </w:r>
      <w:r w:rsidRPr="006D3C41">
        <w:rPr>
          <w:rFonts w:ascii="Times-BoldItalic" w:hAnsi="Times-BoldItalic" w:cs="Times-BoldItalic"/>
          <w:b/>
          <w:bCs/>
          <w:i/>
          <w:iCs/>
          <w:sz w:val="24"/>
          <w:szCs w:val="24"/>
        </w:rPr>
        <w:t xml:space="preserve"> </w:t>
      </w:r>
      <w:r w:rsidRPr="006D3C41">
        <w:rPr>
          <w:rFonts w:ascii="Times-Roman" w:hAnsi="Times-Roman" w:cs="Times-Roman"/>
          <w:sz w:val="24"/>
          <w:szCs w:val="24"/>
        </w:rPr>
        <w:t xml:space="preserve">expressions psychopathologiques </w:t>
      </w:r>
      <w:r w:rsidRPr="006D3C41">
        <w:rPr>
          <w:rFonts w:ascii="Times-Roman" w:hAnsi="Times-Roman" w:cs="Times-Roman"/>
          <w:sz w:val="24"/>
          <w:szCs w:val="24"/>
        </w:rPr>
        <w:t xml:space="preserve">qui </w:t>
      </w:r>
      <w:r w:rsidRPr="006D3C41">
        <w:rPr>
          <w:rFonts w:ascii="Times-Roman" w:hAnsi="Times-Roman" w:cs="Times-Roman"/>
          <w:sz w:val="24"/>
          <w:szCs w:val="24"/>
        </w:rPr>
        <w:t>accompagnent souvent les troubles des apprentissages.</w:t>
      </w:r>
      <w:r w:rsidRPr="006D3C41">
        <w:rPr>
          <w:rFonts w:ascii="Times-Roman" w:hAnsi="Times-Roman" w:cs="Times-Roman"/>
          <w:sz w:val="24"/>
          <w:szCs w:val="24"/>
        </w:rPr>
        <w:t xml:space="preserve"> </w:t>
      </w:r>
      <w:r w:rsidRPr="006D3C41">
        <w:rPr>
          <w:rFonts w:ascii="Times-Roman" w:hAnsi="Times-Roman" w:cs="Times-Roman"/>
          <w:sz w:val="24"/>
          <w:szCs w:val="24"/>
        </w:rPr>
        <w:t>Les cooccurrences les plus étudiés concernent la dyslexie, les troubles de l’acquisition de la coordination,</w:t>
      </w:r>
      <w:r w:rsidRPr="006D3C41">
        <w:rPr>
          <w:rFonts w:ascii="Times-Roman" w:hAnsi="Times-Roman" w:cs="Times-Roman"/>
          <w:sz w:val="24"/>
          <w:szCs w:val="24"/>
        </w:rPr>
        <w:t xml:space="preserve"> </w:t>
      </w:r>
      <w:r w:rsidRPr="006D3C41">
        <w:rPr>
          <w:rFonts w:ascii="Times-Roman" w:hAnsi="Times-Roman" w:cs="Times-Roman"/>
          <w:sz w:val="24"/>
          <w:szCs w:val="24"/>
        </w:rPr>
        <w:t>et les TDAH. Cet article propose  une réflexion sur les questions</w:t>
      </w:r>
      <w:r w:rsidR="006D3C41" w:rsidRPr="006D3C41">
        <w:rPr>
          <w:rFonts w:ascii="Times-Roman" w:hAnsi="Times-Roman" w:cs="Times-Roman"/>
          <w:sz w:val="24"/>
          <w:szCs w:val="24"/>
        </w:rPr>
        <w:t xml:space="preserve"> posées par ces cooccurrences. </w:t>
      </w:r>
      <w:r w:rsidRPr="006D3C41">
        <w:rPr>
          <w:rFonts w:ascii="Times-Roman" w:hAnsi="Times-Roman" w:cs="Times-Roman"/>
          <w:sz w:val="24"/>
          <w:szCs w:val="24"/>
        </w:rPr>
        <w:t>Il propose tr</w:t>
      </w:r>
      <w:r w:rsidRPr="006D3C41">
        <w:rPr>
          <w:rFonts w:ascii="Times-Roman" w:hAnsi="Times-Roman" w:cs="Times-Roman"/>
          <w:sz w:val="24"/>
          <w:szCs w:val="24"/>
        </w:rPr>
        <w:t xml:space="preserve">ois modèles psychopathologiques </w:t>
      </w:r>
      <w:r w:rsidRPr="006D3C41">
        <w:rPr>
          <w:rFonts w:ascii="Times-Roman" w:hAnsi="Times-Roman" w:cs="Times-Roman"/>
          <w:sz w:val="24"/>
          <w:szCs w:val="24"/>
        </w:rPr>
        <w:t>à même de pouvoir concevoir l’articulation</w:t>
      </w:r>
      <w:r w:rsidRPr="006D3C41">
        <w:rPr>
          <w:rFonts w:ascii="Times-Roman" w:hAnsi="Times-Roman" w:cs="Times-Roman"/>
          <w:sz w:val="24"/>
          <w:szCs w:val="24"/>
        </w:rPr>
        <w:t xml:space="preserve"> </w:t>
      </w:r>
      <w:r w:rsidRPr="006D3C41">
        <w:rPr>
          <w:rFonts w:ascii="Times-Roman" w:hAnsi="Times-Roman" w:cs="Times-Roman"/>
          <w:sz w:val="24"/>
          <w:szCs w:val="24"/>
        </w:rPr>
        <w:t>entre différents niveaux – génétique, cérébral, neuroendocrinien, comportemental, social,</w:t>
      </w:r>
      <w:r w:rsidRPr="006D3C41">
        <w:rPr>
          <w:rFonts w:ascii="Times-Roman" w:hAnsi="Times-Roman" w:cs="Times-Roman"/>
          <w:sz w:val="24"/>
          <w:szCs w:val="24"/>
        </w:rPr>
        <w:t xml:space="preserve"> </w:t>
      </w:r>
      <w:r w:rsidRPr="006D3C41">
        <w:rPr>
          <w:rFonts w:ascii="Times-Roman" w:hAnsi="Times-Roman" w:cs="Times-Roman"/>
          <w:sz w:val="24"/>
          <w:szCs w:val="24"/>
        </w:rPr>
        <w:t xml:space="preserve">environnemental… </w:t>
      </w:r>
      <w:r w:rsidR="006D3C41" w:rsidRPr="006D3C41">
        <w:rPr>
          <w:rFonts w:ascii="Times-Roman" w:hAnsi="Times-Roman" w:cs="Times-Roman"/>
          <w:sz w:val="24"/>
          <w:szCs w:val="24"/>
        </w:rPr>
        <w:t xml:space="preserve"> pour </w:t>
      </w:r>
      <w:r w:rsidR="006D3C41" w:rsidRPr="006D3C41">
        <w:rPr>
          <w:rFonts w:ascii="Times-Roman" w:hAnsi="Times-Roman" w:cs="Times-Roman"/>
          <w:sz w:val="24"/>
          <w:szCs w:val="24"/>
        </w:rPr>
        <w:t>une pratique clinique</w:t>
      </w:r>
      <w:r w:rsidR="006D3C41" w:rsidRPr="006D3C41">
        <w:rPr>
          <w:rFonts w:ascii="Times-Roman" w:hAnsi="Times-Roman" w:cs="Times-Roman"/>
          <w:sz w:val="24"/>
          <w:szCs w:val="24"/>
        </w:rPr>
        <w:t xml:space="preserve"> qui</w:t>
      </w:r>
      <w:r w:rsidR="006D3C41" w:rsidRPr="006D3C41">
        <w:rPr>
          <w:rFonts w:ascii="Times-Roman" w:hAnsi="Times-Roman" w:cs="Times-Roman"/>
          <w:sz w:val="24"/>
          <w:szCs w:val="24"/>
        </w:rPr>
        <w:t xml:space="preserve"> permette d’identifier</w:t>
      </w:r>
      <w:r w:rsidR="006D3C41" w:rsidRPr="006D3C41">
        <w:rPr>
          <w:rFonts w:ascii="Times-Roman" w:hAnsi="Times-Roman" w:cs="Times-Roman"/>
          <w:sz w:val="24"/>
          <w:szCs w:val="24"/>
        </w:rPr>
        <w:t xml:space="preserve"> </w:t>
      </w:r>
      <w:r w:rsidR="006D3C41" w:rsidRPr="006D3C41">
        <w:rPr>
          <w:rFonts w:ascii="Times-Roman" w:hAnsi="Times-Roman" w:cs="Times-Roman"/>
          <w:sz w:val="24"/>
          <w:szCs w:val="24"/>
        </w:rPr>
        <w:t>des cibles et niveaux thérapeutiques, dans le cadre de la lecture multiple, et d’une approche</w:t>
      </w:r>
      <w:r w:rsidR="006D3C41" w:rsidRPr="006D3C41">
        <w:rPr>
          <w:rFonts w:ascii="Times-Roman" w:hAnsi="Times-Roman" w:cs="Times-Roman"/>
          <w:sz w:val="24"/>
          <w:szCs w:val="24"/>
        </w:rPr>
        <w:t xml:space="preserve"> </w:t>
      </w:r>
      <w:r w:rsidR="006D3C41" w:rsidRPr="006D3C41">
        <w:rPr>
          <w:rFonts w:ascii="Times-Roman" w:hAnsi="Times-Roman" w:cs="Times-Roman"/>
          <w:sz w:val="24"/>
          <w:szCs w:val="24"/>
        </w:rPr>
        <w:t>complémentariste, où des thérapies spécifiques peuvent être proposées</w:t>
      </w:r>
    </w:p>
    <w:p w:rsidR="002607D2" w:rsidRDefault="002607D2" w:rsidP="002607D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6D3C41" w:rsidRPr="006D3C41" w:rsidRDefault="002607D2" w:rsidP="002607D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2607D2">
        <w:rPr>
          <w:rFonts w:ascii="Times-Roman" w:hAnsi="Times-Roman" w:cs="Times-Roman"/>
          <w:b/>
          <w:sz w:val="24"/>
          <w:szCs w:val="24"/>
        </w:rPr>
        <w:t xml:space="preserve">Gilles </w:t>
      </w:r>
      <w:proofErr w:type="spellStart"/>
      <w:r w:rsidRPr="002607D2">
        <w:rPr>
          <w:rFonts w:ascii="Times-Roman" w:hAnsi="Times-Roman" w:cs="Times-Roman"/>
          <w:b/>
          <w:sz w:val="24"/>
          <w:szCs w:val="24"/>
        </w:rPr>
        <w:t>Leloup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 fera le point sur les remédiations des troubles de la </w:t>
      </w:r>
      <w:r w:rsidRPr="002607D2">
        <w:rPr>
          <w:rFonts w:ascii="Times-Roman" w:hAnsi="Times-Roman" w:cs="Times-Roman"/>
          <w:sz w:val="24"/>
          <w:szCs w:val="24"/>
        </w:rPr>
        <w:t>lectur</w:t>
      </w:r>
      <w:r>
        <w:rPr>
          <w:rFonts w:ascii="Times-Roman" w:hAnsi="Times-Roman" w:cs="Times-Roman"/>
          <w:sz w:val="24"/>
          <w:szCs w:val="24"/>
        </w:rPr>
        <w:t xml:space="preserve">e chez les enfants dysphasiques </w:t>
      </w:r>
      <w:r w:rsidRPr="002607D2">
        <w:rPr>
          <w:rFonts w:ascii="Times-Roman" w:hAnsi="Times-Roman" w:cs="Times-Roman"/>
          <w:sz w:val="24"/>
          <w:szCs w:val="24"/>
        </w:rPr>
        <w:t>et dyslexiques : quels recoupements ?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2607D2">
        <w:rPr>
          <w:rFonts w:ascii="Times-Roman" w:hAnsi="Times-Roman" w:cs="Times-Roman"/>
          <w:sz w:val="24"/>
          <w:szCs w:val="24"/>
        </w:rPr>
        <w:t>Quelques programmes d’entraînements à la lecture chez l’enfant dyslexique ou mauvais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2607D2">
        <w:rPr>
          <w:rFonts w:ascii="Times-Roman" w:hAnsi="Times-Roman" w:cs="Times-Roman"/>
          <w:sz w:val="24"/>
          <w:szCs w:val="24"/>
        </w:rPr>
        <w:t>lecteur ont été validés selon une méthodologie scientifique. Le propos de cet article est une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2607D2">
        <w:rPr>
          <w:rFonts w:ascii="Times-Roman" w:hAnsi="Times-Roman" w:cs="Times-Roman"/>
          <w:sz w:val="24"/>
          <w:szCs w:val="24"/>
        </w:rPr>
        <w:t>réflexion sur l’apport de ces programmes quant à la prise en charge et à la prévention des troubles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2607D2">
        <w:rPr>
          <w:rFonts w:ascii="Times-Roman" w:hAnsi="Times-Roman" w:cs="Times-Roman"/>
          <w:sz w:val="24"/>
          <w:szCs w:val="24"/>
        </w:rPr>
        <w:t>de la le</w:t>
      </w:r>
      <w:r>
        <w:rPr>
          <w:rFonts w:ascii="Times-Roman" w:hAnsi="Times-Roman" w:cs="Times-Roman"/>
          <w:sz w:val="24"/>
          <w:szCs w:val="24"/>
        </w:rPr>
        <w:t>cture chez l’enfant dysphasique.</w:t>
      </w:r>
    </w:p>
    <w:p w:rsidR="002607D2" w:rsidRDefault="002607D2" w:rsidP="0067562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2607D2" w:rsidRDefault="002607D2" w:rsidP="002607D2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b/>
          <w:sz w:val="26"/>
          <w:szCs w:val="24"/>
        </w:rPr>
      </w:pPr>
      <w:r w:rsidRPr="002607D2">
        <w:rPr>
          <w:rFonts w:ascii="Times-Roman" w:hAnsi="Times-Roman" w:cs="Times-Roman"/>
          <w:b/>
          <w:sz w:val="26"/>
          <w:szCs w:val="24"/>
        </w:rPr>
        <w:t>L’intervention</w:t>
      </w:r>
      <w:r w:rsidRPr="002607D2">
        <w:rPr>
          <w:rFonts w:ascii="Times-Roman" w:hAnsi="Times-Roman" w:cs="Times-Roman"/>
          <w:b/>
          <w:sz w:val="26"/>
          <w:szCs w:val="24"/>
        </w:rPr>
        <w:t xml:space="preserve"> orthophonique auprès des jeunes enfants </w:t>
      </w:r>
    </w:p>
    <w:p w:rsidR="004C11D9" w:rsidRPr="002607D2" w:rsidRDefault="002607D2" w:rsidP="002607D2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b/>
          <w:sz w:val="26"/>
          <w:szCs w:val="20"/>
        </w:rPr>
      </w:pPr>
      <w:proofErr w:type="gramStart"/>
      <w:r w:rsidRPr="002607D2">
        <w:rPr>
          <w:rFonts w:ascii="Times-Roman" w:hAnsi="Times-Roman" w:cs="Times-Roman"/>
          <w:b/>
          <w:sz w:val="26"/>
          <w:szCs w:val="24"/>
        </w:rPr>
        <w:t>avec</w:t>
      </w:r>
      <w:proofErr w:type="gramEnd"/>
      <w:r w:rsidRPr="002607D2">
        <w:rPr>
          <w:rFonts w:ascii="Times-Roman" w:hAnsi="Times-Roman" w:cs="Times-Roman"/>
          <w:b/>
          <w:sz w:val="26"/>
          <w:szCs w:val="24"/>
        </w:rPr>
        <w:t xml:space="preserve"> peu ou pas de langage.</w:t>
      </w:r>
    </w:p>
    <w:p w:rsidR="0067562A" w:rsidRPr="002607D2" w:rsidRDefault="0067562A" w:rsidP="00C5059D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Cs w:val="20"/>
        </w:rPr>
      </w:pPr>
    </w:p>
    <w:p w:rsidR="00C5059D" w:rsidRPr="00A65441" w:rsidRDefault="00C5059D" w:rsidP="00C5059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A65441">
        <w:rPr>
          <w:rFonts w:ascii="Times-Roman" w:hAnsi="Times-Roman" w:cs="Times-Roman"/>
          <w:sz w:val="24"/>
          <w:szCs w:val="24"/>
        </w:rPr>
        <w:t>En mars 2015, l’association belge d’orthophonistes ASELF (Association scientifique et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proofErr w:type="spellStart"/>
      <w:r w:rsidRPr="00A65441">
        <w:rPr>
          <w:rFonts w:ascii="Times-Roman" w:hAnsi="Times-Roman" w:cs="Times-Roman"/>
          <w:sz w:val="24"/>
          <w:szCs w:val="24"/>
        </w:rPr>
        <w:t>ethique</w:t>
      </w:r>
      <w:proofErr w:type="spellEnd"/>
      <w:r w:rsidRPr="00A65441">
        <w:rPr>
          <w:rFonts w:ascii="Times-Roman" w:hAnsi="Times-Roman" w:cs="Times-Roman"/>
          <w:sz w:val="24"/>
          <w:szCs w:val="24"/>
        </w:rPr>
        <w:t xml:space="preserve"> des logopèdes </w:t>
      </w:r>
      <w:r w:rsidRPr="00A65441">
        <w:rPr>
          <w:rFonts w:ascii="Times-Roman" w:hAnsi="Times-Roman" w:cs="Times-Roman"/>
          <w:sz w:val="24"/>
          <w:szCs w:val="24"/>
        </w:rPr>
        <w:t>f</w:t>
      </w:r>
      <w:r w:rsidRPr="00A65441">
        <w:rPr>
          <w:rFonts w:ascii="Times-Roman" w:hAnsi="Times-Roman" w:cs="Times-Roman"/>
          <w:sz w:val="24"/>
          <w:szCs w:val="24"/>
        </w:rPr>
        <w:t>rancophones) organisait son cinquième colloque sur l’intervention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orthophonique auprès des jeunes enfants avec peu ou pas de langage. Si cette thématique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peut paraître « classique » et l’intérêt de l’intervention précoce comme une évidence, la réalité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 xml:space="preserve">sur le terrain prouve malheureusement le contraire. </w:t>
      </w:r>
    </w:p>
    <w:p w:rsidR="00C5059D" w:rsidRPr="00A65441" w:rsidRDefault="00C5059D" w:rsidP="00C5059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A65441">
        <w:rPr>
          <w:rFonts w:ascii="Times-Roman" w:hAnsi="Times-Roman" w:cs="Times-Roman"/>
          <w:sz w:val="24"/>
          <w:szCs w:val="24"/>
        </w:rPr>
        <w:t>Ainsi, il n’est pas rare d’entendre un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professionnel affirmer que l’orthophoniste n’intervient pas avant 4 ans ou qu’il faut attendre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 xml:space="preserve">que l’école fasse son effet chez un enfant qui parle peu. </w:t>
      </w:r>
    </w:p>
    <w:p w:rsidR="00C5059D" w:rsidRPr="00A65441" w:rsidRDefault="00C5059D" w:rsidP="00C5059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C5059D" w:rsidRPr="00A65441" w:rsidRDefault="00C5059D" w:rsidP="00C5059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A65441">
        <w:rPr>
          <w:rFonts w:ascii="Times-Roman" w:hAnsi="Times-Roman" w:cs="Times-Roman"/>
          <w:sz w:val="24"/>
          <w:szCs w:val="24"/>
        </w:rPr>
        <w:lastRenderedPageBreak/>
        <w:t>Ce dossier rassemble des présentations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issues du colloque de l’ASELF et des recherches belges récentes et guide le professionnel dans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ses actions de dépistage, d’évaluation et d’intervention chez les jeunes enfants présentant un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trouble langagier.</w:t>
      </w:r>
    </w:p>
    <w:p w:rsidR="00C5059D" w:rsidRPr="00A65441" w:rsidRDefault="00C5059D" w:rsidP="00C5059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C5059D" w:rsidRPr="00A65441" w:rsidRDefault="00C5059D" w:rsidP="00C5059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A65441">
        <w:rPr>
          <w:rFonts w:ascii="Times-Roman" w:hAnsi="Times-Roman" w:cs="Times-Roman"/>
          <w:sz w:val="24"/>
          <w:szCs w:val="24"/>
        </w:rPr>
        <w:t>Intervenir précocement implique de dépister rapidement et efficacement les enfants à risque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de présenter un retard de langage. Les médecins, psychologues et orthophonistes travaillent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généralement avec un nombre limité d’enfants. Au contraire, la Protection maternelle et infantile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(PMI) en France mène une mission de prévention et de promotion de la santé auprès d’une large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population de futurs parents et d’enfants de moins de 6 ans. En ce qui concerne la prévention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des troubles langagiers, l’Office de la naissance et de l’enfance (homologue belge de la PMI), a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 xml:space="preserve">récemment collaboré avec </w:t>
      </w:r>
      <w:r w:rsidRPr="00A65441">
        <w:rPr>
          <w:rFonts w:ascii="Times-Roman" w:hAnsi="Times-Roman" w:cs="Times-Roman"/>
          <w:b/>
          <w:sz w:val="24"/>
          <w:szCs w:val="24"/>
        </w:rPr>
        <w:t xml:space="preserve">Anne-Lise Leclercq, Sophie Kern, David </w:t>
      </w:r>
      <w:proofErr w:type="spellStart"/>
      <w:r w:rsidRPr="00A65441">
        <w:rPr>
          <w:rFonts w:ascii="Times-Roman" w:hAnsi="Times-Roman" w:cs="Times-Roman"/>
          <w:b/>
          <w:sz w:val="24"/>
          <w:szCs w:val="24"/>
        </w:rPr>
        <w:t>Magis</w:t>
      </w:r>
      <w:proofErr w:type="spellEnd"/>
      <w:r w:rsidRPr="00A65441">
        <w:rPr>
          <w:rFonts w:ascii="Times-Roman" w:hAnsi="Times-Roman" w:cs="Times-Roman"/>
          <w:b/>
          <w:sz w:val="24"/>
          <w:szCs w:val="24"/>
        </w:rPr>
        <w:t xml:space="preserve"> et Christelle Maillart</w:t>
      </w:r>
      <w:r w:rsidR="00297923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pour élaborer un outil de dépistage rapide à large échelle dans des populations à risque ou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multilingues. Une recherche-action qui nous semble prometteuse et suggère des actions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complémentaires à notre travail plus individualisé.</w:t>
      </w:r>
    </w:p>
    <w:p w:rsidR="00C5059D" w:rsidRPr="00A65441" w:rsidRDefault="00C5059D" w:rsidP="00C5059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C5059D" w:rsidRPr="00A65441" w:rsidRDefault="00C5059D" w:rsidP="00C5059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A65441">
        <w:rPr>
          <w:rFonts w:ascii="Times-Roman" w:hAnsi="Times-Roman" w:cs="Times-Roman"/>
          <w:sz w:val="24"/>
          <w:szCs w:val="24"/>
        </w:rPr>
        <w:t>En Belgique, c’est notamment la prescription d’un médecin spécialiste qui conditionne le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remboursement des prestations orthophoniques. Il est parfois tentant de considérer cette étape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comme une simple formalité administrative. Pourtant, le neuropédiatre assure un rôle essentiel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 xml:space="preserve">de première ligne comme l’illustre l’article </w:t>
      </w:r>
      <w:r w:rsidRPr="00A65441">
        <w:rPr>
          <w:rFonts w:ascii="Times-Roman" w:hAnsi="Times-Roman" w:cs="Times-Roman"/>
          <w:b/>
          <w:sz w:val="24"/>
          <w:szCs w:val="24"/>
        </w:rPr>
        <w:t>d’</w:t>
      </w:r>
      <w:proofErr w:type="spellStart"/>
      <w:r w:rsidRPr="00A65441">
        <w:rPr>
          <w:rFonts w:ascii="Times-Roman" w:hAnsi="Times-Roman" w:cs="Times-Roman"/>
          <w:b/>
          <w:sz w:val="24"/>
          <w:szCs w:val="24"/>
        </w:rPr>
        <w:t>Elin</w:t>
      </w:r>
      <w:proofErr w:type="spellEnd"/>
      <w:r w:rsidRPr="00A65441">
        <w:rPr>
          <w:rFonts w:ascii="Times-Roman" w:hAnsi="Times-Roman" w:cs="Times-Roman"/>
          <w:b/>
          <w:sz w:val="24"/>
          <w:szCs w:val="24"/>
        </w:rPr>
        <w:t xml:space="preserve"> Malek </w:t>
      </w:r>
      <w:proofErr w:type="spellStart"/>
      <w:r w:rsidRPr="00A65441">
        <w:rPr>
          <w:rFonts w:ascii="Times-Roman" w:hAnsi="Times-Roman" w:cs="Times-Roman"/>
          <w:b/>
          <w:sz w:val="24"/>
          <w:szCs w:val="24"/>
        </w:rPr>
        <w:t>Abrahimians</w:t>
      </w:r>
      <w:proofErr w:type="spellEnd"/>
      <w:r w:rsidRPr="00A65441">
        <w:rPr>
          <w:rFonts w:ascii="Times-Roman" w:hAnsi="Times-Roman" w:cs="Times-Roman"/>
          <w:b/>
          <w:sz w:val="24"/>
          <w:szCs w:val="24"/>
        </w:rPr>
        <w:t xml:space="preserve"> et Marie-Cécile</w:t>
      </w:r>
      <w:r w:rsidRPr="00A65441">
        <w:rPr>
          <w:rFonts w:ascii="Times-Roman" w:hAnsi="Times-Roman" w:cs="Times-Roman"/>
          <w:b/>
          <w:sz w:val="24"/>
          <w:szCs w:val="24"/>
        </w:rPr>
        <w:t xml:space="preserve"> </w:t>
      </w:r>
      <w:proofErr w:type="spellStart"/>
      <w:r w:rsidRPr="00A65441">
        <w:rPr>
          <w:rFonts w:ascii="Times-Roman" w:hAnsi="Times-Roman" w:cs="Times-Roman"/>
          <w:b/>
          <w:sz w:val="24"/>
          <w:szCs w:val="24"/>
        </w:rPr>
        <w:t>Nassogne</w:t>
      </w:r>
      <w:proofErr w:type="spellEnd"/>
      <w:r w:rsidRPr="00A65441">
        <w:rPr>
          <w:rFonts w:ascii="Times-Roman" w:hAnsi="Times-Roman" w:cs="Times-Roman"/>
          <w:sz w:val="24"/>
          <w:szCs w:val="24"/>
        </w:rPr>
        <w:t>. Le neuropédiatre assume ainsi de multiples rôles : identifier une situation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pathologique par rapport à une simple variation de la normale, distinguer un trouble isolé du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langage d’un retard global de développement et détecter les maladies graves qui peuvent être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à l’origine du trouble. Il sera également particulièrement vigilant dans le cas d’une régression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du langage qui peut suggérer un syndrome des pointes-ondes continues du sommeil et dont le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traitement doit être rapidement mis en place.</w:t>
      </w:r>
    </w:p>
    <w:p w:rsidR="00C5059D" w:rsidRPr="00A65441" w:rsidRDefault="00C5059D" w:rsidP="00C5059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C5059D" w:rsidRPr="00A65441" w:rsidRDefault="00C5059D" w:rsidP="00C5059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A65441">
        <w:rPr>
          <w:rFonts w:ascii="Times-Roman" w:hAnsi="Times-Roman" w:cs="Times-Roman"/>
          <w:sz w:val="24"/>
          <w:szCs w:val="24"/>
        </w:rPr>
        <w:t xml:space="preserve">En choisissant un titre accrocheur « </w:t>
      </w:r>
      <w:proofErr w:type="spellStart"/>
      <w:r w:rsidRPr="00A65441">
        <w:rPr>
          <w:rFonts w:ascii="Times-Roman" w:hAnsi="Times-Roman" w:cs="Times-Roman"/>
          <w:sz w:val="24"/>
          <w:szCs w:val="24"/>
        </w:rPr>
        <w:t>Intestable</w:t>
      </w:r>
      <w:proofErr w:type="spellEnd"/>
      <w:r w:rsidRPr="00A65441">
        <w:rPr>
          <w:rFonts w:ascii="Times-Roman" w:hAnsi="Times-Roman" w:cs="Times-Roman"/>
          <w:sz w:val="24"/>
          <w:szCs w:val="24"/>
        </w:rPr>
        <w:t xml:space="preserve"> ? Le bilan orthophonique du jeune enfant sans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langage » pour son article</w:t>
      </w:r>
      <w:r w:rsidRPr="00A65441">
        <w:rPr>
          <w:rFonts w:ascii="Times-Roman" w:hAnsi="Times-Roman" w:cs="Times-Roman"/>
          <w:b/>
          <w:sz w:val="24"/>
          <w:szCs w:val="24"/>
        </w:rPr>
        <w:t xml:space="preserve">, Pascale </w:t>
      </w:r>
      <w:proofErr w:type="spellStart"/>
      <w:r w:rsidRPr="00A65441">
        <w:rPr>
          <w:rFonts w:ascii="Times-Roman" w:hAnsi="Times-Roman" w:cs="Times-Roman"/>
          <w:b/>
          <w:sz w:val="24"/>
          <w:szCs w:val="24"/>
        </w:rPr>
        <w:t>Grevesse</w:t>
      </w:r>
      <w:proofErr w:type="spellEnd"/>
      <w:r w:rsidRPr="00A65441">
        <w:rPr>
          <w:rFonts w:ascii="Times-Roman" w:hAnsi="Times-Roman" w:cs="Times-Roman"/>
          <w:sz w:val="24"/>
          <w:szCs w:val="24"/>
        </w:rPr>
        <w:t xml:space="preserve"> nous démontre qu’il est possible de récolter une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multitude d’informations au niveau de la communication verbale et non-verbale chez un enfant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 xml:space="preserve">qui ne parle pas. Elle présente l’évaluation </w:t>
      </w:r>
      <w:r w:rsidRPr="00A65441">
        <w:rPr>
          <w:rFonts w:ascii="Times-Roman" w:hAnsi="Times-Roman" w:cs="Times-Roman"/>
          <w:sz w:val="24"/>
          <w:szCs w:val="24"/>
        </w:rPr>
        <w:t xml:space="preserve"> o</w:t>
      </w:r>
      <w:r w:rsidRPr="00A65441">
        <w:rPr>
          <w:rFonts w:ascii="Times-Roman" w:hAnsi="Times-Roman" w:cs="Times-Roman"/>
          <w:sz w:val="24"/>
          <w:szCs w:val="24"/>
        </w:rPr>
        <w:t>rthophonique du jeune enfant selon trois angles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différents : l’évaluation indirecte, l’évaluation directe et les interactions entre les parents et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l’enfant. Pour chacun de ces angles, l’auteur développe et argumente les aspects à évaluer sans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tomber toutefois dans une liste prédéfinie et rigide, ce qui permet au clinicien de sé</w:t>
      </w:r>
      <w:r w:rsidR="00A65441">
        <w:rPr>
          <w:rFonts w:ascii="Times-Roman" w:hAnsi="Times-Roman" w:cs="Times-Roman"/>
          <w:sz w:val="24"/>
          <w:szCs w:val="24"/>
        </w:rPr>
        <w:t xml:space="preserve">lectionner </w:t>
      </w:r>
      <w:r w:rsidRPr="00A65441">
        <w:rPr>
          <w:rFonts w:ascii="Times-Roman" w:hAnsi="Times-Roman" w:cs="Times-Roman"/>
          <w:sz w:val="24"/>
          <w:szCs w:val="24"/>
        </w:rPr>
        <w:t>les composants les plus pertinents à explorer selon le patient.</w:t>
      </w:r>
    </w:p>
    <w:p w:rsidR="00C5059D" w:rsidRPr="00A65441" w:rsidRDefault="00C5059D" w:rsidP="00C5059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C5059D" w:rsidRPr="00A65441" w:rsidRDefault="00C5059D" w:rsidP="00C5059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A65441">
        <w:rPr>
          <w:rFonts w:ascii="Times-Roman" w:hAnsi="Times-Roman" w:cs="Times-Roman"/>
          <w:sz w:val="24"/>
          <w:szCs w:val="24"/>
        </w:rPr>
        <w:t>Le terme « ingrédient actif » est de plus en plus évoqué lorsqu’on parle de prise en charge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langagière. Il s’agit en effet de l’élément du traitement qui explique l’efficacité de l’intervention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 xml:space="preserve">et qu’il faut donc inclure dans nos actions auprès des patients. </w:t>
      </w:r>
    </w:p>
    <w:p w:rsidR="00C5059D" w:rsidRPr="00A65441" w:rsidRDefault="00C5059D" w:rsidP="00C5059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A65441">
        <w:rPr>
          <w:rFonts w:ascii="Times-Roman" w:hAnsi="Times-Roman" w:cs="Times-Roman"/>
          <w:sz w:val="24"/>
          <w:szCs w:val="24"/>
        </w:rPr>
        <w:t>C’est autour des deux ingrédients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actifs de l’intervention précoce, soit l’interaction parent-enfant et la stimulation langagière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que reçoit l’enfant, que l’article d’</w:t>
      </w:r>
      <w:proofErr w:type="spellStart"/>
      <w:r w:rsidRPr="00A65441">
        <w:rPr>
          <w:rFonts w:ascii="Times-Roman" w:hAnsi="Times-Roman" w:cs="Times-Roman"/>
          <w:b/>
          <w:sz w:val="24"/>
          <w:szCs w:val="24"/>
        </w:rPr>
        <w:t>Audette</w:t>
      </w:r>
      <w:proofErr w:type="spellEnd"/>
      <w:r w:rsidRPr="00A65441">
        <w:rPr>
          <w:rFonts w:ascii="Times-Roman" w:hAnsi="Times-Roman" w:cs="Times-Roman"/>
          <w:b/>
          <w:sz w:val="24"/>
          <w:szCs w:val="24"/>
        </w:rPr>
        <w:t xml:space="preserve"> Sylvestre et Chantal Desmarais </w:t>
      </w:r>
      <w:r w:rsidRPr="00A65441">
        <w:rPr>
          <w:rFonts w:ascii="Times-Roman" w:hAnsi="Times-Roman" w:cs="Times-Roman"/>
          <w:sz w:val="24"/>
          <w:szCs w:val="24"/>
        </w:rPr>
        <w:t>s’articule. Les deux</w:t>
      </w:r>
      <w:r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Québécoises développent plus précisément le programme d’intervention « milieu », proposé</w:t>
      </w:r>
      <w:r w:rsidR="00A65441">
        <w:rPr>
          <w:rFonts w:ascii="Times-Roman" w:hAnsi="Times-Roman" w:cs="Times-Roman"/>
          <w:sz w:val="24"/>
          <w:szCs w:val="24"/>
        </w:rPr>
        <w:t xml:space="preserve"> par </w:t>
      </w:r>
      <w:r w:rsidRPr="00A65441">
        <w:rPr>
          <w:rFonts w:ascii="Times-Roman" w:hAnsi="Times-Roman" w:cs="Times-Roman"/>
          <w:sz w:val="24"/>
          <w:szCs w:val="24"/>
        </w:rPr>
        <w:t xml:space="preserve">Warren, </w:t>
      </w:r>
      <w:proofErr w:type="spellStart"/>
      <w:r w:rsidRPr="00A65441">
        <w:rPr>
          <w:rFonts w:ascii="Times-Roman" w:hAnsi="Times-Roman" w:cs="Times-Roman"/>
          <w:sz w:val="24"/>
          <w:szCs w:val="24"/>
        </w:rPr>
        <w:t>Yoder</w:t>
      </w:r>
      <w:proofErr w:type="spellEnd"/>
      <w:r w:rsidRPr="00A65441">
        <w:rPr>
          <w:rFonts w:ascii="Times-Roman" w:hAnsi="Times-Roman" w:cs="Times-Roman"/>
          <w:sz w:val="24"/>
          <w:szCs w:val="24"/>
        </w:rPr>
        <w:t xml:space="preserve"> et leurs collaborateurs, et qui a fait ses preuves à plusieurs reprises.</w:t>
      </w:r>
    </w:p>
    <w:p w:rsidR="00A65441" w:rsidRPr="00A65441" w:rsidRDefault="00A65441" w:rsidP="00C5059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C5059D" w:rsidRPr="00A65441" w:rsidRDefault="00C5059D" w:rsidP="00C5059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A65441">
        <w:rPr>
          <w:rFonts w:ascii="Times-Roman" w:hAnsi="Times-Roman" w:cs="Times-Roman"/>
          <w:sz w:val="24"/>
          <w:szCs w:val="24"/>
        </w:rPr>
        <w:t xml:space="preserve">L’implication des parents est également au centre du programme d’intervention </w:t>
      </w:r>
      <w:proofErr w:type="spellStart"/>
      <w:r w:rsidRPr="00A65441">
        <w:rPr>
          <w:rFonts w:ascii="Times-Roman" w:hAnsi="Times-Roman" w:cs="Times-Roman"/>
          <w:sz w:val="24"/>
          <w:szCs w:val="24"/>
        </w:rPr>
        <w:t>Lidcombe</w:t>
      </w:r>
      <w:proofErr w:type="spellEnd"/>
      <w:r w:rsidRPr="00A65441">
        <w:rPr>
          <w:rFonts w:ascii="Times-Roman" w:hAnsi="Times-Roman" w:cs="Times-Roman"/>
          <w:sz w:val="24"/>
          <w:szCs w:val="24"/>
        </w:rPr>
        <w:t xml:space="preserve"> qui</w:t>
      </w:r>
      <w:r w:rsidR="00A65441"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 xml:space="preserve">cible plus spécifiquement les jeunes enfants avec un bégaiement. A travers leur article, </w:t>
      </w:r>
      <w:r w:rsidRPr="00A65441">
        <w:rPr>
          <w:rFonts w:ascii="Times-Roman" w:hAnsi="Times-Roman" w:cs="Times-Roman"/>
          <w:b/>
          <w:sz w:val="24"/>
          <w:szCs w:val="24"/>
        </w:rPr>
        <w:t xml:space="preserve">Anne-Lise Leclercq et Julie </w:t>
      </w:r>
      <w:proofErr w:type="spellStart"/>
      <w:r w:rsidRPr="00A65441">
        <w:rPr>
          <w:rFonts w:ascii="Times-Roman" w:hAnsi="Times-Roman" w:cs="Times-Roman"/>
          <w:b/>
          <w:sz w:val="24"/>
          <w:szCs w:val="24"/>
        </w:rPr>
        <w:t>Kister</w:t>
      </w:r>
      <w:proofErr w:type="spellEnd"/>
      <w:r w:rsidRPr="00A65441">
        <w:rPr>
          <w:rFonts w:ascii="Times-Roman" w:hAnsi="Times-Roman" w:cs="Times-Roman"/>
          <w:sz w:val="24"/>
          <w:szCs w:val="24"/>
        </w:rPr>
        <w:t xml:space="preserve"> rapportent </w:t>
      </w:r>
      <w:r w:rsidRPr="00A65441">
        <w:rPr>
          <w:rFonts w:ascii="Times-Roman" w:hAnsi="Times-Roman" w:cs="Times-Roman"/>
          <w:sz w:val="24"/>
          <w:szCs w:val="24"/>
          <w:u w:val="single"/>
        </w:rPr>
        <w:t>des données préliminaires encourageantes sur l’implémentation</w:t>
      </w:r>
      <w:r w:rsidR="00A65441" w:rsidRPr="00A65441">
        <w:rPr>
          <w:rFonts w:ascii="Times-Roman" w:hAnsi="Times-Roman" w:cs="Times-Roman"/>
          <w:sz w:val="24"/>
          <w:szCs w:val="24"/>
          <w:u w:val="single"/>
        </w:rPr>
        <w:t xml:space="preserve"> </w:t>
      </w:r>
      <w:r w:rsidRPr="00A65441">
        <w:rPr>
          <w:rFonts w:ascii="Times-Roman" w:hAnsi="Times-Roman" w:cs="Times-Roman"/>
          <w:sz w:val="24"/>
          <w:szCs w:val="24"/>
          <w:u w:val="single"/>
        </w:rPr>
        <w:t>de ce programme en clinique francophone. Pour les quatre patients rencontrés, le</w:t>
      </w:r>
      <w:r w:rsidR="00A65441" w:rsidRPr="00A65441">
        <w:rPr>
          <w:rFonts w:ascii="Times-Roman" w:hAnsi="Times-Roman" w:cs="Times-Roman"/>
          <w:sz w:val="24"/>
          <w:szCs w:val="24"/>
          <w:u w:val="single"/>
        </w:rPr>
        <w:t xml:space="preserve"> </w:t>
      </w:r>
      <w:r w:rsidRPr="00A65441">
        <w:rPr>
          <w:rFonts w:ascii="Times-Roman" w:hAnsi="Times-Roman" w:cs="Times-Roman"/>
          <w:sz w:val="24"/>
          <w:szCs w:val="24"/>
          <w:u w:val="single"/>
        </w:rPr>
        <w:t>pourcentage de syllabes bégayées devient inférieur à 5 % après l’interve</w:t>
      </w:r>
      <w:r w:rsidRPr="00A65441">
        <w:rPr>
          <w:rFonts w:ascii="Times-Roman" w:hAnsi="Times-Roman" w:cs="Times-Roman"/>
          <w:sz w:val="24"/>
          <w:szCs w:val="24"/>
        </w:rPr>
        <w:t>ntion sans toutefois</w:t>
      </w:r>
      <w:r w:rsidR="00A65441"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s’accompagner d’une diminution de la prise de parole de ces enfants. Les auteurs mettent</w:t>
      </w:r>
      <w:r w:rsidR="00A65441"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 xml:space="preserve">également en lumière les ingrédients actifs qui expliquent l’efficacité de </w:t>
      </w:r>
      <w:r w:rsidRPr="00A65441">
        <w:rPr>
          <w:rFonts w:ascii="Times-Roman" w:hAnsi="Times-Roman" w:cs="Times-Roman"/>
          <w:sz w:val="24"/>
          <w:szCs w:val="24"/>
        </w:rPr>
        <w:lastRenderedPageBreak/>
        <w:t>l’</w:t>
      </w:r>
      <w:r w:rsidR="00A65441">
        <w:rPr>
          <w:rFonts w:ascii="Times-Roman" w:hAnsi="Times-Roman" w:cs="Times-Roman"/>
          <w:sz w:val="24"/>
          <w:szCs w:val="24"/>
        </w:rPr>
        <w:t xml:space="preserve">intervention et qui </w:t>
      </w:r>
      <w:r w:rsidRPr="00A65441">
        <w:rPr>
          <w:rFonts w:ascii="Times-Roman" w:hAnsi="Times-Roman" w:cs="Times-Roman"/>
          <w:sz w:val="24"/>
          <w:szCs w:val="24"/>
        </w:rPr>
        <w:t>doivent par conséquent être conservés lors de l’application du programme dans notre pratique</w:t>
      </w:r>
      <w:r w:rsidR="00A65441"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professionnelle.</w:t>
      </w:r>
    </w:p>
    <w:p w:rsidR="00A65441" w:rsidRPr="00A65441" w:rsidRDefault="00A65441" w:rsidP="00C5059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C5059D" w:rsidRPr="00A65441" w:rsidRDefault="00C5059D" w:rsidP="00C5059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A65441">
        <w:rPr>
          <w:rFonts w:ascii="Times-Roman" w:hAnsi="Times-Roman" w:cs="Times-Roman"/>
          <w:sz w:val="24"/>
          <w:szCs w:val="24"/>
        </w:rPr>
        <w:t xml:space="preserve">Enfin, nous clôturons ce dossier en proposant un article sur le travail multidisciplinaire qui permet de mieux répondre aux besoins de certains enfants. </w:t>
      </w:r>
      <w:r w:rsidRPr="00A65441">
        <w:rPr>
          <w:rFonts w:ascii="Times-Roman" w:hAnsi="Times-Roman" w:cs="Times-Roman"/>
          <w:b/>
          <w:sz w:val="24"/>
          <w:szCs w:val="24"/>
        </w:rPr>
        <w:t xml:space="preserve">Céline </w:t>
      </w:r>
      <w:proofErr w:type="spellStart"/>
      <w:r w:rsidRPr="00A65441">
        <w:rPr>
          <w:rFonts w:ascii="Times-Roman" w:hAnsi="Times-Roman" w:cs="Times-Roman"/>
          <w:b/>
          <w:sz w:val="24"/>
          <w:szCs w:val="24"/>
        </w:rPr>
        <w:t>Baurain</w:t>
      </w:r>
      <w:proofErr w:type="spellEnd"/>
      <w:r w:rsidRPr="00A65441">
        <w:rPr>
          <w:rFonts w:ascii="Times-Roman" w:hAnsi="Times-Roman" w:cs="Times-Roman"/>
          <w:sz w:val="24"/>
          <w:szCs w:val="24"/>
        </w:rPr>
        <w:t xml:space="preserve"> nous présente l’outil</w:t>
      </w:r>
      <w:r w:rsidR="00A65441"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 xml:space="preserve">EIS (Évaluation, intervention et suivi, version française, Dionne, </w:t>
      </w:r>
      <w:proofErr w:type="spellStart"/>
      <w:r w:rsidRPr="00A65441">
        <w:rPr>
          <w:rFonts w:ascii="Times-Roman" w:hAnsi="Times-Roman" w:cs="Times-Roman"/>
          <w:sz w:val="24"/>
          <w:szCs w:val="24"/>
        </w:rPr>
        <w:t>Rivest</w:t>
      </w:r>
      <w:proofErr w:type="spellEnd"/>
      <w:r w:rsidRPr="00A65441">
        <w:rPr>
          <w:rFonts w:ascii="Times-Roman" w:hAnsi="Times-Roman" w:cs="Times-Roman"/>
          <w:sz w:val="24"/>
          <w:szCs w:val="24"/>
        </w:rPr>
        <w:t xml:space="preserve"> &amp; </w:t>
      </w:r>
      <w:proofErr w:type="spellStart"/>
      <w:r w:rsidRPr="00A65441">
        <w:rPr>
          <w:rFonts w:ascii="Times-Roman" w:hAnsi="Times-Roman" w:cs="Times-Roman"/>
          <w:sz w:val="24"/>
          <w:szCs w:val="24"/>
        </w:rPr>
        <w:t>Tavares</w:t>
      </w:r>
      <w:proofErr w:type="spellEnd"/>
      <w:r w:rsidRPr="00A65441">
        <w:rPr>
          <w:rFonts w:ascii="Times-Roman" w:hAnsi="Times-Roman" w:cs="Times-Roman"/>
          <w:sz w:val="24"/>
          <w:szCs w:val="24"/>
        </w:rPr>
        <w:t>, 2006) qui</w:t>
      </w:r>
      <w:r w:rsidR="00A65441"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 xml:space="preserve">propose une évaluation de six domaines </w:t>
      </w:r>
      <w:r w:rsidR="00A65441"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’habiletés fonctionnelles (motricité fine, motricité</w:t>
      </w:r>
      <w:r w:rsidR="00A65441"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globale, adaptation, communication, cognition et socialisation) et permet de déterminer des</w:t>
      </w:r>
      <w:r w:rsidR="00A65441"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objectifs et des activités d’intervention individualisés. L’auteur insiste également sur l’intérêt</w:t>
      </w:r>
      <w:r w:rsid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de l’outil pour suivre les progrès des enfants dans ces habiletés et ajuster rapidement le projet</w:t>
      </w:r>
      <w:r w:rsidR="00A65441" w:rsidRPr="00A65441">
        <w:rPr>
          <w:rFonts w:ascii="Times-Roman" w:hAnsi="Times-Roman" w:cs="Times-Roman"/>
          <w:sz w:val="24"/>
          <w:szCs w:val="24"/>
        </w:rPr>
        <w:t xml:space="preserve"> </w:t>
      </w:r>
      <w:r w:rsidRPr="00A65441">
        <w:rPr>
          <w:rFonts w:ascii="Times-Roman" w:hAnsi="Times-Roman" w:cs="Times-Roman"/>
          <w:sz w:val="24"/>
          <w:szCs w:val="24"/>
        </w:rPr>
        <w:t>thérapeutique.</w:t>
      </w:r>
    </w:p>
    <w:p w:rsidR="00A65441" w:rsidRPr="00A65441" w:rsidRDefault="00A65441" w:rsidP="00C5059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2607D2" w:rsidRDefault="002607D2" w:rsidP="00C5059D">
      <w:pPr>
        <w:rPr>
          <w:i/>
          <w:sz w:val="24"/>
          <w:szCs w:val="24"/>
          <w:u w:val="single"/>
        </w:rPr>
      </w:pPr>
      <w:r w:rsidRPr="002607D2">
        <w:rPr>
          <w:rFonts w:ascii="Times-Bold" w:hAnsi="Times-Bold" w:cs="Times-Bold"/>
          <w:b/>
          <w:bCs/>
          <w:i/>
          <w:sz w:val="24"/>
          <w:szCs w:val="24"/>
          <w:u w:val="single"/>
        </w:rPr>
        <w:t>Varia</w:t>
      </w:r>
    </w:p>
    <w:p w:rsidR="002B7899" w:rsidRDefault="002607D2" w:rsidP="00893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07D2">
        <w:rPr>
          <w:rFonts w:ascii="Times New Roman" w:hAnsi="Times New Roman" w:cs="Times New Roman"/>
          <w:sz w:val="24"/>
          <w:szCs w:val="24"/>
        </w:rPr>
        <w:t>L</w:t>
      </w:r>
      <w:r w:rsidRPr="002607D2">
        <w:rPr>
          <w:rFonts w:ascii="Times New Roman" w:hAnsi="Times New Roman" w:cs="Times New Roman"/>
          <w:sz w:val="24"/>
          <w:szCs w:val="24"/>
        </w:rPr>
        <w:t xml:space="preserve">’apprentissage de l’orthographe </w:t>
      </w:r>
      <w:r w:rsidRPr="002607D2">
        <w:rPr>
          <w:rFonts w:ascii="Times New Roman" w:hAnsi="Times New Roman" w:cs="Times New Roman"/>
          <w:sz w:val="24"/>
          <w:szCs w:val="24"/>
        </w:rPr>
        <w:t>lexical</w:t>
      </w:r>
      <w:r w:rsidRPr="002607D2">
        <w:rPr>
          <w:rFonts w:ascii="Times New Roman" w:hAnsi="Times New Roman" w:cs="Times New Roman"/>
          <w:sz w:val="24"/>
          <w:szCs w:val="24"/>
        </w:rPr>
        <w:t xml:space="preserve">e chez les dysorthographiques : interventions en morphologie dérivationnelle </w:t>
      </w:r>
      <w:r w:rsidRPr="007B668C">
        <w:rPr>
          <w:rFonts w:ascii="Times New Roman" w:hAnsi="Times New Roman" w:cs="Times New Roman"/>
          <w:b/>
          <w:sz w:val="24"/>
          <w:szCs w:val="24"/>
        </w:rPr>
        <w:t>N. C</w:t>
      </w:r>
      <w:r w:rsidRPr="007B668C">
        <w:rPr>
          <w:rFonts w:ascii="Times New Roman" w:hAnsi="Times New Roman" w:cs="Times New Roman"/>
          <w:b/>
          <w:sz w:val="24"/>
          <w:szCs w:val="24"/>
        </w:rPr>
        <w:t>hapleau</w:t>
      </w:r>
    </w:p>
    <w:p w:rsidR="00893A9D" w:rsidRDefault="00893A9D" w:rsidP="00893A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3A9D">
        <w:rPr>
          <w:rFonts w:ascii="Times New Roman" w:hAnsi="Times New Roman" w:cs="Times New Roman"/>
          <w:sz w:val="24"/>
          <w:szCs w:val="24"/>
        </w:rPr>
        <w:t>Cet article présente les principes directeurs d’un programme de rééducation centré sur la structure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3A9D">
        <w:rPr>
          <w:rFonts w:ascii="Times New Roman" w:hAnsi="Times New Roman" w:cs="Times New Roman"/>
          <w:sz w:val="24"/>
          <w:szCs w:val="24"/>
        </w:rPr>
        <w:t>morphologique des mots. Cette intervention a été réalisée auprès d’élèves, âgés de 10 à 12 ans,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3A9D">
        <w:rPr>
          <w:rFonts w:ascii="Times New Roman" w:hAnsi="Times New Roman" w:cs="Times New Roman"/>
          <w:sz w:val="24"/>
          <w:szCs w:val="24"/>
        </w:rPr>
        <w:t>présentant une dysorthographie. Afin de suivre systématiquement l’évolution de leurs représentations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3A9D">
        <w:rPr>
          <w:rFonts w:ascii="Times New Roman" w:hAnsi="Times New Roman" w:cs="Times New Roman"/>
          <w:sz w:val="24"/>
          <w:szCs w:val="24"/>
        </w:rPr>
        <w:t>orthographiques, un protocole individuel avec sujets multiples comportant la prise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3A9D">
        <w:rPr>
          <w:rFonts w:ascii="Times New Roman" w:hAnsi="Times New Roman" w:cs="Times New Roman"/>
          <w:sz w:val="24"/>
          <w:szCs w:val="24"/>
        </w:rPr>
        <w:t>mesures continues est privilégié.</w:t>
      </w:r>
    </w:p>
    <w:p w:rsidR="00446846" w:rsidRDefault="00446846" w:rsidP="00893A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6846" w:rsidRPr="00446846" w:rsidRDefault="00446846" w:rsidP="00893A9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4684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Cahier Pratique </w:t>
      </w:r>
    </w:p>
    <w:p w:rsidR="00893A9D" w:rsidRDefault="00893A9D" w:rsidP="00893A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6846" w:rsidRDefault="001771E3" w:rsidP="00E37B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71E3">
        <w:rPr>
          <w:rFonts w:ascii="Times New Roman" w:hAnsi="Times New Roman" w:cs="Times New Roman"/>
          <w:b/>
          <w:sz w:val="24"/>
          <w:szCs w:val="24"/>
        </w:rPr>
        <w:t>Tests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7BF2" w:rsidRPr="00E37BF2">
        <w:rPr>
          <w:rFonts w:ascii="Times New Roman" w:hAnsi="Times New Roman" w:cs="Times New Roman"/>
          <w:sz w:val="24"/>
          <w:szCs w:val="24"/>
        </w:rPr>
        <w:t>Approche développementale</w:t>
      </w:r>
      <w:r w:rsidR="00E37BF2">
        <w:rPr>
          <w:rFonts w:ascii="Times New Roman" w:hAnsi="Times New Roman" w:cs="Times New Roman"/>
          <w:sz w:val="24"/>
          <w:szCs w:val="24"/>
        </w:rPr>
        <w:t xml:space="preserve"> </w:t>
      </w:r>
      <w:r w:rsidR="00E37BF2" w:rsidRPr="00E37BF2">
        <w:rPr>
          <w:rFonts w:ascii="Times New Roman" w:hAnsi="Times New Roman" w:cs="Times New Roman"/>
          <w:sz w:val="24"/>
          <w:szCs w:val="24"/>
        </w:rPr>
        <w:t>pour l’évaluation et l’analyse des</w:t>
      </w:r>
      <w:r w:rsidR="00E37BF2">
        <w:rPr>
          <w:rFonts w:ascii="Times New Roman" w:hAnsi="Times New Roman" w:cs="Times New Roman"/>
          <w:sz w:val="24"/>
          <w:szCs w:val="24"/>
        </w:rPr>
        <w:t xml:space="preserve"> </w:t>
      </w:r>
      <w:r w:rsidR="00E37BF2" w:rsidRPr="00E37BF2">
        <w:rPr>
          <w:rFonts w:ascii="Times New Roman" w:hAnsi="Times New Roman" w:cs="Times New Roman"/>
          <w:sz w:val="24"/>
          <w:szCs w:val="24"/>
        </w:rPr>
        <w:t>dysfonctionnements du langage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1771E3">
        <w:rPr>
          <w:rFonts w:ascii="Times New Roman" w:hAnsi="Times New Roman" w:cs="Times New Roman"/>
          <w:sz w:val="24"/>
          <w:szCs w:val="24"/>
        </w:rPr>
        <w:t xml:space="preserve">La batterie </w:t>
      </w:r>
      <w:proofErr w:type="spellStart"/>
      <w:r w:rsidRPr="001771E3">
        <w:rPr>
          <w:rFonts w:ascii="Times New Roman" w:hAnsi="Times New Roman" w:cs="Times New Roman"/>
          <w:sz w:val="24"/>
          <w:szCs w:val="24"/>
        </w:rPr>
        <w:t>CLéA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1771E3">
        <w:rPr>
          <w:rFonts w:ascii="Times-Bold" w:hAnsi="Times-Bold" w:cs="Times-Bold"/>
          <w:b/>
          <w:bCs/>
          <w:sz w:val="24"/>
        </w:rPr>
        <w:t xml:space="preserve">F. </w:t>
      </w:r>
      <w:proofErr w:type="spellStart"/>
      <w:r w:rsidRPr="001771E3">
        <w:rPr>
          <w:rFonts w:ascii="Times-Bold" w:hAnsi="Times-Bold" w:cs="Times-Bold"/>
          <w:b/>
          <w:bCs/>
          <w:sz w:val="24"/>
        </w:rPr>
        <w:t>P</w:t>
      </w:r>
      <w:r w:rsidRPr="001771E3">
        <w:rPr>
          <w:rFonts w:ascii="Times-Bold" w:hAnsi="Times-Bold" w:cs="Times-Bold"/>
          <w:b/>
          <w:bCs/>
          <w:sz w:val="24"/>
        </w:rPr>
        <w:t>asquet</w:t>
      </w:r>
      <w:proofErr w:type="spellEnd"/>
    </w:p>
    <w:p w:rsidR="001771E3" w:rsidRPr="001771E3" w:rsidRDefault="001771E3" w:rsidP="00177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71E3">
        <w:rPr>
          <w:rFonts w:ascii="Times New Roman" w:hAnsi="Times New Roman" w:cs="Times New Roman"/>
          <w:sz w:val="24"/>
          <w:szCs w:val="24"/>
        </w:rPr>
        <w:t>La diffusion d’une batterie d’évaluation du langage reste un moyen privilégié pour mettre à disposition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71E3">
        <w:rPr>
          <w:rFonts w:ascii="Times New Roman" w:hAnsi="Times New Roman" w:cs="Times New Roman"/>
          <w:sz w:val="24"/>
          <w:szCs w:val="24"/>
        </w:rPr>
        <w:t>des cliniciens les avancées de la recherche. L’utilisation de l’outil permet en retour de tester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71E3">
        <w:rPr>
          <w:rFonts w:ascii="Times New Roman" w:hAnsi="Times New Roman" w:cs="Times New Roman"/>
          <w:sz w:val="24"/>
          <w:szCs w:val="24"/>
        </w:rPr>
        <w:t>la validité des propositions théoriques au regard des bénéfices qu’elles peuvent apporter quant 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71E3">
        <w:rPr>
          <w:rFonts w:ascii="Times New Roman" w:hAnsi="Times New Roman" w:cs="Times New Roman"/>
          <w:sz w:val="24"/>
          <w:szCs w:val="24"/>
        </w:rPr>
        <w:t xml:space="preserve">la compréhension du fonctionnement des patients. La batterie </w:t>
      </w:r>
      <w:proofErr w:type="spellStart"/>
      <w:r w:rsidRPr="001771E3">
        <w:rPr>
          <w:rFonts w:ascii="Times New Roman" w:hAnsi="Times New Roman" w:cs="Times New Roman"/>
          <w:sz w:val="24"/>
          <w:szCs w:val="24"/>
        </w:rPr>
        <w:t>CLéA</w:t>
      </w:r>
      <w:proofErr w:type="spellEnd"/>
      <w:r w:rsidRPr="001771E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71E3">
        <w:rPr>
          <w:rFonts w:ascii="Times New Roman" w:hAnsi="Times New Roman" w:cs="Times New Roman"/>
          <w:sz w:val="24"/>
          <w:szCs w:val="24"/>
        </w:rPr>
        <w:t>Pasquet</w:t>
      </w:r>
      <w:proofErr w:type="spellEnd"/>
      <w:r w:rsidRPr="001771E3">
        <w:rPr>
          <w:rFonts w:ascii="Times New Roman" w:hAnsi="Times New Roman" w:cs="Times New Roman"/>
          <w:sz w:val="24"/>
          <w:szCs w:val="24"/>
        </w:rPr>
        <w:t xml:space="preserve"> et </w:t>
      </w:r>
      <w:proofErr w:type="gramStart"/>
      <w:r w:rsidRPr="001771E3">
        <w:rPr>
          <w:rFonts w:ascii="Times New Roman" w:hAnsi="Times New Roman" w:cs="Times New Roman"/>
          <w:sz w:val="24"/>
          <w:szCs w:val="24"/>
        </w:rPr>
        <w:t>al.,</w:t>
      </w:r>
      <w:proofErr w:type="gramEnd"/>
      <w:r w:rsidRPr="001771E3">
        <w:rPr>
          <w:rFonts w:ascii="Times New Roman" w:hAnsi="Times New Roman" w:cs="Times New Roman"/>
          <w:sz w:val="24"/>
          <w:szCs w:val="24"/>
        </w:rPr>
        <w:t xml:space="preserve"> 2014) intègre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71E3">
        <w:rPr>
          <w:rFonts w:ascii="Times New Roman" w:hAnsi="Times New Roman" w:cs="Times New Roman"/>
          <w:sz w:val="24"/>
          <w:szCs w:val="24"/>
        </w:rPr>
        <w:t xml:space="preserve">des propositions issues des théories </w:t>
      </w:r>
      <w:proofErr w:type="spellStart"/>
      <w:r w:rsidRPr="001771E3">
        <w:rPr>
          <w:rFonts w:ascii="Times New Roman" w:hAnsi="Times New Roman" w:cs="Times New Roman"/>
          <w:sz w:val="24"/>
          <w:szCs w:val="24"/>
        </w:rPr>
        <w:t>émergentistes</w:t>
      </w:r>
      <w:proofErr w:type="spellEnd"/>
      <w:r w:rsidRPr="001771E3">
        <w:rPr>
          <w:rFonts w:ascii="Times New Roman" w:hAnsi="Times New Roman" w:cs="Times New Roman"/>
          <w:sz w:val="24"/>
          <w:szCs w:val="24"/>
        </w:rPr>
        <w:t xml:space="preserve"> et fonctionnalistes. Ces théories expliquent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71E3">
        <w:rPr>
          <w:rFonts w:ascii="Times New Roman" w:hAnsi="Times New Roman" w:cs="Times New Roman"/>
          <w:sz w:val="24"/>
          <w:szCs w:val="24"/>
        </w:rPr>
        <w:t>comment le langage se construit, de façon précoce et continue, grâce aux interactions entre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71E3">
        <w:rPr>
          <w:rFonts w:ascii="Times New Roman" w:hAnsi="Times New Roman" w:cs="Times New Roman"/>
          <w:sz w:val="24"/>
          <w:szCs w:val="24"/>
        </w:rPr>
        <w:t>ses principales composantes (lexique, phonologie, morphologie, syntaxe, sémantique).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71E3">
        <w:rPr>
          <w:rFonts w:ascii="Times New Roman" w:hAnsi="Times New Roman" w:cs="Times New Roman"/>
          <w:sz w:val="24"/>
          <w:szCs w:val="24"/>
        </w:rPr>
        <w:t>L’utilisation d’un tel outil permet non seulement de questionner les critères</w:t>
      </w:r>
    </w:p>
    <w:p w:rsidR="001771E3" w:rsidRDefault="001771E3" w:rsidP="00177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771E3">
        <w:rPr>
          <w:rFonts w:ascii="Times New Roman" w:hAnsi="Times New Roman" w:cs="Times New Roman"/>
          <w:sz w:val="24"/>
          <w:szCs w:val="24"/>
        </w:rPr>
        <w:t>diagnostiques</w:t>
      </w:r>
      <w:proofErr w:type="gramEnd"/>
      <w:r w:rsidRPr="001771E3">
        <w:rPr>
          <w:rFonts w:ascii="Times New Roman" w:hAnsi="Times New Roman" w:cs="Times New Roman"/>
          <w:sz w:val="24"/>
          <w:szCs w:val="24"/>
        </w:rPr>
        <w:t xml:space="preserve"> en vigueur mais aussi et surtout de repenser les stratégies de remédiation</w:t>
      </w:r>
    </w:p>
    <w:p w:rsidR="001771E3" w:rsidRDefault="001771E3" w:rsidP="00177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3BD" w:rsidRPr="0054567E" w:rsidRDefault="00EB13BD" w:rsidP="00297923">
      <w:pPr>
        <w:spacing w:after="0"/>
        <w:ind w:left="567"/>
        <w:jc w:val="center"/>
        <w:rPr>
          <w:b/>
          <w:bCs/>
          <w:color w:val="C00000"/>
          <w:sz w:val="32"/>
          <w:szCs w:val="32"/>
        </w:rPr>
      </w:pPr>
      <w:hyperlink r:id="rId6" w:history="1">
        <w:r w:rsidRPr="0054567E">
          <w:rPr>
            <w:rStyle w:val="Lienhypertexte"/>
            <w:b/>
            <w:bCs/>
            <w:color w:val="C00000"/>
            <w:sz w:val="32"/>
            <w:szCs w:val="32"/>
          </w:rPr>
          <w:t>Acheter le N° 13</w:t>
        </w:r>
        <w:r>
          <w:rPr>
            <w:rStyle w:val="Lienhypertexte"/>
            <w:b/>
            <w:color w:val="C00000"/>
            <w:sz w:val="32"/>
            <w:szCs w:val="32"/>
          </w:rPr>
          <w:t>5</w:t>
        </w:r>
      </w:hyperlink>
    </w:p>
    <w:p w:rsidR="00EB13BD" w:rsidRPr="0054567E" w:rsidRDefault="00EB13BD" w:rsidP="00297923">
      <w:pPr>
        <w:spacing w:after="0"/>
        <w:ind w:left="567"/>
        <w:jc w:val="center"/>
        <w:rPr>
          <w:b/>
          <w:bCs/>
          <w:color w:val="C00000"/>
          <w:sz w:val="28"/>
          <w:szCs w:val="28"/>
        </w:rPr>
      </w:pPr>
      <w:hyperlink r:id="rId7" w:history="1">
        <w:r w:rsidRPr="0054567E">
          <w:rPr>
            <w:rStyle w:val="Lienhypertexte"/>
            <w:b/>
            <w:bCs/>
            <w:color w:val="C00000"/>
            <w:sz w:val="28"/>
            <w:szCs w:val="28"/>
          </w:rPr>
          <w:t>S’abonner pour 2015</w:t>
        </w:r>
      </w:hyperlink>
    </w:p>
    <w:p w:rsidR="00FF79DF" w:rsidRDefault="00FF79DF" w:rsidP="00FF79DF">
      <w:pPr>
        <w:spacing w:after="0" w:line="240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Ce numéro fait partie de l’abonnement 2015, Vol 27</w:t>
      </w:r>
    </w:p>
    <w:p w:rsidR="00FF79DF" w:rsidRPr="004F62E0" w:rsidRDefault="00FF79DF" w:rsidP="00FF79DF">
      <w:pPr>
        <w:spacing w:after="0" w:line="240" w:lineRule="auto"/>
        <w:jc w:val="center"/>
        <w:rPr>
          <w:b/>
          <w:bCs/>
          <w:color w:val="1F497D" w:themeColor="dark2"/>
          <w:sz w:val="14"/>
        </w:rPr>
      </w:pPr>
    </w:p>
    <w:p w:rsidR="00FF79DF" w:rsidRPr="004F62E0" w:rsidRDefault="00FF79DF" w:rsidP="00FF79DF">
      <w:pPr>
        <w:spacing w:after="0" w:line="240" w:lineRule="auto"/>
        <w:rPr>
          <w:i/>
          <w:szCs w:val="32"/>
        </w:rPr>
      </w:pPr>
      <w:r w:rsidRPr="004F62E0">
        <w:rPr>
          <w:szCs w:val="32"/>
        </w:rPr>
        <w:t xml:space="preserve">•        </w:t>
      </w:r>
      <w:r w:rsidRPr="004F62E0">
        <w:rPr>
          <w:b/>
          <w:szCs w:val="32"/>
        </w:rPr>
        <w:t>N° 134</w:t>
      </w:r>
      <w:r w:rsidRPr="004F62E0">
        <w:rPr>
          <w:szCs w:val="32"/>
        </w:rPr>
        <w:t xml:space="preserve"> - Le neuroéducation </w:t>
      </w:r>
      <w:r w:rsidRPr="004F62E0">
        <w:rPr>
          <w:i/>
          <w:szCs w:val="32"/>
        </w:rPr>
        <w:t>coordonné par le Pr Steve Masson</w:t>
      </w:r>
    </w:p>
    <w:p w:rsidR="00FF79DF" w:rsidRPr="004F62E0" w:rsidRDefault="00FF79DF" w:rsidP="00FF79DF">
      <w:pPr>
        <w:spacing w:after="0" w:line="240" w:lineRule="auto"/>
        <w:rPr>
          <w:szCs w:val="32"/>
        </w:rPr>
      </w:pPr>
      <w:r w:rsidRPr="004F62E0">
        <w:rPr>
          <w:szCs w:val="32"/>
        </w:rPr>
        <w:t xml:space="preserve">•        </w:t>
      </w:r>
      <w:r w:rsidRPr="004F62E0">
        <w:rPr>
          <w:b/>
          <w:szCs w:val="32"/>
        </w:rPr>
        <w:t>N° 135</w:t>
      </w:r>
      <w:r w:rsidRPr="004F62E0">
        <w:rPr>
          <w:szCs w:val="32"/>
        </w:rPr>
        <w:t xml:space="preserve"> - L’acquisition du langage oral, ses troubles et les conséquences sur les apprentissages </w:t>
      </w:r>
      <w:r>
        <w:rPr>
          <w:i/>
          <w:szCs w:val="32"/>
        </w:rPr>
        <w:t>coordonné par le</w:t>
      </w:r>
      <w:r w:rsidRPr="004F62E0">
        <w:rPr>
          <w:i/>
          <w:szCs w:val="32"/>
        </w:rPr>
        <w:t xml:space="preserve"> Pr </w:t>
      </w:r>
      <w:r>
        <w:rPr>
          <w:i/>
          <w:szCs w:val="32"/>
        </w:rPr>
        <w:t xml:space="preserve">J. </w:t>
      </w:r>
      <w:proofErr w:type="spellStart"/>
      <w:r w:rsidRPr="004F62E0">
        <w:rPr>
          <w:i/>
          <w:szCs w:val="32"/>
        </w:rPr>
        <w:t>Gregoire</w:t>
      </w:r>
      <w:proofErr w:type="spellEnd"/>
      <w:r>
        <w:rPr>
          <w:i/>
          <w:szCs w:val="32"/>
        </w:rPr>
        <w:t xml:space="preserve"> et </w:t>
      </w:r>
      <w:r w:rsidR="00297923" w:rsidRPr="00297923">
        <w:rPr>
          <w:i/>
          <w:szCs w:val="32"/>
        </w:rPr>
        <w:t>T. Martinez-Perez</w:t>
      </w:r>
    </w:p>
    <w:p w:rsidR="00FF79DF" w:rsidRPr="004F62E0" w:rsidRDefault="00FF79DF" w:rsidP="00FF79DF">
      <w:pPr>
        <w:spacing w:after="0" w:line="240" w:lineRule="auto"/>
        <w:rPr>
          <w:szCs w:val="32"/>
        </w:rPr>
      </w:pPr>
      <w:r w:rsidRPr="004F62E0">
        <w:rPr>
          <w:szCs w:val="32"/>
        </w:rPr>
        <w:t xml:space="preserve">•        </w:t>
      </w:r>
      <w:r w:rsidRPr="004F62E0">
        <w:rPr>
          <w:b/>
          <w:szCs w:val="32"/>
        </w:rPr>
        <w:t xml:space="preserve">N° 136 </w:t>
      </w:r>
      <w:r w:rsidRPr="004F62E0">
        <w:rPr>
          <w:szCs w:val="32"/>
        </w:rPr>
        <w:t xml:space="preserve">- Avantages &amp; inconvénients du bilinguisme : aspects </w:t>
      </w:r>
      <w:proofErr w:type="spellStart"/>
      <w:r w:rsidRPr="004F62E0">
        <w:rPr>
          <w:szCs w:val="32"/>
        </w:rPr>
        <w:t>neuro-cognitifs</w:t>
      </w:r>
      <w:proofErr w:type="spellEnd"/>
      <w:r w:rsidRPr="004F62E0">
        <w:rPr>
          <w:szCs w:val="32"/>
        </w:rPr>
        <w:t xml:space="preserve"> </w:t>
      </w:r>
      <w:r w:rsidRPr="004F62E0">
        <w:rPr>
          <w:i/>
          <w:szCs w:val="32"/>
        </w:rPr>
        <w:t xml:space="preserve">coordonné par Senja </w:t>
      </w:r>
      <w:proofErr w:type="spellStart"/>
      <w:r w:rsidRPr="004F62E0">
        <w:rPr>
          <w:i/>
          <w:szCs w:val="32"/>
        </w:rPr>
        <w:t>Stirn</w:t>
      </w:r>
      <w:proofErr w:type="spellEnd"/>
    </w:p>
    <w:p w:rsidR="00FF79DF" w:rsidRPr="004F62E0" w:rsidRDefault="00FF79DF" w:rsidP="00FF79DF">
      <w:pPr>
        <w:spacing w:after="0" w:line="240" w:lineRule="auto"/>
        <w:rPr>
          <w:szCs w:val="32"/>
        </w:rPr>
      </w:pPr>
      <w:r w:rsidRPr="004F62E0">
        <w:rPr>
          <w:szCs w:val="32"/>
        </w:rPr>
        <w:t xml:space="preserve">•        </w:t>
      </w:r>
      <w:r w:rsidRPr="004F62E0">
        <w:rPr>
          <w:b/>
          <w:szCs w:val="32"/>
        </w:rPr>
        <w:t>N° 137</w:t>
      </w:r>
      <w:r w:rsidRPr="004F62E0">
        <w:rPr>
          <w:szCs w:val="32"/>
        </w:rPr>
        <w:t xml:space="preserve"> - Apprentissages, cognition et émotions. De la théorie à la pratique </w:t>
      </w:r>
      <w:proofErr w:type="gramStart"/>
      <w:r w:rsidRPr="004F62E0">
        <w:rPr>
          <w:i/>
          <w:szCs w:val="32"/>
        </w:rPr>
        <w:t>coordonné</w:t>
      </w:r>
      <w:proofErr w:type="gramEnd"/>
      <w:r w:rsidRPr="004F62E0">
        <w:rPr>
          <w:i/>
          <w:szCs w:val="32"/>
        </w:rPr>
        <w:t xml:space="preserve"> par le Pr E. Gentaz</w:t>
      </w:r>
    </w:p>
    <w:p w:rsidR="00FF79DF" w:rsidRPr="004F62E0" w:rsidRDefault="00FF79DF" w:rsidP="00FF79DF">
      <w:pPr>
        <w:spacing w:after="0" w:line="240" w:lineRule="auto"/>
        <w:rPr>
          <w:szCs w:val="32"/>
        </w:rPr>
      </w:pPr>
      <w:r w:rsidRPr="004F62E0">
        <w:rPr>
          <w:szCs w:val="32"/>
        </w:rPr>
        <w:t xml:space="preserve">•        </w:t>
      </w:r>
      <w:r w:rsidRPr="004F62E0">
        <w:rPr>
          <w:b/>
          <w:szCs w:val="32"/>
        </w:rPr>
        <w:t>N° 138</w:t>
      </w:r>
      <w:r w:rsidRPr="004F62E0">
        <w:rPr>
          <w:szCs w:val="32"/>
        </w:rPr>
        <w:t xml:space="preserve"> - Autisme  </w:t>
      </w:r>
      <w:r w:rsidRPr="004F62E0">
        <w:rPr>
          <w:i/>
          <w:szCs w:val="32"/>
        </w:rPr>
        <w:t>coordonné par le Pr Evrard</w:t>
      </w:r>
    </w:p>
    <w:p w:rsidR="00FF79DF" w:rsidRPr="004F62E0" w:rsidRDefault="00FF79DF" w:rsidP="00FF79DF">
      <w:pPr>
        <w:spacing w:after="0" w:line="240" w:lineRule="auto"/>
        <w:rPr>
          <w:szCs w:val="32"/>
        </w:rPr>
      </w:pPr>
      <w:r w:rsidRPr="004F62E0">
        <w:rPr>
          <w:szCs w:val="32"/>
        </w:rPr>
        <w:t xml:space="preserve">•        </w:t>
      </w:r>
      <w:r w:rsidRPr="004F62E0">
        <w:rPr>
          <w:b/>
          <w:szCs w:val="32"/>
        </w:rPr>
        <w:t>N° 139</w:t>
      </w:r>
      <w:r w:rsidRPr="004F62E0">
        <w:rPr>
          <w:szCs w:val="32"/>
        </w:rPr>
        <w:t xml:space="preserve"> - Surdité </w:t>
      </w:r>
      <w:r w:rsidRPr="004F62E0">
        <w:rPr>
          <w:i/>
          <w:szCs w:val="32"/>
        </w:rPr>
        <w:t xml:space="preserve">coordonné par le Pr J </w:t>
      </w:r>
      <w:proofErr w:type="spellStart"/>
      <w:r w:rsidRPr="004F62E0">
        <w:rPr>
          <w:i/>
          <w:szCs w:val="32"/>
        </w:rPr>
        <w:t>Leybaert</w:t>
      </w:r>
      <w:proofErr w:type="spellEnd"/>
    </w:p>
    <w:p w:rsidR="00FF79DF" w:rsidRPr="004F62E0" w:rsidRDefault="00FF79DF" w:rsidP="00FF79DF">
      <w:pPr>
        <w:spacing w:after="0" w:line="240" w:lineRule="auto"/>
        <w:rPr>
          <w:color w:val="1F497D"/>
          <w:sz w:val="18"/>
        </w:rPr>
      </w:pPr>
    </w:p>
    <w:p w:rsidR="00FF79DF" w:rsidRPr="004F62E0" w:rsidRDefault="00FF79DF" w:rsidP="00FF79DF">
      <w:pPr>
        <w:spacing w:after="0" w:line="240" w:lineRule="auto"/>
        <w:ind w:left="720"/>
        <w:rPr>
          <w:color w:val="1F497D"/>
          <w:szCs w:val="32"/>
        </w:rPr>
      </w:pPr>
      <w:proofErr w:type="gramStart"/>
      <w:r w:rsidRPr="004F62E0">
        <w:rPr>
          <w:szCs w:val="32"/>
        </w:rPr>
        <w:t>et</w:t>
      </w:r>
      <w:proofErr w:type="gramEnd"/>
      <w:r w:rsidRPr="004F62E0">
        <w:rPr>
          <w:szCs w:val="32"/>
        </w:rPr>
        <w:t xml:space="preserve"> bien d’autres choses encore….</w:t>
      </w:r>
    </w:p>
    <w:p w:rsidR="00FF79DF" w:rsidRDefault="00FF79DF" w:rsidP="00FF79DF">
      <w:pPr>
        <w:spacing w:after="0" w:line="240" w:lineRule="auto"/>
        <w:jc w:val="center"/>
        <w:rPr>
          <w:color w:val="1F497D"/>
        </w:rPr>
      </w:pPr>
    </w:p>
    <w:p w:rsidR="00FF79DF" w:rsidRPr="0054567E" w:rsidRDefault="00FF79DF" w:rsidP="00FF79DF">
      <w:pPr>
        <w:spacing w:after="0" w:line="240" w:lineRule="auto"/>
        <w:ind w:left="567"/>
        <w:jc w:val="center"/>
        <w:rPr>
          <w:b/>
          <w:bCs/>
          <w:color w:val="C00000"/>
          <w:sz w:val="28"/>
          <w:szCs w:val="28"/>
        </w:rPr>
      </w:pPr>
      <w:hyperlink r:id="rId8" w:history="1">
        <w:r w:rsidRPr="0054567E">
          <w:rPr>
            <w:rStyle w:val="Lienhypertexte"/>
            <w:b/>
            <w:bCs/>
            <w:color w:val="C00000"/>
            <w:sz w:val="28"/>
            <w:szCs w:val="28"/>
          </w:rPr>
          <w:t>Acheter le N° 13</w:t>
        </w:r>
      </w:hyperlink>
      <w:r>
        <w:rPr>
          <w:rStyle w:val="Lienhypertexte"/>
          <w:b/>
          <w:bCs/>
          <w:color w:val="C00000"/>
          <w:sz w:val="28"/>
          <w:szCs w:val="28"/>
        </w:rPr>
        <w:t>5</w:t>
      </w:r>
    </w:p>
    <w:p w:rsidR="00FF79DF" w:rsidRDefault="00FF79DF" w:rsidP="00FF79DF">
      <w:pPr>
        <w:spacing w:after="0" w:line="240" w:lineRule="auto"/>
        <w:ind w:left="567"/>
        <w:jc w:val="center"/>
        <w:rPr>
          <w:rStyle w:val="Lienhypertexte"/>
          <w:b/>
          <w:bCs/>
          <w:color w:val="C00000"/>
          <w:sz w:val="28"/>
          <w:szCs w:val="28"/>
        </w:rPr>
      </w:pPr>
      <w:hyperlink r:id="rId9" w:history="1">
        <w:r w:rsidRPr="0054567E">
          <w:rPr>
            <w:rStyle w:val="Lienhypertexte"/>
            <w:b/>
            <w:bCs/>
            <w:color w:val="C00000"/>
            <w:sz w:val="28"/>
            <w:szCs w:val="28"/>
          </w:rPr>
          <w:t>S’abonner pour 2015</w:t>
        </w:r>
      </w:hyperlink>
    </w:p>
    <w:p w:rsidR="00297923" w:rsidRPr="00C74D9B" w:rsidRDefault="00297923" w:rsidP="00FF79DF">
      <w:pPr>
        <w:spacing w:after="0" w:line="240" w:lineRule="auto"/>
        <w:ind w:left="567"/>
        <w:jc w:val="center"/>
        <w:rPr>
          <w:rStyle w:val="Lienhypertexte"/>
          <w:b/>
          <w:bCs/>
          <w:color w:val="C00000"/>
          <w:sz w:val="20"/>
          <w:szCs w:val="28"/>
        </w:rPr>
      </w:pPr>
    </w:p>
    <w:p w:rsidR="00297923" w:rsidRPr="00297923" w:rsidRDefault="00297923" w:rsidP="00FF79DF">
      <w:pPr>
        <w:spacing w:after="0" w:line="240" w:lineRule="auto"/>
        <w:ind w:left="567"/>
        <w:jc w:val="center"/>
        <w:rPr>
          <w:rStyle w:val="Lienhypertexte"/>
          <w:b/>
          <w:bCs/>
          <w:color w:val="auto"/>
          <w:sz w:val="28"/>
          <w:szCs w:val="28"/>
        </w:rPr>
      </w:pPr>
      <w:r w:rsidRPr="00297923">
        <w:rPr>
          <w:rStyle w:val="Lienhypertexte"/>
          <w:b/>
          <w:bCs/>
          <w:color w:val="auto"/>
          <w:sz w:val="28"/>
          <w:szCs w:val="28"/>
        </w:rPr>
        <w:t>Sommaire</w:t>
      </w:r>
    </w:p>
    <w:p w:rsidR="00297923" w:rsidRPr="00C74D9B" w:rsidRDefault="00297923" w:rsidP="00FF79DF">
      <w:pPr>
        <w:spacing w:after="0" w:line="240" w:lineRule="auto"/>
        <w:ind w:left="567"/>
        <w:jc w:val="center"/>
        <w:rPr>
          <w:rStyle w:val="Lienhypertexte"/>
          <w:b/>
          <w:bCs/>
          <w:color w:val="C00000"/>
          <w:sz w:val="20"/>
          <w:szCs w:val="28"/>
        </w:rPr>
      </w:pPr>
      <w:bookmarkStart w:id="0" w:name="_GoBack"/>
      <w:bookmarkEnd w:id="0"/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jc w:val="center"/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="Times-Bold" w:hAnsi="Times-Bold" w:cs="Times-Bold"/>
          <w:b/>
          <w:bCs/>
          <w:sz w:val="28"/>
          <w:szCs w:val="28"/>
        </w:rPr>
        <w:t>Troubles du langage et apprentissages</w:t>
      </w: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jc w:val="center"/>
        <w:rPr>
          <w:rFonts w:ascii="Times-Italic" w:hAnsi="Times-Italic" w:cs="Times-Italic"/>
          <w:i/>
          <w:iCs/>
          <w:sz w:val="20"/>
          <w:szCs w:val="20"/>
        </w:rPr>
      </w:pPr>
      <w:r>
        <w:rPr>
          <w:rFonts w:ascii="Times-Italic" w:hAnsi="Times-Italic" w:cs="Times-Italic"/>
          <w:i/>
          <w:iCs/>
          <w:sz w:val="20"/>
          <w:szCs w:val="20"/>
        </w:rPr>
        <w:t>Dossier coordonné par Jacques Grégoire, Université de Louvain, Belgique</w:t>
      </w: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jc w:val="center"/>
        <w:rPr>
          <w:rFonts w:ascii="Times-Italic" w:hAnsi="Times-Italic" w:cs="Times-Italic"/>
          <w:i/>
          <w:iCs/>
          <w:sz w:val="20"/>
          <w:szCs w:val="20"/>
        </w:rPr>
      </w:pPr>
      <w:proofErr w:type="gramStart"/>
      <w:r>
        <w:rPr>
          <w:rFonts w:ascii="Times-Italic" w:hAnsi="Times-Italic" w:cs="Times-Italic"/>
          <w:i/>
          <w:iCs/>
          <w:sz w:val="20"/>
          <w:szCs w:val="20"/>
        </w:rPr>
        <w:t>et</w:t>
      </w:r>
      <w:proofErr w:type="gramEnd"/>
      <w:r>
        <w:rPr>
          <w:rFonts w:ascii="Times-Italic" w:hAnsi="Times-Italic" w:cs="Times-Italic"/>
          <w:i/>
          <w:iCs/>
          <w:sz w:val="20"/>
          <w:szCs w:val="20"/>
        </w:rPr>
        <w:t xml:space="preserve"> </w:t>
      </w:r>
      <w:proofErr w:type="spellStart"/>
      <w:r>
        <w:rPr>
          <w:rFonts w:ascii="Times-Italic" w:hAnsi="Times-Italic" w:cs="Times-Italic"/>
          <w:i/>
          <w:iCs/>
          <w:sz w:val="20"/>
          <w:szCs w:val="20"/>
        </w:rPr>
        <w:t>Trecy</w:t>
      </w:r>
      <w:proofErr w:type="spellEnd"/>
      <w:r>
        <w:rPr>
          <w:rFonts w:ascii="Times-Italic" w:hAnsi="Times-Italic" w:cs="Times-Italic"/>
          <w:i/>
          <w:iCs/>
          <w:sz w:val="20"/>
          <w:szCs w:val="20"/>
        </w:rPr>
        <w:t xml:space="preserve"> Martinez-Perez, Association scientifique et éthique des logopèdes francophones, </w:t>
      </w:r>
      <w:r>
        <w:rPr>
          <w:rFonts w:ascii="Times-Italic" w:hAnsi="Times-Italic" w:cs="Times-Italic"/>
          <w:i/>
          <w:iCs/>
          <w:sz w:val="20"/>
          <w:szCs w:val="20"/>
        </w:rPr>
        <w:t>Belgique</w:t>
      </w: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20"/>
          <w:szCs w:val="20"/>
        </w:rPr>
      </w:pP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14"/>
          <w:szCs w:val="14"/>
        </w:rPr>
      </w:pPr>
      <w:r>
        <w:rPr>
          <w:rFonts w:ascii="Times-Roman" w:hAnsi="Times-Roman" w:cs="Times-Roman"/>
          <w:sz w:val="20"/>
          <w:szCs w:val="20"/>
        </w:rPr>
        <w:t xml:space="preserve">Éditorial </w:t>
      </w:r>
      <w:r>
        <w:rPr>
          <w:rFonts w:ascii="Times-Italic" w:hAnsi="Times-Italic" w:cs="Times-Italic"/>
          <w:i/>
          <w:iCs/>
          <w:sz w:val="14"/>
          <w:szCs w:val="14"/>
        </w:rPr>
        <w:t>J. GRÉGOIRE</w:t>
      </w: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14"/>
          <w:szCs w:val="14"/>
        </w:rPr>
      </w:pPr>
      <w:r>
        <w:rPr>
          <w:rFonts w:ascii="Times-Roman" w:hAnsi="Times-Roman" w:cs="Times-Roman"/>
          <w:sz w:val="20"/>
          <w:szCs w:val="20"/>
        </w:rPr>
        <w:t xml:space="preserve">Hommage à Alain </w:t>
      </w:r>
      <w:proofErr w:type="spellStart"/>
      <w:r>
        <w:rPr>
          <w:rFonts w:ascii="Times-Roman" w:hAnsi="Times-Roman" w:cs="Times-Roman"/>
          <w:sz w:val="20"/>
          <w:szCs w:val="20"/>
        </w:rPr>
        <w:t>Lieury</w:t>
      </w:r>
      <w:proofErr w:type="spellEnd"/>
      <w:r>
        <w:rPr>
          <w:rFonts w:ascii="Times-Roman" w:hAnsi="Times-Roman" w:cs="Times-Roman"/>
          <w:sz w:val="20"/>
          <w:szCs w:val="20"/>
        </w:rPr>
        <w:t xml:space="preserve"> (1946-2015) </w:t>
      </w:r>
      <w:r>
        <w:rPr>
          <w:rFonts w:ascii="Times-Italic" w:hAnsi="Times-Italic" w:cs="Times-Italic"/>
          <w:i/>
          <w:iCs/>
          <w:sz w:val="14"/>
          <w:szCs w:val="14"/>
        </w:rPr>
        <w:t>A. FLORIN</w:t>
      </w: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14"/>
          <w:szCs w:val="14"/>
        </w:rPr>
      </w:pPr>
      <w:r>
        <w:rPr>
          <w:rFonts w:ascii="Times-Roman" w:hAnsi="Times-Roman" w:cs="Times-Roman"/>
          <w:sz w:val="20"/>
          <w:szCs w:val="20"/>
        </w:rPr>
        <w:t xml:space="preserve">Alain </w:t>
      </w:r>
      <w:proofErr w:type="spellStart"/>
      <w:r>
        <w:rPr>
          <w:rFonts w:ascii="Times-Roman" w:hAnsi="Times-Roman" w:cs="Times-Roman"/>
          <w:sz w:val="20"/>
          <w:szCs w:val="20"/>
        </w:rPr>
        <w:t>Lieury</w:t>
      </w:r>
      <w:proofErr w:type="spellEnd"/>
      <w:r>
        <w:rPr>
          <w:rFonts w:ascii="Times-Roman" w:hAnsi="Times-Roman" w:cs="Times-Roman"/>
          <w:sz w:val="20"/>
          <w:szCs w:val="20"/>
        </w:rPr>
        <w:t xml:space="preserve">, une passion de partager les connaissances </w:t>
      </w:r>
      <w:r>
        <w:rPr>
          <w:rFonts w:ascii="Times-Italic" w:hAnsi="Times-Italic" w:cs="Times-Italic"/>
          <w:i/>
          <w:iCs/>
          <w:sz w:val="14"/>
          <w:szCs w:val="14"/>
        </w:rPr>
        <w:t>F. FENOUILLET</w:t>
      </w: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proofErr w:type="gramStart"/>
      <w:r>
        <w:rPr>
          <w:rFonts w:ascii="Times-Roman" w:hAnsi="Times-Roman" w:cs="Times-Roman"/>
          <w:sz w:val="20"/>
          <w:szCs w:val="20"/>
        </w:rPr>
        <w:t>dossier</w:t>
      </w:r>
      <w:proofErr w:type="gramEnd"/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ZapfDingbats" w:eastAsia="ZapfDingbats" w:hAnsi="Times-Bold" w:cs="ZapfDingbats"/>
          <w:sz w:val="14"/>
          <w:szCs w:val="14"/>
        </w:rPr>
      </w:pPr>
      <w:r>
        <w:rPr>
          <w:rFonts w:ascii="Times-Roman" w:hAnsi="Times-Roman" w:cs="Times-Roman"/>
          <w:sz w:val="20"/>
          <w:szCs w:val="20"/>
        </w:rPr>
        <w:t xml:space="preserve">L’évaluation intellectuelle dans l’examen des troubles du langage - </w:t>
      </w:r>
      <w:r>
        <w:rPr>
          <w:rFonts w:ascii="Times-Italic" w:hAnsi="Times-Italic" w:cs="Times-Italic"/>
          <w:i/>
          <w:iCs/>
          <w:sz w:val="14"/>
          <w:szCs w:val="14"/>
        </w:rPr>
        <w:t xml:space="preserve">J. GRÉGOIRE </w:t>
      </w: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14"/>
          <w:szCs w:val="14"/>
        </w:rPr>
      </w:pPr>
      <w:r>
        <w:rPr>
          <w:rFonts w:ascii="Times-Roman" w:hAnsi="Times-Roman" w:cs="Times-Roman"/>
          <w:sz w:val="20"/>
          <w:szCs w:val="20"/>
        </w:rPr>
        <w:t>Psychopathologie et</w:t>
      </w:r>
      <w:r>
        <w:rPr>
          <w:rFonts w:ascii="Times-Roman" w:hAnsi="Times-Roman" w:cs="Times-Roman"/>
          <w:sz w:val="20"/>
          <w:szCs w:val="20"/>
        </w:rPr>
        <w:t xml:space="preserve"> </w:t>
      </w:r>
      <w:r>
        <w:rPr>
          <w:rFonts w:ascii="Times-Roman" w:hAnsi="Times-Roman" w:cs="Times-Roman"/>
          <w:sz w:val="20"/>
          <w:szCs w:val="20"/>
        </w:rPr>
        <w:t xml:space="preserve">troubles des apprentissages : comorbidités ou syndromes ? - </w:t>
      </w:r>
      <w:r>
        <w:rPr>
          <w:rFonts w:ascii="Times-Italic" w:hAnsi="Times-Italic" w:cs="Times-Italic"/>
          <w:i/>
          <w:iCs/>
          <w:sz w:val="14"/>
          <w:szCs w:val="14"/>
        </w:rPr>
        <w:t>L. OUSS</w:t>
      </w: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14"/>
          <w:szCs w:val="14"/>
        </w:rPr>
      </w:pPr>
      <w:r>
        <w:rPr>
          <w:rFonts w:ascii="Times-Roman" w:hAnsi="Times-Roman" w:cs="Times-Roman"/>
          <w:sz w:val="20"/>
          <w:szCs w:val="20"/>
        </w:rPr>
        <w:t>Remédiations des troubles de la</w:t>
      </w:r>
      <w:r>
        <w:rPr>
          <w:rFonts w:ascii="Times-Roman" w:hAnsi="Times-Roman" w:cs="Times-Roman"/>
          <w:sz w:val="20"/>
          <w:szCs w:val="20"/>
        </w:rPr>
        <w:t xml:space="preserve"> </w:t>
      </w:r>
      <w:r>
        <w:rPr>
          <w:rFonts w:ascii="Times-Roman" w:hAnsi="Times-Roman" w:cs="Times-Roman"/>
          <w:sz w:val="20"/>
          <w:szCs w:val="20"/>
        </w:rPr>
        <w:t xml:space="preserve">lecture chez les enfants dysphasiques et dyslexiques : quels recoupements ? - </w:t>
      </w:r>
      <w:r>
        <w:rPr>
          <w:rFonts w:ascii="Times-Italic" w:hAnsi="Times-Italic" w:cs="Times-Italic"/>
          <w:i/>
          <w:iCs/>
          <w:sz w:val="14"/>
          <w:szCs w:val="14"/>
        </w:rPr>
        <w:t>G. LELOUP</w:t>
      </w: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14"/>
          <w:szCs w:val="14"/>
        </w:rPr>
      </w:pP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b/>
          <w:sz w:val="26"/>
          <w:szCs w:val="24"/>
        </w:rPr>
      </w:pPr>
      <w:r w:rsidRPr="002607D2">
        <w:rPr>
          <w:rFonts w:ascii="Times-Roman" w:hAnsi="Times-Roman" w:cs="Times-Roman"/>
          <w:b/>
          <w:sz w:val="26"/>
          <w:szCs w:val="24"/>
        </w:rPr>
        <w:t xml:space="preserve">L’intervention orthophonique auprès des jeunes enfants </w:t>
      </w:r>
    </w:p>
    <w:p w:rsidR="00297923" w:rsidRPr="002607D2" w:rsidRDefault="00297923" w:rsidP="00297923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b/>
          <w:sz w:val="26"/>
          <w:szCs w:val="20"/>
        </w:rPr>
      </w:pPr>
      <w:proofErr w:type="gramStart"/>
      <w:r w:rsidRPr="002607D2">
        <w:rPr>
          <w:rFonts w:ascii="Times-Roman" w:hAnsi="Times-Roman" w:cs="Times-Roman"/>
          <w:b/>
          <w:sz w:val="26"/>
          <w:szCs w:val="24"/>
        </w:rPr>
        <w:t>avec</w:t>
      </w:r>
      <w:proofErr w:type="gramEnd"/>
      <w:r w:rsidRPr="002607D2">
        <w:rPr>
          <w:rFonts w:ascii="Times-Roman" w:hAnsi="Times-Roman" w:cs="Times-Roman"/>
          <w:b/>
          <w:sz w:val="26"/>
          <w:szCs w:val="24"/>
        </w:rPr>
        <w:t xml:space="preserve"> peu ou pas de langage.</w:t>
      </w: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BoldItalic" w:hAnsi="Times-BoldItalic" w:cs="Times-BoldItalic"/>
          <w:b/>
          <w:bCs/>
          <w:i/>
          <w:iCs/>
          <w:sz w:val="24"/>
          <w:szCs w:val="24"/>
        </w:rPr>
      </w:pP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BoldItalic" w:hAnsi="Times-BoldItalic" w:cs="Times-BoldItalic"/>
          <w:b/>
          <w:bCs/>
          <w:i/>
          <w:iCs/>
          <w:sz w:val="24"/>
          <w:szCs w:val="24"/>
        </w:rPr>
      </w:pPr>
      <w:r>
        <w:rPr>
          <w:rFonts w:ascii="Times-BoldItalic" w:hAnsi="Times-BoldItalic" w:cs="Times-BoldItalic"/>
          <w:b/>
          <w:bCs/>
          <w:i/>
          <w:iCs/>
          <w:sz w:val="24"/>
          <w:szCs w:val="24"/>
        </w:rPr>
        <w:t>5</w:t>
      </w:r>
      <w:r>
        <w:rPr>
          <w:rFonts w:ascii="Times-BoldItalic" w:hAnsi="Times-BoldItalic" w:cs="Times-BoldItalic"/>
          <w:b/>
          <w:bCs/>
          <w:i/>
          <w:iCs/>
          <w:sz w:val="14"/>
          <w:szCs w:val="14"/>
        </w:rPr>
        <w:t xml:space="preserve">e </w:t>
      </w:r>
      <w:r>
        <w:rPr>
          <w:rFonts w:ascii="Times-BoldItalic" w:hAnsi="Times-BoldItalic" w:cs="Times-BoldItalic"/>
          <w:b/>
          <w:bCs/>
          <w:i/>
          <w:iCs/>
          <w:sz w:val="24"/>
          <w:szCs w:val="24"/>
        </w:rPr>
        <w:t>Congrès ASELF</w:t>
      </w: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BoldItalic" w:hAnsi="Times-BoldItalic" w:cs="Times-BoldItalic"/>
          <w:b/>
          <w:bCs/>
          <w:i/>
          <w:iCs/>
          <w:sz w:val="20"/>
          <w:szCs w:val="20"/>
        </w:rPr>
      </w:pPr>
      <w:r>
        <w:rPr>
          <w:rFonts w:ascii="Times-BoldItalic" w:hAnsi="Times-BoldItalic" w:cs="Times-BoldItalic"/>
          <w:b/>
          <w:bCs/>
          <w:i/>
          <w:iCs/>
          <w:sz w:val="20"/>
          <w:szCs w:val="20"/>
        </w:rPr>
        <w:t>(Association scientifique et éthique des logopèdes francophones)</w:t>
      </w: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BoldItalic" w:hAnsi="Times-BoldItalic" w:cs="Times-BoldItalic"/>
          <w:b/>
          <w:bCs/>
          <w:i/>
          <w:iCs/>
          <w:sz w:val="20"/>
          <w:szCs w:val="20"/>
        </w:rPr>
      </w:pPr>
      <w:proofErr w:type="gramStart"/>
      <w:r>
        <w:rPr>
          <w:rFonts w:ascii="Times-BoldItalic" w:hAnsi="Times-BoldItalic" w:cs="Times-BoldItalic"/>
          <w:b/>
          <w:bCs/>
          <w:i/>
          <w:iCs/>
          <w:sz w:val="20"/>
          <w:szCs w:val="20"/>
        </w:rPr>
        <w:t>coordonné</w:t>
      </w:r>
      <w:proofErr w:type="gramEnd"/>
      <w:r>
        <w:rPr>
          <w:rFonts w:ascii="Times-BoldItalic" w:hAnsi="Times-BoldItalic" w:cs="Times-BoldItalic"/>
          <w:b/>
          <w:bCs/>
          <w:i/>
          <w:iCs/>
          <w:sz w:val="20"/>
          <w:szCs w:val="20"/>
        </w:rPr>
        <w:t xml:space="preserve"> par </w:t>
      </w:r>
      <w:proofErr w:type="spellStart"/>
      <w:r>
        <w:rPr>
          <w:rFonts w:ascii="Times-BoldItalic" w:hAnsi="Times-BoldItalic" w:cs="Times-BoldItalic"/>
          <w:b/>
          <w:bCs/>
          <w:i/>
          <w:iCs/>
          <w:sz w:val="20"/>
          <w:szCs w:val="20"/>
        </w:rPr>
        <w:t>Trecy</w:t>
      </w:r>
      <w:proofErr w:type="spellEnd"/>
      <w:r>
        <w:rPr>
          <w:rFonts w:ascii="Times-BoldItalic" w:hAnsi="Times-BoldItalic" w:cs="Times-BoldItalic"/>
          <w:b/>
          <w:bCs/>
          <w:i/>
          <w:iCs/>
          <w:sz w:val="20"/>
          <w:szCs w:val="20"/>
        </w:rPr>
        <w:t xml:space="preserve"> Martinez-Perez</w:t>
      </w: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BoldItalic" w:hAnsi="Times-BoldItalic" w:cs="Times-BoldItalic"/>
          <w:b/>
          <w:bCs/>
          <w:i/>
          <w:iCs/>
          <w:sz w:val="20"/>
          <w:szCs w:val="20"/>
        </w:rPr>
      </w:pP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14"/>
          <w:szCs w:val="14"/>
        </w:rPr>
      </w:pPr>
      <w:r>
        <w:rPr>
          <w:rFonts w:ascii="Times-Roman" w:hAnsi="Times-Roman" w:cs="Times-Roman"/>
          <w:sz w:val="20"/>
          <w:szCs w:val="20"/>
        </w:rPr>
        <w:t xml:space="preserve">Introduction </w:t>
      </w:r>
      <w:r>
        <w:rPr>
          <w:rFonts w:ascii="Times-Roman" w:hAnsi="Times-Roman" w:cs="Times-Roman"/>
          <w:sz w:val="20"/>
          <w:szCs w:val="20"/>
        </w:rPr>
        <w:t xml:space="preserve">- </w:t>
      </w:r>
      <w:r>
        <w:rPr>
          <w:rFonts w:ascii="Times-Italic" w:hAnsi="Times-Italic" w:cs="Times-Italic"/>
          <w:i/>
          <w:iCs/>
          <w:sz w:val="14"/>
          <w:szCs w:val="14"/>
        </w:rPr>
        <w:t xml:space="preserve">T. MARTINEZ-PEREZ </w:t>
      </w: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ZapfDingbats" w:eastAsia="ZapfDingbats" w:hAnsi="Times-Bold" w:cs="ZapfDingbats"/>
          <w:sz w:val="14"/>
          <w:szCs w:val="14"/>
        </w:rPr>
      </w:pPr>
      <w:r>
        <w:rPr>
          <w:rFonts w:ascii="Times-Roman" w:hAnsi="Times-Roman" w:cs="Times-Roman"/>
          <w:sz w:val="20"/>
          <w:szCs w:val="20"/>
        </w:rPr>
        <w:t>Repérer les enfants à risque de développer un trouble langagier en</w:t>
      </w:r>
      <w:r>
        <w:rPr>
          <w:rFonts w:ascii="Times-Roman" w:hAnsi="Times-Roman" w:cs="Times-Roman"/>
          <w:sz w:val="20"/>
          <w:szCs w:val="20"/>
        </w:rPr>
        <w:t xml:space="preserve"> </w:t>
      </w:r>
      <w:r>
        <w:rPr>
          <w:rFonts w:ascii="Times-Roman" w:hAnsi="Times-Roman" w:cs="Times-Roman"/>
          <w:sz w:val="20"/>
          <w:szCs w:val="20"/>
        </w:rPr>
        <w:t>moins de 5 questions : mise au point d’un outil de dépistage rapide destiné aux enfants de 12 à 24 mois -</w:t>
      </w:r>
      <w:r>
        <w:rPr>
          <w:rFonts w:ascii="Times-Roman" w:hAnsi="Times-Roman" w:cs="Times-Roman"/>
          <w:sz w:val="20"/>
          <w:szCs w:val="20"/>
        </w:rPr>
        <w:t xml:space="preserve"> </w:t>
      </w:r>
      <w:r>
        <w:rPr>
          <w:rFonts w:ascii="Times-Italic" w:hAnsi="Times-Italic" w:cs="Times-Italic"/>
          <w:i/>
          <w:iCs/>
          <w:sz w:val="14"/>
          <w:szCs w:val="14"/>
        </w:rPr>
        <w:t xml:space="preserve">A.-L. LECLERCQ, S. KERN, D. MAGIS, C. MAILLART </w:t>
      </w: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14"/>
          <w:szCs w:val="14"/>
        </w:rPr>
      </w:pPr>
      <w:r>
        <w:rPr>
          <w:rFonts w:ascii="Times-Roman" w:hAnsi="Times-Roman" w:cs="Times-Roman"/>
          <w:sz w:val="20"/>
          <w:szCs w:val="20"/>
        </w:rPr>
        <w:t xml:space="preserve">Aspects </w:t>
      </w:r>
      <w:proofErr w:type="spellStart"/>
      <w:r>
        <w:rPr>
          <w:rFonts w:ascii="Times-Roman" w:hAnsi="Times-Roman" w:cs="Times-Roman"/>
          <w:sz w:val="20"/>
          <w:szCs w:val="20"/>
        </w:rPr>
        <w:t>neuropédiatriques</w:t>
      </w:r>
      <w:proofErr w:type="spellEnd"/>
      <w:r>
        <w:rPr>
          <w:rFonts w:ascii="Times-Roman" w:hAnsi="Times-Roman" w:cs="Times-Roman"/>
          <w:sz w:val="20"/>
          <w:szCs w:val="20"/>
        </w:rPr>
        <w:t xml:space="preserve"> du jeune enfant sans langage -</w:t>
      </w:r>
      <w:r>
        <w:rPr>
          <w:rFonts w:ascii="Times-Roman" w:hAnsi="Times-Roman" w:cs="Times-Roman"/>
          <w:sz w:val="20"/>
          <w:szCs w:val="20"/>
        </w:rPr>
        <w:t xml:space="preserve"> </w:t>
      </w:r>
      <w:r>
        <w:rPr>
          <w:rFonts w:ascii="Times-Italic" w:hAnsi="Times-Italic" w:cs="Times-Italic"/>
          <w:i/>
          <w:iCs/>
          <w:sz w:val="14"/>
          <w:szCs w:val="14"/>
        </w:rPr>
        <w:t xml:space="preserve">E. MALEK ABRAHIMIANS, M.-C. NASSOGNE </w:t>
      </w: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ZapfDingbats" w:eastAsia="ZapfDingbats" w:hAnsi="Times-Bold" w:cs="ZapfDingbats"/>
          <w:sz w:val="14"/>
          <w:szCs w:val="14"/>
        </w:rPr>
      </w:pPr>
      <w:proofErr w:type="spellStart"/>
      <w:r>
        <w:rPr>
          <w:rFonts w:ascii="Times-Roman" w:hAnsi="Times-Roman" w:cs="Times-Roman"/>
          <w:sz w:val="20"/>
          <w:szCs w:val="20"/>
        </w:rPr>
        <w:t>Intestable</w:t>
      </w:r>
      <w:proofErr w:type="spellEnd"/>
      <w:r>
        <w:rPr>
          <w:rFonts w:ascii="Times-Roman" w:hAnsi="Times-Roman" w:cs="Times-Roman"/>
          <w:sz w:val="20"/>
          <w:szCs w:val="20"/>
        </w:rPr>
        <w:t xml:space="preserve"> ? Le bilan orthophonique du jeune enfant sans langage -</w:t>
      </w:r>
      <w:r>
        <w:rPr>
          <w:rFonts w:ascii="Times-Roman" w:hAnsi="Times-Roman" w:cs="Times-Roman"/>
          <w:sz w:val="20"/>
          <w:szCs w:val="20"/>
        </w:rPr>
        <w:t xml:space="preserve"> </w:t>
      </w:r>
      <w:r>
        <w:rPr>
          <w:rFonts w:ascii="Times-Italic" w:hAnsi="Times-Italic" w:cs="Times-Italic"/>
          <w:i/>
          <w:iCs/>
          <w:sz w:val="14"/>
          <w:szCs w:val="14"/>
        </w:rPr>
        <w:t>P. GREVESSE</w:t>
      </w: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ZapfDingbats" w:eastAsia="ZapfDingbats" w:hAnsi="Times-Bold" w:cs="ZapfDingbats"/>
          <w:sz w:val="14"/>
          <w:szCs w:val="14"/>
        </w:rPr>
      </w:pPr>
      <w:r>
        <w:rPr>
          <w:rFonts w:ascii="Times-Roman" w:hAnsi="Times-Roman" w:cs="Times-Roman"/>
          <w:sz w:val="20"/>
          <w:szCs w:val="20"/>
        </w:rPr>
        <w:t>Stimuler le développement langagier des jeunes enfants : état des connaissances sur</w:t>
      </w:r>
      <w:r>
        <w:rPr>
          <w:rFonts w:ascii="Times-Roman" w:hAnsi="Times-Roman" w:cs="Times-Roman"/>
          <w:sz w:val="20"/>
          <w:szCs w:val="20"/>
        </w:rPr>
        <w:t xml:space="preserve"> </w:t>
      </w:r>
      <w:r>
        <w:rPr>
          <w:rFonts w:ascii="Times-Roman" w:hAnsi="Times-Roman" w:cs="Times-Roman"/>
          <w:sz w:val="20"/>
          <w:szCs w:val="20"/>
        </w:rPr>
        <w:t xml:space="preserve">l’intervention précoce en orthophonie - </w:t>
      </w:r>
      <w:r>
        <w:rPr>
          <w:rFonts w:ascii="Times-Italic" w:hAnsi="Times-Italic" w:cs="Times-Italic"/>
          <w:i/>
          <w:iCs/>
          <w:sz w:val="14"/>
          <w:szCs w:val="14"/>
        </w:rPr>
        <w:t xml:space="preserve">A. SYLVESTRE, C. DESMARAIS </w:t>
      </w: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14"/>
          <w:szCs w:val="14"/>
        </w:rPr>
      </w:pPr>
      <w:r>
        <w:rPr>
          <w:rFonts w:ascii="Times-Roman" w:hAnsi="Times-Roman" w:cs="Times-Roman"/>
          <w:sz w:val="20"/>
          <w:szCs w:val="20"/>
        </w:rPr>
        <w:t>Bégaiement chez le jeune enfant :</w:t>
      </w:r>
      <w:r>
        <w:rPr>
          <w:rFonts w:ascii="Times-Roman" w:hAnsi="Times-Roman" w:cs="Times-Roman"/>
          <w:sz w:val="20"/>
          <w:szCs w:val="20"/>
        </w:rPr>
        <w:t xml:space="preserve"> </w:t>
      </w:r>
      <w:r>
        <w:rPr>
          <w:rFonts w:ascii="Times-Roman" w:hAnsi="Times-Roman" w:cs="Times-Roman"/>
          <w:sz w:val="20"/>
          <w:szCs w:val="20"/>
        </w:rPr>
        <w:t xml:space="preserve">données préliminaires sur l’implémentation du programme </w:t>
      </w:r>
      <w:proofErr w:type="spellStart"/>
      <w:r>
        <w:rPr>
          <w:rFonts w:ascii="Times-Roman" w:hAnsi="Times-Roman" w:cs="Times-Roman"/>
          <w:sz w:val="20"/>
          <w:szCs w:val="20"/>
        </w:rPr>
        <w:t>Lidcombe</w:t>
      </w:r>
      <w:proofErr w:type="spellEnd"/>
      <w:r>
        <w:rPr>
          <w:rFonts w:ascii="Times-Roman" w:hAnsi="Times-Roman" w:cs="Times-Roman"/>
          <w:sz w:val="20"/>
          <w:szCs w:val="20"/>
        </w:rPr>
        <w:t xml:space="preserve"> en clinique francophone - </w:t>
      </w:r>
      <w:r>
        <w:rPr>
          <w:rFonts w:ascii="Times-Italic" w:hAnsi="Times-Italic" w:cs="Times-Italic"/>
          <w:i/>
          <w:iCs/>
          <w:sz w:val="14"/>
          <w:szCs w:val="14"/>
        </w:rPr>
        <w:t xml:space="preserve">A.-L.LECLERCQ, J. KISTER </w:t>
      </w: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14"/>
          <w:szCs w:val="14"/>
        </w:rPr>
      </w:pPr>
      <w:r>
        <w:rPr>
          <w:rFonts w:ascii="Times-Roman" w:hAnsi="Times-Roman" w:cs="Times-Roman"/>
          <w:sz w:val="20"/>
          <w:szCs w:val="20"/>
        </w:rPr>
        <w:t xml:space="preserve">Évaluation, intervention et suivi dans un contexte pluridisciplinaire - </w:t>
      </w:r>
      <w:r>
        <w:rPr>
          <w:rFonts w:ascii="Times-Italic" w:hAnsi="Times-Italic" w:cs="Times-Italic"/>
          <w:i/>
          <w:iCs/>
          <w:sz w:val="14"/>
          <w:szCs w:val="14"/>
        </w:rPr>
        <w:t>C. BAURAIN, N.</w:t>
      </w:r>
      <w:r>
        <w:rPr>
          <w:rFonts w:ascii="Times-Italic" w:hAnsi="Times-Italic" w:cs="Times-Italic"/>
          <w:i/>
          <w:iCs/>
          <w:sz w:val="14"/>
          <w:szCs w:val="14"/>
        </w:rPr>
        <w:t>NADER-GROSBOIS, G. DEMBOUR, S. SETENAY</w:t>
      </w: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14"/>
          <w:szCs w:val="14"/>
        </w:rPr>
      </w:pP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VARIA</w:t>
      </w:r>
    </w:p>
    <w:p w:rsidR="00297923" w:rsidRPr="00C74D9B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0"/>
          <w:szCs w:val="20"/>
        </w:rPr>
      </w:pP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14"/>
          <w:szCs w:val="14"/>
        </w:rPr>
      </w:pPr>
      <w:r>
        <w:rPr>
          <w:rFonts w:ascii="Times-Roman" w:hAnsi="Times-Roman" w:cs="Times-Roman"/>
          <w:sz w:val="20"/>
          <w:szCs w:val="20"/>
        </w:rPr>
        <w:t>L’apprentissage de l’orthographe lexicale chez les dysorthographiques :</w:t>
      </w:r>
      <w:r>
        <w:rPr>
          <w:rFonts w:ascii="Times-Roman" w:hAnsi="Times-Roman" w:cs="Times-Roman"/>
          <w:sz w:val="20"/>
          <w:szCs w:val="20"/>
        </w:rPr>
        <w:t xml:space="preserve"> </w:t>
      </w:r>
      <w:r>
        <w:rPr>
          <w:rFonts w:ascii="Times-Roman" w:hAnsi="Times-Roman" w:cs="Times-Roman"/>
          <w:sz w:val="20"/>
          <w:szCs w:val="20"/>
        </w:rPr>
        <w:t xml:space="preserve">interventions en morphologie dérivationnelle </w:t>
      </w:r>
      <w:r>
        <w:rPr>
          <w:rFonts w:ascii="Times-Italic" w:hAnsi="Times-Italic" w:cs="Times-Italic"/>
          <w:i/>
          <w:iCs/>
          <w:sz w:val="14"/>
          <w:szCs w:val="14"/>
        </w:rPr>
        <w:t>N. CHAPLEAU</w:t>
      </w: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14"/>
          <w:szCs w:val="14"/>
        </w:rPr>
      </w:pP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LE CAHIER PRATIQUE</w:t>
      </w:r>
    </w:p>
    <w:p w:rsidR="00297923" w:rsidRPr="00C74D9B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8"/>
          <w:szCs w:val="20"/>
        </w:rPr>
      </w:pPr>
    </w:p>
    <w:p w:rsid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14"/>
          <w:szCs w:val="14"/>
        </w:rPr>
      </w:pPr>
      <w:r>
        <w:rPr>
          <w:rFonts w:ascii="Times-Roman" w:hAnsi="Times-Roman" w:cs="Times-Roman"/>
          <w:sz w:val="20"/>
          <w:szCs w:val="20"/>
        </w:rPr>
        <w:t>Tests </w:t>
      </w:r>
      <w:proofErr w:type="gramStart"/>
      <w:r>
        <w:rPr>
          <w:rFonts w:ascii="Times-Roman" w:hAnsi="Times-Roman" w:cs="Times-Roman"/>
          <w:sz w:val="20"/>
          <w:szCs w:val="20"/>
        </w:rPr>
        <w:t xml:space="preserve">: </w:t>
      </w:r>
      <w:r>
        <w:rPr>
          <w:rFonts w:ascii="Times-Roman" w:hAnsi="Times-Roman" w:cs="Times-Roman"/>
          <w:sz w:val="20"/>
          <w:szCs w:val="20"/>
        </w:rPr>
        <w:t xml:space="preserve"> Approche</w:t>
      </w:r>
      <w:proofErr w:type="gramEnd"/>
      <w:r>
        <w:rPr>
          <w:rFonts w:ascii="Times-Roman" w:hAnsi="Times-Roman" w:cs="Times-Roman"/>
          <w:sz w:val="20"/>
          <w:szCs w:val="20"/>
        </w:rPr>
        <w:t xml:space="preserve"> développementale pour l’</w:t>
      </w:r>
      <w:r>
        <w:rPr>
          <w:rFonts w:ascii="Times-Roman" w:hAnsi="Times-Roman" w:cs="Times-Roman"/>
          <w:sz w:val="20"/>
          <w:szCs w:val="20"/>
        </w:rPr>
        <w:t xml:space="preserve">évaluation </w:t>
      </w:r>
      <w:r>
        <w:rPr>
          <w:rFonts w:ascii="Times-Roman" w:hAnsi="Times-Roman" w:cs="Times-Roman"/>
          <w:sz w:val="20"/>
          <w:szCs w:val="20"/>
        </w:rPr>
        <w:t xml:space="preserve">et l’analyse des dysfonctionnements du langage </w:t>
      </w:r>
      <w:r>
        <w:rPr>
          <w:rFonts w:ascii="Times-Italic" w:hAnsi="Times-Italic" w:cs="Times-Italic"/>
          <w:i/>
          <w:iCs/>
          <w:sz w:val="14"/>
          <w:szCs w:val="14"/>
        </w:rPr>
        <w:t>F. PASQUET</w:t>
      </w:r>
    </w:p>
    <w:p w:rsidR="00297923" w:rsidRPr="00297923" w:rsidRDefault="00297923" w:rsidP="0029792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</w:p>
    <w:p w:rsidR="00297923" w:rsidRPr="0054567E" w:rsidRDefault="00297923" w:rsidP="00297923">
      <w:pPr>
        <w:spacing w:after="0" w:line="240" w:lineRule="auto"/>
        <w:ind w:left="567"/>
        <w:jc w:val="center"/>
        <w:rPr>
          <w:b/>
          <w:bCs/>
          <w:color w:val="C00000"/>
          <w:sz w:val="28"/>
          <w:szCs w:val="28"/>
        </w:rPr>
      </w:pPr>
      <w:hyperlink r:id="rId10" w:history="1">
        <w:r w:rsidRPr="0054567E">
          <w:rPr>
            <w:rStyle w:val="Lienhypertexte"/>
            <w:b/>
            <w:bCs/>
            <w:color w:val="C00000"/>
            <w:sz w:val="28"/>
            <w:szCs w:val="28"/>
          </w:rPr>
          <w:t>Acheter le N° 13</w:t>
        </w:r>
      </w:hyperlink>
      <w:r>
        <w:rPr>
          <w:rStyle w:val="Lienhypertexte"/>
          <w:b/>
          <w:bCs/>
          <w:color w:val="C00000"/>
          <w:sz w:val="28"/>
          <w:szCs w:val="28"/>
        </w:rPr>
        <w:t>5</w:t>
      </w:r>
    </w:p>
    <w:p w:rsidR="00297923" w:rsidRDefault="00297923" w:rsidP="00297923">
      <w:pPr>
        <w:spacing w:after="0" w:line="240" w:lineRule="auto"/>
        <w:ind w:left="567"/>
        <w:jc w:val="center"/>
        <w:rPr>
          <w:rStyle w:val="Lienhypertexte"/>
          <w:b/>
          <w:bCs/>
          <w:color w:val="C00000"/>
          <w:sz w:val="28"/>
          <w:szCs w:val="28"/>
        </w:rPr>
      </w:pPr>
      <w:hyperlink r:id="rId11" w:history="1">
        <w:r w:rsidRPr="0054567E">
          <w:rPr>
            <w:rStyle w:val="Lienhypertexte"/>
            <w:b/>
            <w:bCs/>
            <w:color w:val="C00000"/>
            <w:sz w:val="28"/>
            <w:szCs w:val="28"/>
          </w:rPr>
          <w:t>S’abonner pour 2015</w:t>
        </w:r>
      </w:hyperlink>
    </w:p>
    <w:p w:rsidR="00CE7F89" w:rsidRDefault="00CE7F89" w:rsidP="00CE7F89">
      <w:pPr>
        <w:pStyle w:val="pa0"/>
        <w:spacing w:line="240" w:lineRule="auto"/>
        <w:jc w:val="center"/>
        <w:rPr>
          <w:b/>
          <w:bCs/>
          <w:i/>
          <w:iCs/>
          <w:color w:val="auto"/>
          <w:sz w:val="28"/>
          <w:szCs w:val="28"/>
          <w14:ligatures w14:val="none"/>
        </w:rPr>
      </w:pPr>
      <w:hyperlink r:id="rId12" w:history="1">
        <w:r>
          <w:rPr>
            <w:rStyle w:val="Lienhypertexte"/>
            <w:b/>
            <w:bCs/>
            <w:i/>
            <w:iCs/>
            <w:color w:val="C00000"/>
            <w:sz w:val="32"/>
            <w:szCs w:val="32"/>
            <w14:ligatures w14:val="none"/>
          </w:rPr>
          <w:t>Abonnez-vous</w:t>
        </w:r>
      </w:hyperlink>
      <w:r>
        <w:rPr>
          <w:b/>
          <w:bCs/>
          <w:i/>
          <w:iCs/>
          <w:sz w:val="32"/>
          <w:szCs w:val="32"/>
          <w14:ligatures w14:val="none"/>
        </w:rPr>
        <w:t xml:space="preserve"> </w:t>
      </w:r>
      <w:r>
        <w:rPr>
          <w:b/>
          <w:bCs/>
          <w:i/>
          <w:iCs/>
          <w:sz w:val="28"/>
          <w:szCs w:val="28"/>
          <w14:ligatures w14:val="none"/>
        </w:rPr>
        <w:t xml:space="preserve">et </w:t>
      </w:r>
      <w:r>
        <w:rPr>
          <w:b/>
          <w:bCs/>
          <w:i/>
          <w:iCs/>
          <w:color w:val="auto"/>
          <w:sz w:val="28"/>
          <w:szCs w:val="28"/>
          <w14:ligatures w14:val="none"/>
        </w:rPr>
        <w:t xml:space="preserve">recevez tous les numéros de l’année 2015, </w:t>
      </w:r>
    </w:p>
    <w:p w:rsidR="00CE7F89" w:rsidRDefault="00CE7F89" w:rsidP="00CE7F89">
      <w:pPr>
        <w:pStyle w:val="pa0"/>
        <w:spacing w:line="240" w:lineRule="auto"/>
        <w:jc w:val="center"/>
        <w:rPr>
          <w:color w:val="auto"/>
        </w:rPr>
      </w:pPr>
      <w:r>
        <w:rPr>
          <w:b/>
          <w:bCs/>
          <w:i/>
          <w:iCs/>
          <w:color w:val="auto"/>
          <w:sz w:val="28"/>
          <w:szCs w:val="28"/>
          <w14:ligatures w14:val="none"/>
        </w:rPr>
        <w:t>Vol 27, N° 134 à 139</w:t>
      </w:r>
    </w:p>
    <w:p w:rsidR="00CE7F89" w:rsidRDefault="00CE7F89" w:rsidP="00CE7F89">
      <w:pPr>
        <w:pStyle w:val="pa0"/>
        <w:spacing w:line="240" w:lineRule="auto"/>
        <w:jc w:val="center"/>
        <w:rPr>
          <w:b/>
          <w:bCs/>
          <w:i/>
          <w:iCs/>
          <w:sz w:val="28"/>
          <w:szCs w:val="28"/>
          <w14:ligatures w14:val="none"/>
        </w:rPr>
      </w:pPr>
      <w:r>
        <w:rPr>
          <w:b/>
          <w:bCs/>
          <w:i/>
          <w:iCs/>
          <w:sz w:val="28"/>
          <w:szCs w:val="28"/>
          <w14:ligatures w14:val="none"/>
        </w:rPr>
        <w:t xml:space="preserve">Vous bénéficierez également, si vous relevez du tarif « PROEFESSIONEL » ou « ETUDIANT» d’un tarif très préférentiel </w:t>
      </w:r>
    </w:p>
    <w:p w:rsidR="00CE7F89" w:rsidRDefault="00CE7F89" w:rsidP="00CE7F89">
      <w:pPr>
        <w:pStyle w:val="pa0"/>
        <w:spacing w:line="240" w:lineRule="auto"/>
        <w:jc w:val="center"/>
        <w:rPr>
          <w:b/>
          <w:bCs/>
          <w:i/>
          <w:iCs/>
          <w:sz w:val="28"/>
          <w:szCs w:val="28"/>
          <w14:ligatures w14:val="none"/>
        </w:rPr>
      </w:pPr>
      <w:proofErr w:type="gramStart"/>
      <w:r>
        <w:rPr>
          <w:b/>
          <w:bCs/>
          <w:i/>
          <w:iCs/>
          <w:sz w:val="28"/>
          <w:szCs w:val="28"/>
          <w14:ligatures w14:val="none"/>
        </w:rPr>
        <w:t>sur</w:t>
      </w:r>
      <w:proofErr w:type="gramEnd"/>
      <w:r>
        <w:rPr>
          <w:b/>
          <w:bCs/>
          <w:i/>
          <w:iCs/>
          <w:sz w:val="28"/>
          <w:szCs w:val="28"/>
          <w14:ligatures w14:val="none"/>
        </w:rPr>
        <w:t xml:space="preserve"> les </w:t>
      </w:r>
      <w:hyperlink r:id="rId13" w:history="1">
        <w:r>
          <w:rPr>
            <w:rStyle w:val="Lienhypertexte"/>
            <w:b/>
            <w:bCs/>
            <w:i/>
            <w:iCs/>
            <w:color w:val="C00000"/>
            <w:sz w:val="28"/>
            <w:szCs w:val="28"/>
            <w14:ligatures w14:val="none"/>
          </w:rPr>
          <w:t>N° des années précédentes</w:t>
        </w:r>
        <w:r>
          <w:rPr>
            <w:rStyle w:val="Lienhypertexte"/>
            <w:b/>
            <w:bCs/>
            <w:i/>
            <w:iCs/>
            <w:sz w:val="28"/>
            <w:szCs w:val="28"/>
            <w14:ligatures w14:val="none"/>
          </w:rPr>
          <w:t>.</w:t>
        </w:r>
      </w:hyperlink>
      <w:r>
        <w:rPr>
          <w:b/>
          <w:bCs/>
          <w:i/>
          <w:iCs/>
          <w:sz w:val="28"/>
          <w:szCs w:val="28"/>
          <w14:ligatures w14:val="none"/>
        </w:rPr>
        <w:t xml:space="preserve"> </w:t>
      </w:r>
    </w:p>
    <w:p w:rsidR="00CE7F89" w:rsidRDefault="00CE7F89" w:rsidP="00CE7F89">
      <w:pPr>
        <w:pStyle w:val="pa0"/>
        <w:spacing w:line="240" w:lineRule="auto"/>
        <w:jc w:val="center"/>
      </w:pPr>
      <w:r>
        <w:rPr>
          <w:b/>
          <w:bCs/>
          <w:i/>
          <w:iCs/>
          <w:sz w:val="28"/>
          <w:szCs w:val="28"/>
          <w14:ligatures w14:val="none"/>
        </w:rPr>
        <w:t>Et</w:t>
      </w:r>
    </w:p>
    <w:p w:rsidR="00CE7F89" w:rsidRDefault="00CE7F89" w:rsidP="00CE7F89">
      <w:pPr>
        <w:pStyle w:val="pa0"/>
        <w:spacing w:line="240" w:lineRule="auto"/>
        <w:jc w:val="center"/>
        <w:rPr>
          <w:rStyle w:val="Lienhypertexte"/>
          <w:b/>
          <w:bCs/>
          <w:i/>
          <w:iCs/>
          <w:color w:val="C00000"/>
          <w:sz w:val="28"/>
          <w:szCs w:val="28"/>
          <w14:ligatures w14:val="none"/>
        </w:rPr>
      </w:pPr>
      <w:hyperlink r:id="rId14" w:history="1">
        <w:r>
          <w:rPr>
            <w:rStyle w:val="Lienhypertexte"/>
            <w:b/>
            <w:bCs/>
            <w:i/>
            <w:iCs/>
            <w:color w:val="C00000"/>
            <w:sz w:val="28"/>
            <w:szCs w:val="28"/>
            <w14:ligatures w14:val="none"/>
          </w:rPr>
          <w:t>10% sur les formations ANAE</w:t>
        </w:r>
      </w:hyperlink>
    </w:p>
    <w:p w:rsidR="00CE7F89" w:rsidRDefault="00CE7F89" w:rsidP="00CE7F89">
      <w:pPr>
        <w:pStyle w:val="pa0"/>
        <w:spacing w:line="240" w:lineRule="auto"/>
        <w:jc w:val="center"/>
        <w:rPr>
          <w:rStyle w:val="Lienhypertexte"/>
          <w:b/>
          <w:bCs/>
          <w:i/>
          <w:iCs/>
          <w:color w:val="C00000"/>
          <w:sz w:val="28"/>
          <w:szCs w:val="28"/>
          <w14:ligatures w14:val="none"/>
        </w:rPr>
      </w:pPr>
    </w:p>
    <w:p w:rsidR="00CE7F89" w:rsidRDefault="00CE7F89" w:rsidP="00CE7F89">
      <w:pPr>
        <w:rPr>
          <w:color w:val="C00000"/>
          <w:sz w:val="28"/>
          <w:szCs w:val="28"/>
        </w:rPr>
      </w:pPr>
    </w:p>
    <w:p w:rsidR="00CE7F89" w:rsidRDefault="00CE7F89" w:rsidP="00CE7F89">
      <w:pPr>
        <w:rPr>
          <w:color w:val="C00000"/>
          <w:sz w:val="28"/>
          <w:szCs w:val="28"/>
        </w:rPr>
      </w:pPr>
    </w:p>
    <w:p w:rsidR="00CE7F89" w:rsidRPr="0054567E" w:rsidRDefault="00CE7F89" w:rsidP="00CE7F89">
      <w:pPr>
        <w:jc w:val="center"/>
        <w:rPr>
          <w:rStyle w:val="Lienhypertexte"/>
          <w:b/>
          <w:sz w:val="32"/>
        </w:rPr>
      </w:pPr>
      <w:r>
        <w:rPr>
          <w:b/>
          <w:sz w:val="32"/>
        </w:rPr>
        <w:fldChar w:fldCharType="begin"/>
      </w:r>
      <w:r>
        <w:rPr>
          <w:b/>
          <w:sz w:val="32"/>
        </w:rPr>
        <w:instrText xml:space="preserve"> HYPERLINK "http://www.anae-revue.com/anae-formations/" </w:instrText>
      </w:r>
      <w:r>
        <w:rPr>
          <w:b/>
          <w:sz w:val="32"/>
        </w:rPr>
        <w:fldChar w:fldCharType="separate"/>
      </w:r>
      <w:r w:rsidRPr="0054567E">
        <w:rPr>
          <w:rStyle w:val="Lienhypertexte"/>
          <w:b/>
          <w:sz w:val="32"/>
        </w:rPr>
        <w:t>Programme A.N.A.E. formations 2015</w:t>
      </w:r>
    </w:p>
    <w:p w:rsidR="00CE7F89" w:rsidRPr="006F10EF" w:rsidRDefault="00CE7F89" w:rsidP="00CE7F89">
      <w:pPr>
        <w:jc w:val="center"/>
        <w:rPr>
          <w:b/>
          <w:sz w:val="32"/>
        </w:rPr>
      </w:pPr>
      <w:r w:rsidRPr="0054567E">
        <w:rPr>
          <w:rStyle w:val="Lienhypertexte"/>
          <w:b/>
          <w:sz w:val="32"/>
        </w:rPr>
        <w:t>Programme A.N.A.E. formations 2016</w:t>
      </w:r>
      <w:r>
        <w:rPr>
          <w:b/>
          <w:sz w:val="32"/>
        </w:rPr>
        <w:fldChar w:fldCharType="end"/>
      </w:r>
    </w:p>
    <w:p w:rsidR="00CE7F89" w:rsidRDefault="00CE7F89" w:rsidP="00CE7F89">
      <w:pPr>
        <w:rPr>
          <w:color w:val="C00000"/>
          <w:sz w:val="28"/>
          <w:szCs w:val="28"/>
        </w:rPr>
      </w:pPr>
    </w:p>
    <w:p w:rsidR="00CE7F89" w:rsidRDefault="00CE7F89" w:rsidP="00CE7F89"/>
    <w:p w:rsidR="00CE7F89" w:rsidRDefault="00CE7F89" w:rsidP="00CE7F89">
      <w:pPr>
        <w:jc w:val="center"/>
      </w:pPr>
      <w:r>
        <w:rPr>
          <w:noProof/>
        </w:rPr>
        <w:drawing>
          <wp:inline distT="0" distB="0" distL="0" distR="0" wp14:anchorId="67102099" wp14:editId="70BF720F">
            <wp:extent cx="1905000" cy="406400"/>
            <wp:effectExtent l="0" t="0" r="0" b="0"/>
            <wp:docPr id="3" name="Image 3" descr="cid:image002.jpg@01CFE969.F4D76B3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CFE969.F4D76B3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F89" w:rsidRDefault="00CE7F89" w:rsidP="00CE7F89">
      <w:pPr>
        <w:jc w:val="center"/>
      </w:pPr>
      <w:r>
        <w:rPr>
          <w:color w:val="1F497D"/>
        </w:rPr>
        <w:t> </w:t>
      </w:r>
    </w:p>
    <w:p w:rsidR="00CE7F89" w:rsidRDefault="00CE7F89" w:rsidP="00CE7F89">
      <w:pPr>
        <w:jc w:val="center"/>
      </w:pPr>
      <w:r>
        <w:rPr>
          <w:noProof/>
        </w:rPr>
        <w:drawing>
          <wp:inline distT="0" distB="0" distL="0" distR="0" wp14:anchorId="7B87998A" wp14:editId="1C1A3926">
            <wp:extent cx="2192655" cy="1414145"/>
            <wp:effectExtent l="0" t="0" r="0" b="0"/>
            <wp:docPr id="2" name="Image 2" descr="cid:image003.jpg@01CFE969.F4D76B3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3.jpg@01CFE969.F4D76B3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</w:p>
    <w:p w:rsidR="00CE7F89" w:rsidRDefault="00CE7F89" w:rsidP="00CE7F89">
      <w:pPr>
        <w:spacing w:after="20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Neuropsychologie - Psychologie – Orthophonie - Logopédie – Education – ASH -  Enseignement spécialisé – Orthopédagogie - Intégration - Psychomotricité – Orthoptie – Ergothérapie - Kinésithérapie - Psychiatrie - </w:t>
      </w:r>
    </w:p>
    <w:p w:rsidR="00CE7F89" w:rsidRDefault="00CE7F89" w:rsidP="00CE7F89">
      <w:pPr>
        <w:spacing w:after="20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MPR - Médecine Générale - Pédiatrie - Handicap – Remédiation </w:t>
      </w:r>
    </w:p>
    <w:p w:rsidR="00CE7F89" w:rsidRDefault="00CE7F89" w:rsidP="00CE7F89">
      <w:pPr>
        <w:rPr>
          <w:color w:val="000000"/>
          <w:sz w:val="25"/>
          <w:szCs w:val="25"/>
        </w:rPr>
      </w:pPr>
      <w:r>
        <w:t> </w:t>
      </w:r>
    </w:p>
    <w:p w:rsidR="00CE7F89" w:rsidRDefault="00CE7F89" w:rsidP="00CE7F89">
      <w:pPr>
        <w:spacing w:after="0" w:line="240" w:lineRule="auto"/>
      </w:pPr>
      <w:r>
        <w:br/>
        <w:t>Catherine de Gavre</w:t>
      </w:r>
    </w:p>
    <w:p w:rsidR="00CE7F89" w:rsidRDefault="00CE7F89" w:rsidP="00CE7F89">
      <w:pPr>
        <w:spacing w:after="0" w:line="240" w:lineRule="auto"/>
      </w:pPr>
      <w:r>
        <w:t>Directeur de la Publication ANAE</w:t>
      </w:r>
    </w:p>
    <w:p w:rsidR="00CE7F89" w:rsidRDefault="00CE7F89" w:rsidP="00CE7F89">
      <w:pPr>
        <w:spacing w:after="0" w:line="240" w:lineRule="auto"/>
      </w:pPr>
      <w:r>
        <w:t>Approche Neuropsychologique des Apprentissages chez l’Enfant</w:t>
      </w:r>
    </w:p>
    <w:p w:rsidR="00CE7F89" w:rsidRDefault="00CE7F89" w:rsidP="00CE7F89">
      <w:pPr>
        <w:spacing w:after="0" w:line="240" w:lineRule="auto"/>
      </w:pPr>
      <w:hyperlink r:id="rId21" w:history="1">
        <w:r>
          <w:rPr>
            <w:rStyle w:val="Lienhypertexte"/>
          </w:rPr>
          <w:t>anae@wanadoo.fr</w:t>
        </w:r>
      </w:hyperlink>
    </w:p>
    <w:p w:rsidR="00CE7F89" w:rsidRDefault="00CE7F89" w:rsidP="00CE7F89">
      <w:pPr>
        <w:spacing w:after="0" w:line="240" w:lineRule="auto"/>
      </w:pPr>
      <w:hyperlink r:id="rId22" w:history="1">
        <w:r>
          <w:rPr>
            <w:rStyle w:val="Lienhypertexte"/>
          </w:rPr>
          <w:t>www.anae-revue.com</w:t>
        </w:r>
      </w:hyperlink>
    </w:p>
    <w:p w:rsidR="00CE7F89" w:rsidRDefault="00CE7F89" w:rsidP="00CE7F89">
      <w:pPr>
        <w:spacing w:after="0" w:line="240" w:lineRule="auto"/>
      </w:pPr>
      <w:hyperlink r:id="rId23" w:history="1">
        <w:r>
          <w:rPr>
            <w:rStyle w:val="Lienhypertexte"/>
          </w:rPr>
          <w:t>www.anae-revue.over-blog.com</w:t>
        </w:r>
      </w:hyperlink>
    </w:p>
    <w:p w:rsidR="00CE7F89" w:rsidRDefault="00CE7F89" w:rsidP="00CE7F89">
      <w:pPr>
        <w:spacing w:after="0" w:line="240" w:lineRule="auto"/>
      </w:pPr>
      <w:hyperlink r:id="rId24" w:history="1">
        <w:r>
          <w:rPr>
            <w:rStyle w:val="Lienhypertexte"/>
          </w:rPr>
          <w:t>ANAE formations</w:t>
        </w:r>
      </w:hyperlink>
    </w:p>
    <w:p w:rsidR="00CE7F89" w:rsidRDefault="00CE7F89" w:rsidP="00CE7F89">
      <w:pPr>
        <w:spacing w:after="0" w:line="240" w:lineRule="auto"/>
      </w:pPr>
      <w:hyperlink r:id="rId25" w:history="1">
        <w:r>
          <w:rPr>
            <w:rStyle w:val="Lienhypertexte"/>
          </w:rPr>
          <w:t>Les Editions du Petit ANAE</w:t>
        </w:r>
      </w:hyperlink>
    </w:p>
    <w:p w:rsidR="00CE7F89" w:rsidRDefault="00CE7F89" w:rsidP="00CE7F89">
      <w:pPr>
        <w:spacing w:after="0" w:line="240" w:lineRule="auto"/>
        <w:ind w:left="284"/>
        <w:rPr>
          <w:rFonts w:ascii="Calibri" w:hAnsi="Calibri"/>
          <w:color w:val="1F497D"/>
        </w:rPr>
      </w:pPr>
    </w:p>
    <w:p w:rsidR="00CE7F89" w:rsidRDefault="00CE7F89" w:rsidP="00CE7F89">
      <w:pPr>
        <w:spacing w:after="0" w:line="240" w:lineRule="auto"/>
        <w:ind w:left="284"/>
        <w:rPr>
          <w:rFonts w:ascii="Calibri" w:hAnsi="Calibri"/>
          <w:color w:val="1F497D"/>
        </w:rPr>
      </w:pPr>
      <w:r>
        <w:rPr>
          <w:rFonts w:ascii="Calibri" w:hAnsi="Calibri"/>
          <w:noProof/>
          <w:color w:val="1F497D"/>
        </w:rPr>
        <w:drawing>
          <wp:inline distT="0" distB="0" distL="0" distR="0" wp14:anchorId="3DFCC5A9" wp14:editId="2537BC4A">
            <wp:extent cx="304800" cy="304800"/>
            <wp:effectExtent l="0" t="0" r="0" b="0"/>
            <wp:docPr id="4" name="Image 4" descr="cid:image004.jpg@01CFE969.F4D76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4.jpg@01CFE969.F4D76B3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1F497D"/>
        </w:rPr>
        <w:t xml:space="preserve">  Nous suivre sur </w:t>
      </w:r>
      <w:hyperlink r:id="rId28" w:history="1">
        <w:proofErr w:type="spellStart"/>
        <w:r>
          <w:rPr>
            <w:rStyle w:val="Lienhypertexte"/>
            <w:rFonts w:ascii="Calibri" w:hAnsi="Calibri"/>
          </w:rPr>
          <w:t>Linkedin</w:t>
        </w:r>
        <w:proofErr w:type="spellEnd"/>
      </w:hyperlink>
      <w:r>
        <w:rPr>
          <w:rFonts w:ascii="Calibri" w:hAnsi="Calibri"/>
          <w:color w:val="1F497D"/>
        </w:rPr>
        <w:t xml:space="preserve"> </w:t>
      </w:r>
    </w:p>
    <w:p w:rsidR="001771E3" w:rsidRPr="002607D2" w:rsidRDefault="001771E3" w:rsidP="00177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771E3" w:rsidRPr="002607D2" w:rsidSect="00297923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ZapfDingbat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59D"/>
    <w:rsid w:val="00084FB4"/>
    <w:rsid w:val="000A72D0"/>
    <w:rsid w:val="000E4F4A"/>
    <w:rsid w:val="000F3DE5"/>
    <w:rsid w:val="001771E3"/>
    <w:rsid w:val="002607D2"/>
    <w:rsid w:val="00297923"/>
    <w:rsid w:val="002B7899"/>
    <w:rsid w:val="00446846"/>
    <w:rsid w:val="004C11D9"/>
    <w:rsid w:val="0067562A"/>
    <w:rsid w:val="006D3C41"/>
    <w:rsid w:val="007B668C"/>
    <w:rsid w:val="00893A9D"/>
    <w:rsid w:val="00A65441"/>
    <w:rsid w:val="00AA5BA5"/>
    <w:rsid w:val="00C5059D"/>
    <w:rsid w:val="00C74D9B"/>
    <w:rsid w:val="00CE7F89"/>
    <w:rsid w:val="00E37BF2"/>
    <w:rsid w:val="00EB13BD"/>
    <w:rsid w:val="00FF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B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0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059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B13BD"/>
    <w:rPr>
      <w:color w:val="0000FF"/>
      <w:u w:val="single"/>
    </w:rPr>
  </w:style>
  <w:style w:type="paragraph" w:customStyle="1" w:styleId="pa0">
    <w:name w:val="pa0"/>
    <w:basedOn w:val="Normal"/>
    <w:rsid w:val="00CE7F89"/>
    <w:pPr>
      <w:spacing w:after="0" w:line="241" w:lineRule="exact"/>
    </w:pPr>
    <w:rPr>
      <w:rFonts w:ascii="Times New Roman" w:hAnsi="Times New Roman" w:cs="Times New Roman"/>
      <w:color w:val="000000"/>
      <w:sz w:val="24"/>
      <w:szCs w:val="24"/>
      <w:lang w:eastAsia="fr-FR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B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0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059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B13BD"/>
    <w:rPr>
      <w:color w:val="0000FF"/>
      <w:u w:val="single"/>
    </w:rPr>
  </w:style>
  <w:style w:type="paragraph" w:customStyle="1" w:styleId="pa0">
    <w:name w:val="pa0"/>
    <w:basedOn w:val="Normal"/>
    <w:rsid w:val="00CE7F89"/>
    <w:pPr>
      <w:spacing w:after="0" w:line="241" w:lineRule="exact"/>
    </w:pPr>
    <w:rPr>
      <w:rFonts w:ascii="Times New Roman" w:hAnsi="Times New Roman" w:cs="Times New Roman"/>
      <w:color w:val="000000"/>
      <w:sz w:val="24"/>
      <w:szCs w:val="24"/>
      <w:lang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ae-revue.com/la-documentation-scientifique-tous-les-n-disponibles/" TargetMode="External"/><Relationship Id="rId13" Type="http://schemas.openxmlformats.org/officeDocument/2006/relationships/hyperlink" Target="http://xx2x.mj.am/link/xx2x/i3ngwml/8/BLU2jzITx757AuNWm0vqxg/aHR0cDovL3d3dy5hbmFlLXJldnVlLmNvbS9sYS1kb2N1bWVudGF0aW9uLXNjaWVudGlmaXF1ZS10b3VzLWxlcy1uLWRpc3BvbmlibGVzLw" TargetMode="External"/><Relationship Id="rId18" Type="http://schemas.openxmlformats.org/officeDocument/2006/relationships/hyperlink" Target="http://xx2x.mj.am/link/xx2x/i3ngwml/12/zF9aOGoD777XXRDLEl7eJw/aHR0cDovL3d3dy5hbmFlLXJldnVlLmNvbS9hbmFlLWZvcm1hdGlvbnMv" TargetMode="External"/><Relationship Id="rId26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mailto:anae@wanadoo.fr" TargetMode="External"/><Relationship Id="rId7" Type="http://schemas.openxmlformats.org/officeDocument/2006/relationships/hyperlink" Target="http://www.anae-revue.com/abonnement-2015/" TargetMode="External"/><Relationship Id="rId12" Type="http://schemas.openxmlformats.org/officeDocument/2006/relationships/hyperlink" Target="http://www.anae-revue.com/abonnement-2015/" TargetMode="External"/><Relationship Id="rId17" Type="http://schemas.openxmlformats.org/officeDocument/2006/relationships/image" Target="cid:image002.jpg@01CFE969.F4D76B30" TargetMode="External"/><Relationship Id="rId25" Type="http://schemas.openxmlformats.org/officeDocument/2006/relationships/hyperlink" Target="http://xx2x.mj.am/link/xx2x/i3ngwml/17/SeWb580LGD2gRcf1nnWlGQ/aHR0cDovLzdqcC5yLm1haWxqZXQuY29tL3JlZGlyZWN0L2J2M210MmtwODh5YjZmM3pjbnk4djIvN2pwLnIubWFpbGpldC5jb20vcmVkaXJlY3QvcjJmd3R6N2dtbHJmbWpidDFjeHlrcS93d3cuYW5hZS1yZXZ1ZS5jb20vbGVzLWVkaXRpb25zLWR1LXBldGl0LWFuYWUv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2.jpeg"/><Relationship Id="rId20" Type="http://schemas.openxmlformats.org/officeDocument/2006/relationships/image" Target="cid:image003.jpg@01CFE969.F4D76B30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anae-revue.com/la-documentation-scientifique-tous-les-n-disponibles/" TargetMode="External"/><Relationship Id="rId11" Type="http://schemas.openxmlformats.org/officeDocument/2006/relationships/hyperlink" Target="http://www.anae-revue.com/abonnement-2015/" TargetMode="External"/><Relationship Id="rId24" Type="http://schemas.openxmlformats.org/officeDocument/2006/relationships/hyperlink" Target="http://xx2x.mj.am/link/xx2x/i3ngwml/16/ODpLxUk_YK9CKjt3S_sApA/aHR0cDovLzdqcC5yLm1haWxqZXQuY29tL3JlZGlyZWN0L2N3Z2tob3FibGg0ZzB2MGhoN3NzcjUvN2pwLnIubWFpbGpldC5jb20vcmVkaXJlY3QveTA5cmhucHptcTJ4MmJ5dm1ncm03Mi93d3cuYW5hZS1yZXZ1ZS5jb20vYW5hZS1mb3JtYXRpb25zL2Zvcm1hdGlvbnMtaW5kaXZpZHVlbGxlcy0xLw" TargetMode="External"/><Relationship Id="rId5" Type="http://schemas.openxmlformats.org/officeDocument/2006/relationships/image" Target="media/image1.jpg"/><Relationship Id="rId15" Type="http://schemas.openxmlformats.org/officeDocument/2006/relationships/hyperlink" Target="http://xx2x.mj.am/link/xx2x/i3ngwml/11/eo868VYNlVgtP7FrP1zlmA/aHR0cDovL3d3dy5hbmFlLXJldnVlLmNvbS9hbmFlLWZvcm1hdGlvbnMv" TargetMode="External"/><Relationship Id="rId23" Type="http://schemas.openxmlformats.org/officeDocument/2006/relationships/hyperlink" Target="http://xx2x.mj.am/link/xx2x/i3ngwml/15/ahhIWu4ruC-CRwFRFf9f7g/aHR0cDovLzdqcC5yLm1haWxqZXQuY29tL3JlZGlyZWN0L3JqMGtoazRrMTZnMGxwMmM2a3F2OHQvN2pwLnIubWFpbGpldC5jb20vcmVkaXJlY3QvNnR3MWhkZzI1Y3FybnY0YzRwa3Q3bC93d3cuYW5hZS1yZXZ1ZS5vdmVyLWJsb2cuY29tLw" TargetMode="External"/><Relationship Id="rId28" Type="http://schemas.openxmlformats.org/officeDocument/2006/relationships/hyperlink" Target="file:///C:\Users\Catherine\Documents\ANAE%20129\fr.linkedin.com\pub\catherine-de-gavre\22\17a\b53\" TargetMode="External"/><Relationship Id="rId10" Type="http://schemas.openxmlformats.org/officeDocument/2006/relationships/hyperlink" Target="http://www.anae-revue.com/la-documentation-scientifique-tous-les-n-disponibles/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anae-revue.com/abonnement-2015/" TargetMode="External"/><Relationship Id="rId14" Type="http://schemas.openxmlformats.org/officeDocument/2006/relationships/hyperlink" Target="http://xx2x.mj.am/link/xx2x/i3ngwml/9/_-HimF5LsmSjKOYqlXs46w/aHR0cDovL3d3dy5hbmFlLXJldnVlLmNvbS9hbmFlLWZvcm1hdGlvbnMvZm9ybWF0aW9ucy1pbmRpdmlkdWVsbGVzLw" TargetMode="External"/><Relationship Id="rId22" Type="http://schemas.openxmlformats.org/officeDocument/2006/relationships/hyperlink" Target="http://xx2x.mj.am/link/xx2x/i3ngwml/14/qDhd3E7OzNxN-4evS76ZSQ/aHR0cDovLzdqcC5yLm1haWxqZXQuY29tL3JlZGlyZWN0LzJwYjN0YnFreXk2ZjF3d3FsaDN6eHIvN2pwLnIubWFpbGpldC5jb20vcmVkaXJlY3QvMTY4dHR2MDMwbGQzZ213MWszNWRoei93d3cuYW5hZS1yZXZ1ZS5jb20v" TargetMode="External"/><Relationship Id="rId27" Type="http://schemas.openxmlformats.org/officeDocument/2006/relationships/image" Target="cid:image004.jpg@01CFE969.F4D76B30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2280</Words>
  <Characters>12545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17</cp:revision>
  <dcterms:created xsi:type="dcterms:W3CDTF">2015-09-30T12:19:00Z</dcterms:created>
  <dcterms:modified xsi:type="dcterms:W3CDTF">2015-09-30T13:46:00Z</dcterms:modified>
</cp:coreProperties>
</file>