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35CC6C99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7F03B6">
        <w:rPr>
          <w:rFonts w:ascii="Janda Safe and Sound" w:hAnsi="Janda Safe and Sound"/>
          <w:sz w:val="36"/>
          <w:szCs w:val="36"/>
        </w:rPr>
        <w:t>3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proofErr w:type="spellStart"/>
      <w:r w:rsidR="007F03B6">
        <w:rPr>
          <w:rFonts w:ascii="Janda Safe and Sound" w:hAnsi="Janda Safe and Sound"/>
          <w:sz w:val="36"/>
          <w:szCs w:val="36"/>
        </w:rPr>
        <w:t>Janv</w:t>
      </w:r>
      <w:r w:rsidR="00B05EF9">
        <w:rPr>
          <w:rFonts w:ascii="Janda Safe and Sound" w:hAnsi="Janda Safe and Sound"/>
          <w:sz w:val="36"/>
          <w:szCs w:val="36"/>
        </w:rPr>
        <w:t>-</w:t>
      </w:r>
      <w:r w:rsidR="007F03B6">
        <w:rPr>
          <w:rFonts w:ascii="Janda Safe and Sound" w:hAnsi="Janda Safe and Sound"/>
          <w:sz w:val="36"/>
          <w:szCs w:val="36"/>
        </w:rPr>
        <w:t>Fév</w:t>
      </w:r>
      <w:proofErr w:type="spellEnd"/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FF5BCEB" w14:textId="0233EB4F" w:rsidR="001F74A1" w:rsidRDefault="007F03B6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>Construire les premiers outils pour structurer sa pensée</w:t>
      </w:r>
    </w:p>
    <w:p w14:paraId="49CB3179" w14:textId="215D6441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proofErr w:type="gramStart"/>
      <w:r w:rsidR="0099692B" w:rsidRPr="0099692B">
        <w:rPr>
          <w:rFonts w:ascii="Janda Safe and Sound" w:hAnsi="Janda Safe and Sound"/>
          <w:sz w:val="28"/>
          <w:szCs w:val="28"/>
        </w:rPr>
        <w:t>avec</w:t>
      </w:r>
      <w:proofErr w:type="gramEnd"/>
      <w:r w:rsidR="0099692B" w:rsidRPr="0099692B">
        <w:rPr>
          <w:rFonts w:ascii="Janda Safe and Sound" w:hAnsi="Janda Safe and Sound"/>
          <w:sz w:val="28"/>
          <w:szCs w:val="28"/>
        </w:rPr>
        <w:t xml:space="preserve">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356E5C28" w14:textId="77777777" w:rsidR="005F7819" w:rsidRDefault="005F7819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457490">
        <w:trPr>
          <w:trHeight w:val="2235"/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457490">
        <w:trPr>
          <w:jc w:val="center"/>
        </w:trPr>
        <w:tc>
          <w:tcPr>
            <w:tcW w:w="1557" w:type="dxa"/>
          </w:tcPr>
          <w:p w14:paraId="7FFA3555" w14:textId="0DBEABF5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974794">
              <w:rPr>
                <w:rFonts w:ascii="Janda Safe and Sound" w:hAnsi="Janda Safe and Sound"/>
                <w:b/>
                <w:sz w:val="18"/>
                <w:szCs w:val="18"/>
              </w:rPr>
              <w:t>16</w:t>
            </w:r>
          </w:p>
          <w:p w14:paraId="01FB80C3" w14:textId="6373B1FE" w:rsidR="00FD1292" w:rsidRPr="00582EDC" w:rsidRDefault="0097479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2A2B82">
              <w:rPr>
                <w:rFonts w:ascii="Trebuchet MS" w:hAnsi="Trebuchet MS" w:cs="Arial"/>
                <w:color w:val="333333"/>
                <w:sz w:val="18"/>
                <w:szCs w:val="18"/>
                <w:lang w:eastAsia="fr-FR"/>
              </w:rPr>
              <w:t>Évaluer et comparer des collections d'objets avec d</w:t>
            </w:r>
            <w:r w:rsidR="003C05F3">
              <w:rPr>
                <w:rFonts w:ascii="Trebuchet MS" w:hAnsi="Trebuchet MS" w:cs="Arial"/>
                <w:color w:val="333333"/>
                <w:sz w:val="18"/>
                <w:szCs w:val="18"/>
                <w:lang w:eastAsia="fr-FR"/>
              </w:rPr>
              <w:t xml:space="preserve">es procédures numériques ou non </w:t>
            </w:r>
            <w:r w:rsidRPr="002A2B82">
              <w:rPr>
                <w:rFonts w:ascii="Trebuchet MS" w:hAnsi="Trebuchet MS" w:cs="Arial"/>
                <w:color w:val="333333"/>
                <w:sz w:val="18"/>
                <w:szCs w:val="18"/>
                <w:lang w:eastAsia="fr-FR"/>
              </w:rPr>
              <w:t>numériques</w:t>
            </w:r>
            <w:r>
              <w:rPr>
                <w:rFonts w:ascii="Arial" w:hAnsi="Arial" w:cs="Arial"/>
                <w:color w:val="333333"/>
                <w:lang w:eastAsia="fr-FR"/>
              </w:rPr>
              <w:t>.</w:t>
            </w:r>
          </w:p>
        </w:tc>
        <w:tc>
          <w:tcPr>
            <w:tcW w:w="1458" w:type="dxa"/>
          </w:tcPr>
          <w:p w14:paraId="28875FF4" w14:textId="103DFCD6" w:rsidR="00DD29F0" w:rsidRPr="00ED29A5" w:rsidRDefault="00ED29A5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D29A5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tri des poules</w:t>
            </w:r>
          </w:p>
        </w:tc>
        <w:tc>
          <w:tcPr>
            <w:tcW w:w="1660" w:type="dxa"/>
          </w:tcPr>
          <w:p w14:paraId="6C78E670" w14:textId="14F9B7C4" w:rsidR="00DD29F0" w:rsidRPr="00960937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15C035A4" w:rsidR="00DD29F0" w:rsidRPr="00B2232A" w:rsidRDefault="00B2232A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B2232A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seul à construire un mur selon un modèle</w:t>
            </w:r>
          </w:p>
        </w:tc>
        <w:tc>
          <w:tcPr>
            <w:tcW w:w="1689" w:type="dxa"/>
          </w:tcPr>
          <w:p w14:paraId="76E16052" w14:textId="13D16EB3" w:rsidR="00DD29F0" w:rsidRPr="00960937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1E338ECE" w:rsidR="00DD29F0" w:rsidRPr="00B2232A" w:rsidRDefault="00B2232A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B2232A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jeu« Une poule un mur</w:t>
            </w:r>
            <w:r w:rsid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»</w:t>
            </w:r>
          </w:p>
        </w:tc>
      </w:tr>
      <w:tr w:rsidR="00A84D7D" w:rsidRPr="00886BEC" w14:paraId="7CF12C0B" w14:textId="77777777" w:rsidTr="00457490">
        <w:trPr>
          <w:jc w:val="center"/>
        </w:trPr>
        <w:tc>
          <w:tcPr>
            <w:tcW w:w="1557" w:type="dxa"/>
          </w:tcPr>
          <w:p w14:paraId="7EFE88A4" w14:textId="035B60DF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2A2B82">
              <w:rPr>
                <w:rFonts w:ascii="Janda Safe and Sound" w:hAnsi="Janda Safe and Sound"/>
                <w:b/>
                <w:sz w:val="18"/>
                <w:szCs w:val="18"/>
              </w:rPr>
              <w:t>17</w:t>
            </w:r>
          </w:p>
          <w:p w14:paraId="05CCECCC" w14:textId="77206543" w:rsidR="000E7094" w:rsidRPr="00960937" w:rsidRDefault="00DC7CBD" w:rsidP="00DC7CBD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DC7CBD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Réaliser une collection dont le cardinal est donné</w:t>
            </w:r>
            <w:r>
              <w:rPr>
                <w:rFonts w:ascii="Arial" w:hAnsi="Arial" w:cs="Arial"/>
                <w:color w:val="333333"/>
                <w:lang w:eastAsia="fr-FR"/>
              </w:rPr>
              <w:t>.</w:t>
            </w:r>
          </w:p>
        </w:tc>
        <w:tc>
          <w:tcPr>
            <w:tcW w:w="1458" w:type="dxa"/>
          </w:tcPr>
          <w:p w14:paraId="21A51345" w14:textId="30D9A810" w:rsidR="00DD29F0" w:rsidRPr="00960937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8354870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17ACF535" w:rsidR="00DD29F0" w:rsidRPr="00DC7CBD" w:rsidRDefault="00DC7CBD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Décorer sa couronne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avec des groupements de deux étoiles</w:t>
            </w:r>
          </w:p>
        </w:tc>
        <w:tc>
          <w:tcPr>
            <w:tcW w:w="1444" w:type="dxa"/>
          </w:tcPr>
          <w:p w14:paraId="188242CB" w14:textId="09CEFBA7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8493458" w14:textId="68923FDF" w:rsidR="00DD29F0" w:rsidRPr="00DC7CBD" w:rsidRDefault="00DC7CBD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jeu« Les deux galettes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»</w:t>
            </w:r>
          </w:p>
        </w:tc>
        <w:tc>
          <w:tcPr>
            <w:tcW w:w="1420" w:type="dxa"/>
          </w:tcPr>
          <w:p w14:paraId="3516D0E6" w14:textId="77777777" w:rsidR="00DD29F0" w:rsidRDefault="00DC7CBD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  <w:r w:rsidRP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Jouer au </w:t>
            </w:r>
            <w:proofErr w:type="gramStart"/>
            <w:r w:rsidRP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jeu«</w:t>
            </w:r>
            <w:proofErr w:type="gramEnd"/>
            <w:r w:rsidRPr="00DC7CBD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Les deux galettes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»</w:t>
            </w:r>
          </w:p>
          <w:p w14:paraId="4758CE5D" w14:textId="77777777" w:rsidR="00C170F2" w:rsidRDefault="00C170F2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</w:p>
          <w:p w14:paraId="0B6A0291" w14:textId="0698569E" w:rsidR="00C170F2" w:rsidRPr="00C170F2" w:rsidRDefault="00C170F2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170F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aux boites à compter</w:t>
            </w:r>
            <w:r w:rsidR="002A75F8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jusqu’à 2</w:t>
            </w:r>
          </w:p>
        </w:tc>
      </w:tr>
      <w:tr w:rsidR="00A84D7D" w:rsidRPr="00886BEC" w14:paraId="7BA5336F" w14:textId="77777777" w:rsidTr="00457490">
        <w:trPr>
          <w:jc w:val="center"/>
        </w:trPr>
        <w:tc>
          <w:tcPr>
            <w:tcW w:w="1557" w:type="dxa"/>
          </w:tcPr>
          <w:p w14:paraId="4B33AB1D" w14:textId="0A40C69D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2A2B82">
              <w:rPr>
                <w:rFonts w:ascii="Janda Safe and Sound" w:hAnsi="Janda Safe and Sound"/>
                <w:b/>
                <w:sz w:val="18"/>
                <w:szCs w:val="18"/>
              </w:rPr>
              <w:t>18</w:t>
            </w:r>
          </w:p>
          <w:p w14:paraId="183860F6" w14:textId="20104CB4" w:rsidR="000E7094" w:rsidRPr="00B23CD3" w:rsidRDefault="005A518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DC7CBD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Réaliser une collection dont le cardinal est donné</w:t>
            </w:r>
            <w:r>
              <w:rPr>
                <w:rFonts w:ascii="Arial" w:hAnsi="Arial" w:cs="Arial"/>
                <w:color w:val="333333"/>
                <w:lang w:eastAsia="fr-FR"/>
              </w:rPr>
              <w:t>.</w:t>
            </w: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05591E8D" w:rsidR="00DD29F0" w:rsidRPr="005A5184" w:rsidRDefault="005A518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A5184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jeu« Les Trois lapins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»</w:t>
            </w:r>
          </w:p>
        </w:tc>
        <w:tc>
          <w:tcPr>
            <w:tcW w:w="1443" w:type="dxa"/>
          </w:tcPr>
          <w:p w14:paraId="0EFAFCA7" w14:textId="1FC399DA" w:rsidR="00DD29F0" w:rsidRPr="00267C4A" w:rsidRDefault="00267C4A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267C4A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Préparer une salade de fruits avec le nombre 3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pour son copain</w:t>
            </w:r>
          </w:p>
        </w:tc>
        <w:tc>
          <w:tcPr>
            <w:tcW w:w="1609" w:type="dxa"/>
          </w:tcPr>
          <w:p w14:paraId="4DBB5AD3" w14:textId="499C098E" w:rsidR="00DD29F0" w:rsidRPr="00FA685F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798276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32D1AC0" w14:textId="02276C93" w:rsidR="00DD29F0" w:rsidRPr="00FA685F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F9A7BF" w14:textId="77F63253" w:rsidR="00DD29F0" w:rsidRPr="002A75F8" w:rsidRDefault="002A75F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2A75F8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avec boite</w:t>
            </w:r>
            <w:r w:rsidRPr="002A75F8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s</w:t>
            </w:r>
            <w:r w:rsidRPr="002A75F8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à compter</w:t>
            </w:r>
            <w:r w:rsidRPr="002A75F8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jusqu’à 3</w:t>
            </w:r>
          </w:p>
        </w:tc>
      </w:tr>
      <w:tr w:rsidR="00A84D7D" w:rsidRPr="00886BEC" w14:paraId="5CBF65A4" w14:textId="77777777" w:rsidTr="00457490">
        <w:trPr>
          <w:jc w:val="center"/>
        </w:trPr>
        <w:tc>
          <w:tcPr>
            <w:tcW w:w="1557" w:type="dxa"/>
          </w:tcPr>
          <w:p w14:paraId="7158C84A" w14:textId="40B2B449" w:rsidR="000E7094" w:rsidRPr="00903BA2" w:rsidRDefault="000E7094" w:rsidP="00903BA2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3E5067">
              <w:rPr>
                <w:rFonts w:ascii="Janda Safe and Sound" w:hAnsi="Janda Safe and Sound"/>
                <w:b/>
                <w:sz w:val="18"/>
                <w:szCs w:val="18"/>
              </w:rPr>
              <w:t>1</w:t>
            </w:r>
            <w:r w:rsidR="002A2B82">
              <w:rPr>
                <w:rFonts w:ascii="Janda Safe and Sound" w:hAnsi="Janda Safe and Sound"/>
                <w:b/>
                <w:sz w:val="18"/>
                <w:szCs w:val="18"/>
              </w:rPr>
              <w:t>9</w:t>
            </w:r>
            <w:r w:rsidR="00903BA2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903BA2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Utiliser le dénombrement </w:t>
            </w:r>
            <w:r w:rsidR="00903BA2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lastRenderedPageBreak/>
              <w:t xml:space="preserve">pour comparer deux quantités, pour constituer une collection d'une taille donnée ou pour réaliser une collection de quantité égale à la collection proposée. </w:t>
            </w:r>
          </w:p>
        </w:tc>
        <w:tc>
          <w:tcPr>
            <w:tcW w:w="1458" w:type="dxa"/>
          </w:tcPr>
          <w:p w14:paraId="7608B9C3" w14:textId="20B2DBE2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37D7328" w14:textId="77777777" w:rsidR="00903BA2" w:rsidRPr="00903BA2" w:rsidRDefault="00903BA2" w:rsidP="00903BA2">
            <w:pPr>
              <w:pStyle w:val="Normalweb"/>
              <w:rPr>
                <w:sz w:val="18"/>
                <w:szCs w:val="18"/>
              </w:rPr>
            </w:pPr>
            <w:r w:rsidRPr="00903BA2">
              <w:rPr>
                <w:rFonts w:ascii="Trebuchet MS" w:hAnsi="Trebuchet MS"/>
                <w:color w:val="000000"/>
                <w:sz w:val="18"/>
                <w:szCs w:val="18"/>
              </w:rPr>
              <w:t>Refaire le mur selon un modèle</w:t>
            </w:r>
          </w:p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6B17B80D" w14:textId="77777777" w:rsidR="00903BA2" w:rsidRPr="00903BA2" w:rsidRDefault="00903BA2" w:rsidP="00903BA2">
            <w:pPr>
              <w:pStyle w:val="Normalweb"/>
              <w:rPr>
                <w:sz w:val="18"/>
                <w:szCs w:val="18"/>
              </w:rPr>
            </w:pPr>
            <w:r w:rsidRPr="00903BA2">
              <w:rPr>
                <w:rFonts w:ascii="Trebuchet MS" w:hAnsi="Trebuchet MS"/>
                <w:color w:val="000000"/>
                <w:sz w:val="18"/>
                <w:szCs w:val="18"/>
              </w:rPr>
              <w:t>Dessiner/ Découper trois cochons et un loup</w:t>
            </w:r>
          </w:p>
          <w:p w14:paraId="17C4D85A" w14:textId="71E5830F" w:rsidR="00DD29F0" w:rsidRPr="003E5067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8101095" w14:textId="77777777" w:rsidR="00903BA2" w:rsidRPr="00903BA2" w:rsidRDefault="00903BA2" w:rsidP="00903BA2">
            <w:pPr>
              <w:pStyle w:val="Normalweb"/>
              <w:rPr>
                <w:sz w:val="18"/>
                <w:szCs w:val="18"/>
              </w:rPr>
            </w:pPr>
            <w:r w:rsidRPr="00903BA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Dessiner/ Découper trois cochons et un loup</w:t>
            </w:r>
          </w:p>
          <w:p w14:paraId="75ACC637" w14:textId="08AA2C45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03D1DCD" w14:textId="03710B44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2BB2F7C" w14:textId="77777777" w:rsidR="00DD29F0" w:rsidRDefault="00C31051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  <w:r w:rsidRPr="00C31051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Jouer au </w:t>
            </w:r>
            <w:proofErr w:type="gramStart"/>
            <w:r w:rsidRPr="00C31051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jeu«</w:t>
            </w:r>
            <w:proofErr w:type="gramEnd"/>
            <w:r w:rsidRPr="00C31051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Attention, y'en a trois »</w:t>
            </w:r>
          </w:p>
          <w:p w14:paraId="02196F28" w14:textId="77777777" w:rsidR="00903BA2" w:rsidRDefault="00903BA2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</w:p>
          <w:p w14:paraId="294F18F1" w14:textId="5A7C99BC" w:rsidR="00903BA2" w:rsidRPr="00903BA2" w:rsidRDefault="00903BA2" w:rsidP="00903BA2">
            <w:pPr>
              <w:pStyle w:val="Normalweb"/>
              <w:rPr>
                <w:sz w:val="18"/>
                <w:szCs w:val="18"/>
              </w:rPr>
            </w:pPr>
            <w:r w:rsidRPr="00903BA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Refaire le mur</w:t>
            </w:r>
            <w:r w:rsidRPr="00903BA2">
              <w:rPr>
                <w:rFonts w:ascii="Trebuchet MS" w:hAnsi="Trebuchet MS"/>
                <w:color w:val="000000"/>
                <w:sz w:val="18"/>
                <w:szCs w:val="18"/>
              </w:rPr>
              <w:t xml:space="preserve"> selon un modèle</w:t>
            </w:r>
          </w:p>
          <w:p w14:paraId="43ACF1A7" w14:textId="46A2A76D" w:rsidR="00903BA2" w:rsidRPr="00C31051" w:rsidRDefault="00903BA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4DB2BB6" w14:textId="77777777" w:rsidTr="00457490">
        <w:trPr>
          <w:jc w:val="center"/>
        </w:trPr>
        <w:tc>
          <w:tcPr>
            <w:tcW w:w="1557" w:type="dxa"/>
          </w:tcPr>
          <w:p w14:paraId="013EFA99" w14:textId="3D5E7E24" w:rsidR="000E7094" w:rsidRPr="00457490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2A2B82">
              <w:rPr>
                <w:rFonts w:ascii="Janda Safe and Sound" w:hAnsi="Janda Safe and Sound"/>
                <w:b/>
                <w:sz w:val="18"/>
                <w:szCs w:val="18"/>
              </w:rPr>
              <w:t>20</w:t>
            </w:r>
            <w:r w:rsidR="00457490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457490">
              <w:rPr>
                <w:rFonts w:ascii="ArialMT" w:hAnsi="ArialMT" w:cs="ArialMT"/>
                <w:color w:val="000000"/>
                <w:sz w:val="18"/>
                <w:szCs w:val="18"/>
              </w:rPr>
              <w:t>Dire combien il faut ajouter ou enlever pour obtenir des quantités ne dépassant pas dix.</w:t>
            </w:r>
          </w:p>
        </w:tc>
        <w:tc>
          <w:tcPr>
            <w:tcW w:w="1458" w:type="dxa"/>
          </w:tcPr>
          <w:p w14:paraId="682074DB" w14:textId="2CB63467" w:rsidR="00DD29F0" w:rsidRPr="00735E6B" w:rsidRDefault="00DD29F0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F2528AE" w14:textId="2F967FFE" w:rsidR="00457490" w:rsidRPr="00457490" w:rsidRDefault="00457490" w:rsidP="00457490">
            <w:pPr>
              <w:pStyle w:val="Normalweb"/>
              <w:rPr>
                <w:sz w:val="18"/>
                <w:szCs w:val="18"/>
              </w:rPr>
            </w:pPr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>Réparer le mur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à la manière de Jan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Vormann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en utilisant des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légos</w:t>
            </w:r>
            <w:proofErr w:type="spellEnd"/>
          </w:p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6A152757" w:rsidR="00DD29F0" w:rsidRPr="00735E6B" w:rsidRDefault="00DD29F0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13C711E" w14:textId="77777777" w:rsidR="00457490" w:rsidRPr="00457490" w:rsidRDefault="00457490" w:rsidP="00457490">
            <w:pPr>
              <w:pStyle w:val="Normalweb"/>
              <w:rPr>
                <w:sz w:val="18"/>
                <w:szCs w:val="18"/>
              </w:rPr>
            </w:pPr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>Réparer le mur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à la manière de Jan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Vormann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en utilisant des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légos</w:t>
            </w:r>
            <w:proofErr w:type="spellEnd"/>
          </w:p>
          <w:p w14:paraId="1B190E6F" w14:textId="77777777" w:rsidR="0001319D" w:rsidRPr="0001319D" w:rsidRDefault="0001319D" w:rsidP="0001319D">
            <w:pPr>
              <w:pStyle w:val="Normalweb"/>
              <w:rPr>
                <w:sz w:val="18"/>
                <w:szCs w:val="18"/>
              </w:rPr>
            </w:pPr>
            <w:r w:rsidRPr="0001319D">
              <w:rPr>
                <w:rFonts w:ascii="Trebuchet MS" w:hAnsi="Trebuchet MS"/>
                <w:color w:val="000000"/>
                <w:sz w:val="18"/>
                <w:szCs w:val="18"/>
              </w:rPr>
              <w:t xml:space="preserve">Découper un loup et jouer avec son album à compter </w:t>
            </w:r>
          </w:p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B2EB31C" w14:textId="77777777" w:rsidR="0001319D" w:rsidRPr="0001319D" w:rsidRDefault="0001319D" w:rsidP="0001319D">
            <w:pPr>
              <w:pStyle w:val="Normalweb"/>
              <w:rPr>
                <w:sz w:val="18"/>
                <w:szCs w:val="18"/>
              </w:rPr>
            </w:pPr>
            <w:r w:rsidRPr="0001319D">
              <w:rPr>
                <w:rFonts w:ascii="Trebuchet MS" w:hAnsi="Trebuchet MS"/>
                <w:color w:val="000000"/>
                <w:sz w:val="18"/>
                <w:szCs w:val="18"/>
              </w:rPr>
              <w:t xml:space="preserve">Découper un loup et jouer avec son album à compter </w:t>
            </w:r>
          </w:p>
          <w:p w14:paraId="5D49B2AB" w14:textId="1CF76157" w:rsidR="00DD29F0" w:rsidRPr="00735E6B" w:rsidRDefault="00DD29F0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FA6D23F" w14:textId="2DDC93AE" w:rsidR="00457490" w:rsidRPr="00457490" w:rsidRDefault="00457490" w:rsidP="00457490">
            <w:pPr>
              <w:pStyle w:val="Normalweb"/>
              <w:rPr>
                <w:sz w:val="18"/>
                <w:szCs w:val="18"/>
              </w:rPr>
            </w:pPr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 xml:space="preserve">ouer au </w:t>
            </w:r>
            <w:proofErr w:type="gramStart"/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>jeu«</w:t>
            </w:r>
            <w:proofErr w:type="gramEnd"/>
            <w:r w:rsidRPr="00457490">
              <w:rPr>
                <w:rFonts w:ascii="Trebuchet MS" w:hAnsi="Trebuchet MS"/>
                <w:color w:val="000000"/>
                <w:sz w:val="18"/>
                <w:szCs w:val="18"/>
              </w:rPr>
              <w:t> La maison des cochons»</w:t>
            </w:r>
          </w:p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2AA201C9" w14:textId="77777777" w:rsidTr="00457490">
        <w:trPr>
          <w:jc w:val="center"/>
        </w:trPr>
        <w:tc>
          <w:tcPr>
            <w:tcW w:w="1557" w:type="dxa"/>
          </w:tcPr>
          <w:p w14:paraId="0C250680" w14:textId="0C3C1E02" w:rsidR="00FF5C37" w:rsidRPr="00FF5C37" w:rsidRDefault="00A84D7D" w:rsidP="00FF5C37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2A2B82">
              <w:rPr>
                <w:rFonts w:ascii="Janda Safe and Sound" w:hAnsi="Janda Safe and Sound"/>
                <w:b/>
                <w:sz w:val="18"/>
                <w:szCs w:val="18"/>
              </w:rPr>
              <w:t>21</w:t>
            </w:r>
            <w:r w:rsidR="00FF5C37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FF5C37">
              <w:rPr>
                <w:rFonts w:ascii="Trebuchet MS" w:hAnsi="Trebuchet MS" w:cs="ArialMT"/>
                <w:color w:val="000000"/>
                <w:sz w:val="18"/>
                <w:szCs w:val="18"/>
              </w:rPr>
              <w:t>Quantifier des collections jusqu'à dix au moins ; les composer et les décomposer par manipulations effectives puis mentales</w:t>
            </w:r>
          </w:p>
          <w:p w14:paraId="13ADD219" w14:textId="7963FE70" w:rsidR="00A84D7D" w:rsidRPr="00E3571A" w:rsidRDefault="00A84D7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E61C614" w14:textId="7957F93B" w:rsidR="00DD29F0" w:rsidRPr="00E3571A" w:rsidRDefault="00DD29F0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679F498" w14:textId="77777777" w:rsidR="00FF5C37" w:rsidRDefault="00FF5C37" w:rsidP="00FF5C37">
            <w:pPr>
              <w:pStyle w:val="Normalweb"/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Mettre en valeur sa collection personnelle </w:t>
            </w:r>
          </w:p>
          <w:p w14:paraId="3A1E6C2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131B03A" w14:textId="0C426117" w:rsidR="00FF5C37" w:rsidRDefault="00FF5C37" w:rsidP="00FF5C37">
            <w:pPr>
              <w:pStyle w:val="Normalweb"/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Mettre en valeur sa collection personnelle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14:paraId="3C27A062" w14:textId="0BF44FFE" w:rsidR="00DD29F0" w:rsidRPr="00E55176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46F5FB7" w14:textId="36AD83A3" w:rsidR="00E55176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FA94309" w14:textId="78BFD76A" w:rsidR="00FF5C37" w:rsidRDefault="00FF5C37" w:rsidP="00FF5C37">
            <w:pPr>
              <w:pStyle w:val="Normalweb"/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Présenter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sa collection personnelle 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et son album à compter</w:t>
            </w:r>
          </w:p>
          <w:p w14:paraId="1FB7DF93" w14:textId="399FDF2E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80D6A8F" w14:textId="3425AC89" w:rsidR="00FF5C37" w:rsidRDefault="00FF5C37" w:rsidP="00FF5C37">
            <w:pPr>
              <w:pStyle w:val="Normalweb"/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Organiser et participer à la rencontre C’est pas du jeu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14:paraId="6C08DA0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933267" w14:textId="77777777" w:rsidR="0094254D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qui est attendu des enfants en fin d'école maternelle</w:t>
      </w:r>
      <w:r w:rsidR="009425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3D3D23C6" w14:textId="77777777" w:rsidR="00F65468" w:rsidRDefault="00F65468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4C5B71CF" w14:textId="77777777" w:rsidR="003C05F3" w:rsidRPr="001132FD" w:rsidRDefault="00586B7A" w:rsidP="003C05F3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 xml:space="preserve">- </w:t>
      </w:r>
      <w:r w:rsidR="003C05F3" w:rsidRPr="001132FD">
        <w:rPr>
          <w:rFonts w:ascii="Arial" w:hAnsi="Arial" w:cs="Arial"/>
          <w:color w:val="176D7A"/>
          <w:sz w:val="20"/>
          <w:szCs w:val="20"/>
          <w:lang w:eastAsia="fr-FR"/>
        </w:rPr>
        <w:t>Utiliser les nombres</w:t>
      </w:r>
    </w:p>
    <w:p w14:paraId="6B2A006B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Évaluer et comparer des collections d'objets avec des procédures numériques ou non numériques.</w:t>
      </w:r>
    </w:p>
    <w:p w14:paraId="455EEA21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 xml:space="preserve">- Réaliser une collection dont le cardinal est donné. Utiliser le dénombrement pour comparer deux quantités, pour constituer une collection d'une taille donnée </w:t>
      </w:r>
      <w:r w:rsidRPr="001132FD">
        <w:rPr>
          <w:rFonts w:ascii="Arial" w:hAnsi="Arial" w:cs="Arial"/>
          <w:sz w:val="20"/>
          <w:szCs w:val="20"/>
          <w:lang w:eastAsia="fr-FR"/>
        </w:rPr>
        <w:lastRenderedPageBreak/>
        <w:t>ou pour réaliser une collection de quantité égale à la collection proposée.</w:t>
      </w:r>
    </w:p>
    <w:p w14:paraId="6548C522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Utiliser le nombre pour exprimer la position d'un objet ou d'une personne dans un jeu, dans une situation organisée, sur un rang ou pour comparer des positions.</w:t>
      </w:r>
    </w:p>
    <w:p w14:paraId="33BF9EB1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Mobiliser des symboles analogiques, verbaux ou écrits, conventionnels ou non conventionnels pour communiquer des informations orales et écrites sur une quantité.</w:t>
      </w:r>
    </w:p>
    <w:p w14:paraId="5937B102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 </w:t>
      </w:r>
    </w:p>
    <w:p w14:paraId="488E8938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0"/>
          <w:szCs w:val="20"/>
          <w:lang w:eastAsia="fr-FR"/>
        </w:rPr>
      </w:pPr>
      <w:r w:rsidRPr="001132FD">
        <w:rPr>
          <w:rFonts w:ascii="Arial" w:hAnsi="Arial" w:cs="Arial"/>
          <w:color w:val="176D7A"/>
          <w:sz w:val="20"/>
          <w:szCs w:val="20"/>
          <w:lang w:eastAsia="fr-FR"/>
        </w:rPr>
        <w:t>Étudier les nombres</w:t>
      </w:r>
    </w:p>
    <w:p w14:paraId="1F330DFA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Avoir compris que le cardinal ne change pas si on modifie la disposition spatiale ou la nature des éléments.</w:t>
      </w:r>
    </w:p>
    <w:p w14:paraId="04ABE121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Avoir compris que tout nombre s'obtient en ajoutant un au nombre précédent et que cela correspond à l'ajout d'une unité à la quantité précédente.</w:t>
      </w:r>
    </w:p>
    <w:p w14:paraId="50E85008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Quantifier des collections jusqu'à dix au moins ; les composer et les décomposer par manipulations effectives puis mentales. Dire combien il faut ajouter ou enlever pour obtenir des quantités ne dépassant pas dix.</w:t>
      </w:r>
    </w:p>
    <w:p w14:paraId="7B5320B7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Parler des nombres à l'aide de leur décomposition.</w:t>
      </w:r>
    </w:p>
    <w:p w14:paraId="08640E1F" w14:textId="77777777" w:rsidR="003C05F3" w:rsidRPr="001132FD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1132FD">
        <w:rPr>
          <w:rFonts w:ascii="Arial" w:hAnsi="Arial" w:cs="Arial"/>
          <w:sz w:val="20"/>
          <w:szCs w:val="20"/>
          <w:lang w:eastAsia="fr-FR"/>
        </w:rPr>
        <w:t>- Dire la suite des nombres jusqu'à trente. Lire les nombres écrits en chiffres jusqu'à dix.</w:t>
      </w:r>
    </w:p>
    <w:p w14:paraId="6CB2A014" w14:textId="77777777" w:rsidR="003C05F3" w:rsidRDefault="003C05F3" w:rsidP="003C05F3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14:paraId="685BA9B4" w14:textId="017E7DF4" w:rsidR="0094254D" w:rsidRDefault="00201474" w:rsidP="003C05F3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94254D">
        <w:rPr>
          <w:rFonts w:ascii="Janda Safe and Sound" w:hAnsi="Janda Safe and Sound" w:cs="Arial"/>
          <w:color w:val="000000"/>
          <w:sz w:val="20"/>
          <w:szCs w:val="20"/>
        </w:rPr>
        <w:t>, comme vous pouvez le constater sur cet organigramme qui reprend toutes les activités de la période :</w:t>
      </w:r>
    </w:p>
    <w:p w14:paraId="1F8A52D5" w14:textId="4541AED1" w:rsidR="0094254D" w:rsidRDefault="00C047F9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23BC4F32" w:rsidR="00047FBE" w:rsidRPr="00C72BC1" w:rsidRDefault="001132FD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0A36EAF0" wp14:editId="006C7F75">
            <wp:extent cx="8571230" cy="57594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7-01-17 à 14.02.2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23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19D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32FD"/>
    <w:rsid w:val="00115623"/>
    <w:rsid w:val="00116809"/>
    <w:rsid w:val="00144786"/>
    <w:rsid w:val="0015753A"/>
    <w:rsid w:val="00165084"/>
    <w:rsid w:val="0017425B"/>
    <w:rsid w:val="00180A49"/>
    <w:rsid w:val="00182D04"/>
    <w:rsid w:val="00191610"/>
    <w:rsid w:val="001922E6"/>
    <w:rsid w:val="001B68F3"/>
    <w:rsid w:val="001C4814"/>
    <w:rsid w:val="001E3518"/>
    <w:rsid w:val="001F4E7E"/>
    <w:rsid w:val="001F53B9"/>
    <w:rsid w:val="001F74A1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67C4A"/>
    <w:rsid w:val="002767AE"/>
    <w:rsid w:val="00280B45"/>
    <w:rsid w:val="00280C2B"/>
    <w:rsid w:val="00282DBE"/>
    <w:rsid w:val="002842CC"/>
    <w:rsid w:val="0028772C"/>
    <w:rsid w:val="0029327A"/>
    <w:rsid w:val="002A2B82"/>
    <w:rsid w:val="002A5141"/>
    <w:rsid w:val="002A75F8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05F3"/>
    <w:rsid w:val="003C3B2E"/>
    <w:rsid w:val="003D0465"/>
    <w:rsid w:val="003E4B89"/>
    <w:rsid w:val="003E5067"/>
    <w:rsid w:val="003F45B0"/>
    <w:rsid w:val="003F6049"/>
    <w:rsid w:val="00400B15"/>
    <w:rsid w:val="00404766"/>
    <w:rsid w:val="00424A32"/>
    <w:rsid w:val="00443DD2"/>
    <w:rsid w:val="004559AB"/>
    <w:rsid w:val="00457490"/>
    <w:rsid w:val="004645B6"/>
    <w:rsid w:val="004700C7"/>
    <w:rsid w:val="00485D99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2EDC"/>
    <w:rsid w:val="00586B7A"/>
    <w:rsid w:val="00590055"/>
    <w:rsid w:val="00596839"/>
    <w:rsid w:val="00597E86"/>
    <w:rsid w:val="005A193B"/>
    <w:rsid w:val="005A5020"/>
    <w:rsid w:val="005A5184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5F7819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3B6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8F1310"/>
    <w:rsid w:val="00900605"/>
    <w:rsid w:val="00903BA2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0937"/>
    <w:rsid w:val="00962517"/>
    <w:rsid w:val="00962F9D"/>
    <w:rsid w:val="00964832"/>
    <w:rsid w:val="00974794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232A"/>
    <w:rsid w:val="00B23CD3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170F2"/>
    <w:rsid w:val="00C21E8E"/>
    <w:rsid w:val="00C30709"/>
    <w:rsid w:val="00C31051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5219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C7CBD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571A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29A5"/>
    <w:rsid w:val="00ED549B"/>
    <w:rsid w:val="00ED6A18"/>
    <w:rsid w:val="00ED7AEB"/>
    <w:rsid w:val="00EE3859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42D1E"/>
    <w:rsid w:val="00F44215"/>
    <w:rsid w:val="00F5486E"/>
    <w:rsid w:val="00F57F6B"/>
    <w:rsid w:val="00F64FE8"/>
    <w:rsid w:val="00F65468"/>
    <w:rsid w:val="00F72F7B"/>
    <w:rsid w:val="00F746BB"/>
    <w:rsid w:val="00F8281D"/>
    <w:rsid w:val="00F82AEC"/>
    <w:rsid w:val="00F87F74"/>
    <w:rsid w:val="00FA186E"/>
    <w:rsid w:val="00FA685F"/>
    <w:rsid w:val="00FB3E6D"/>
    <w:rsid w:val="00FB60E8"/>
    <w:rsid w:val="00FC0462"/>
    <w:rsid w:val="00FC2E66"/>
    <w:rsid w:val="00FD1292"/>
    <w:rsid w:val="00FE3C67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785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15</cp:revision>
  <dcterms:created xsi:type="dcterms:W3CDTF">2017-01-17T12:39:00Z</dcterms:created>
  <dcterms:modified xsi:type="dcterms:W3CDTF">2017-01-17T13:03:00Z</dcterms:modified>
</cp:coreProperties>
</file>