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1EC5" w14:textId="77777777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>Bilan de la période 1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B05EF9">
        <w:rPr>
          <w:rFonts w:ascii="Janda Safe and Sound" w:hAnsi="Janda Safe and Sound"/>
          <w:sz w:val="36"/>
          <w:szCs w:val="36"/>
        </w:rPr>
        <w:t>Sept-</w:t>
      </w:r>
      <w:proofErr w:type="spellStart"/>
      <w:r w:rsidR="00B05EF9">
        <w:rPr>
          <w:rFonts w:ascii="Janda Safe and Sound" w:hAnsi="Janda Safe and Sound"/>
          <w:sz w:val="36"/>
          <w:szCs w:val="36"/>
        </w:rPr>
        <w:t>Oct</w:t>
      </w:r>
      <w:proofErr w:type="spellEnd"/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3E4B89">
        <w:rPr>
          <w:rFonts w:ascii="Janda Safe and Sound" w:hAnsi="Janda Safe and Sound"/>
          <w:sz w:val="36"/>
          <w:szCs w:val="36"/>
        </w:rPr>
        <w:t>6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3E4B89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9CB3179" w14:textId="77777777" w:rsidR="00DD29F0" w:rsidRPr="00586B7A" w:rsidRDefault="00586B7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7172C7">
        <w:rPr>
          <w:rFonts w:ascii="KG Lego House" w:hAnsi="KG Lego House"/>
          <w:b/>
          <w:sz w:val="36"/>
          <w:szCs w:val="36"/>
        </w:rPr>
        <w:t>EXPLORER LE MONDE</w:t>
      </w:r>
      <w:r w:rsidR="002C0E0B" w:rsidRPr="00586B7A">
        <w:rPr>
          <w:rFonts w:ascii="Janda Safe and Sound" w:hAnsi="Janda Safe and Sound"/>
          <w:sz w:val="36"/>
          <w:szCs w:val="36"/>
        </w:rPr>
        <w:t xml:space="preserve"> </w:t>
      </w:r>
      <w:r w:rsidR="0099692B" w:rsidRPr="0099692B">
        <w:rPr>
          <w:rFonts w:ascii="Janda Safe and Sound" w:hAnsi="Janda Safe and Sound"/>
          <w:sz w:val="28"/>
          <w:szCs w:val="28"/>
        </w:rPr>
        <w:t>avec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50CDEC00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06E39671" w14:textId="640F29BE" w:rsidR="007172C7" w:rsidRDefault="007172C7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34C13CCF" w14:textId="7446A26B" w:rsidR="007172C7" w:rsidRDefault="007172C7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54D1DF2D" w14:textId="126BA861" w:rsidR="007172C7" w:rsidRDefault="007172C7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47273B59" w14:textId="77777777" w:rsidR="007172C7" w:rsidRPr="0099692B" w:rsidRDefault="007172C7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0"/>
        <w:gridCol w:w="1420"/>
      </w:tblGrid>
      <w:tr w:rsidR="00A84D7D" w:rsidRPr="00886BEC" w14:paraId="0FE5DA73" w14:textId="77777777" w:rsidTr="00523FDF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523FDF">
        <w:trPr>
          <w:jc w:val="center"/>
        </w:trPr>
        <w:tc>
          <w:tcPr>
            <w:tcW w:w="1557" w:type="dxa"/>
          </w:tcPr>
          <w:p w14:paraId="7FFA3555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1</w:t>
            </w:r>
          </w:p>
          <w:p w14:paraId="3CDCE9A0" w14:textId="2C411F0C" w:rsidR="00A84D7D" w:rsidRDefault="00A84D7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gramStart"/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situer</w:t>
            </w:r>
            <w:proofErr w:type="gramEnd"/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 xml:space="preserve"> et nommer une partie de son corps (</w:t>
            </w:r>
            <w:r w:rsidR="000A4907">
              <w:rPr>
                <w:rFonts w:ascii="Trebuchet MS" w:hAnsi="Trebuchet MS"/>
                <w:color w:val="000000"/>
                <w:sz w:val="18"/>
                <w:szCs w:val="18"/>
              </w:rPr>
              <w:t>main</w:t>
            </w:r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14:paraId="01FB80C3" w14:textId="77777777" w:rsidR="00FD1292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8875FF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E067153" w14:textId="77777777" w:rsidR="00DD29F0" w:rsidRDefault="00FD129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Décorer son sac d’explorateur avec sa main</w:t>
            </w:r>
            <w:r w:rsidR="009E22E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61AD067F" w14:textId="77777777" w:rsidR="009E22EB" w:rsidRDefault="009E22E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Décorer le mur des mains.</w:t>
            </w:r>
          </w:p>
          <w:p w14:paraId="63776819" w14:textId="0E5F7261" w:rsidR="009E22EB" w:rsidRPr="00886BEC" w:rsidRDefault="009E22EB">
            <w:pPr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Coller son prénom sur son carnet.</w:t>
            </w:r>
          </w:p>
        </w:tc>
        <w:tc>
          <w:tcPr>
            <w:tcW w:w="1689" w:type="dxa"/>
          </w:tcPr>
          <w:p w14:paraId="76E16052" w14:textId="496F122C" w:rsidR="00DD29F0" w:rsidRPr="00886BEC" w:rsidRDefault="00B81CF1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D129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bac sensoriel  : eau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et objets de transvasement.</w:t>
            </w:r>
          </w:p>
        </w:tc>
        <w:tc>
          <w:tcPr>
            <w:tcW w:w="1444" w:type="dxa"/>
          </w:tcPr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523FDF">
        <w:trPr>
          <w:jc w:val="center"/>
        </w:trPr>
        <w:tc>
          <w:tcPr>
            <w:tcW w:w="1557" w:type="dxa"/>
          </w:tcPr>
          <w:p w14:paraId="7EFE88A4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2</w:t>
            </w:r>
          </w:p>
          <w:p w14:paraId="05CCECCC" w14:textId="77777777" w:rsidR="000E7094" w:rsidRPr="00886BEC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Situer des événements vécus les uns par rapport aux autres et en les repérant dans la journée</w:t>
            </w:r>
          </w:p>
        </w:tc>
        <w:tc>
          <w:tcPr>
            <w:tcW w:w="1458" w:type="dxa"/>
          </w:tcPr>
          <w:p w14:paraId="21A51345" w14:textId="77777777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77777777" w:rsidR="00DD29F0" w:rsidRPr="00886BEC" w:rsidRDefault="00FD1292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333333"/>
                <w:sz w:val="18"/>
                <w:szCs w:val="18"/>
              </w:rPr>
              <w:t>Repérer la petite musique qui indique le changement d’activité</w:t>
            </w:r>
          </w:p>
        </w:tc>
        <w:tc>
          <w:tcPr>
            <w:tcW w:w="1443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746EB1CF" w:rsidR="00DD29F0" w:rsidRPr="00FD1292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D129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Jouer au bac </w:t>
            </w:r>
            <w:r w:rsidR="007172C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sensoriel </w:t>
            </w:r>
            <w:r w:rsidRPr="00FD129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: eau+ coquillages/galets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grâce aux images avant/après</w:t>
            </w:r>
          </w:p>
        </w:tc>
        <w:tc>
          <w:tcPr>
            <w:tcW w:w="1444" w:type="dxa"/>
          </w:tcPr>
          <w:p w14:paraId="188242CB" w14:textId="13223EAC" w:rsidR="00DD29F0" w:rsidRPr="00FD1292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D129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Explorer la pâte à modeler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grâce aux images avant/après</w:t>
            </w:r>
            <w:r w:rsidR="009E22E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 : déchiqueter, aplatir, rouler, couper, assembler.</w:t>
            </w:r>
          </w:p>
        </w:tc>
        <w:tc>
          <w:tcPr>
            <w:tcW w:w="1416" w:type="dxa"/>
          </w:tcPr>
          <w:p w14:paraId="5849345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B6A029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523FDF">
        <w:trPr>
          <w:jc w:val="center"/>
        </w:trPr>
        <w:tc>
          <w:tcPr>
            <w:tcW w:w="1557" w:type="dxa"/>
          </w:tcPr>
          <w:p w14:paraId="4B33AB1D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3</w:t>
            </w:r>
          </w:p>
          <w:p w14:paraId="183860F6" w14:textId="77777777" w:rsidR="000E7094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Situer des objets par rapport à soi, entre eux, par rapport à des objets repères.</w:t>
            </w: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5F5F449D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Jouer à la chasse au trésor 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durant le temps d</w:t>
            </w:r>
            <w:r w:rsidR="007848A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u sablier.</w:t>
            </w:r>
          </w:p>
        </w:tc>
        <w:tc>
          <w:tcPr>
            <w:tcW w:w="1443" w:type="dxa"/>
          </w:tcPr>
          <w:p w14:paraId="0EFAFCA7" w14:textId="64D82103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Tracer des chemins pour les copains</w:t>
            </w:r>
            <w:r w:rsidR="007848A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pour expérimenter l’espace (alignement, orientation, équilibre).</w:t>
            </w:r>
          </w:p>
        </w:tc>
        <w:tc>
          <w:tcPr>
            <w:tcW w:w="1609" w:type="dxa"/>
          </w:tcPr>
          <w:p w14:paraId="4DBB5AD3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798276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32D1AC0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Se déplacer dans la classe et dans l'école pour retrouver les m des mamans</w:t>
            </w:r>
            <w:r w:rsidRPr="004559AB">
              <w:rPr>
                <w:rFonts w:ascii="Janda Safe and Sound" w:hAnsi="Janda Safe and Sound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523FDF">
        <w:trPr>
          <w:jc w:val="center"/>
        </w:trPr>
        <w:tc>
          <w:tcPr>
            <w:tcW w:w="1557" w:type="dxa"/>
          </w:tcPr>
          <w:p w14:paraId="0BB31C7E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4</w:t>
            </w:r>
          </w:p>
          <w:p w14:paraId="7158C84A" w14:textId="77777777" w:rsidR="000E7094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 xml:space="preserve">Choisir, utiliser et savoir désigner des outils et des matériaux </w:t>
            </w: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lastRenderedPageBreak/>
              <w:t xml:space="preserve">adaptés à une situation, à des actions techniques spécifiques (plier, couper, coller, </w:t>
            </w:r>
            <w:r w:rsidRPr="004559A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eastAsia="fr-FR"/>
              </w:rPr>
              <w:t>assembler</w:t>
            </w: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, actionner...).</w:t>
            </w:r>
          </w:p>
        </w:tc>
        <w:tc>
          <w:tcPr>
            <w:tcW w:w="1458" w:type="dxa"/>
          </w:tcPr>
          <w:p w14:paraId="7608B9C3" w14:textId="77777777" w:rsidR="00DD29F0" w:rsidRPr="00886BEC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 xml:space="preserve">Expérimenter différents matériaux pour construire une tour comme Mr </w:t>
            </w:r>
            <w:proofErr w:type="spellStart"/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Rondinone</w:t>
            </w:r>
            <w:proofErr w:type="spellEnd"/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7C4D85A" w14:textId="1E2C8273" w:rsidR="00DD29F0" w:rsidRPr="007172C7" w:rsidRDefault="007172C7" w:rsidP="004559AB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  <w:r w:rsidRPr="007172C7">
              <w:rPr>
                <w:rFonts w:ascii="Trebuchet MS" w:hAnsi="Trebuchet MS"/>
                <w:sz w:val="18"/>
                <w:szCs w:val="18"/>
              </w:rPr>
              <w:t>Jouer avec les gants sensoriels</w:t>
            </w:r>
          </w:p>
        </w:tc>
        <w:tc>
          <w:tcPr>
            <w:tcW w:w="1444" w:type="dxa"/>
          </w:tcPr>
          <w:p w14:paraId="75ACC637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Utiliser la pâte à modeler pour faire comme Mr </w:t>
            </w:r>
            <w:proofErr w:type="spellStart"/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Rondinone</w:t>
            </w:r>
            <w:proofErr w:type="spellEnd"/>
          </w:p>
        </w:tc>
        <w:tc>
          <w:tcPr>
            <w:tcW w:w="1416" w:type="dxa"/>
          </w:tcPr>
          <w:p w14:paraId="003D1DCD" w14:textId="0AA5E545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Enoncer les constructions et les matériaux à partir du livre Avec des </w:t>
            </w: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>cubes</w:t>
            </w:r>
            <w:r w:rsidR="007848A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ou Iggy Peck l’architecte.</w:t>
            </w:r>
          </w:p>
        </w:tc>
        <w:tc>
          <w:tcPr>
            <w:tcW w:w="1416" w:type="dxa"/>
          </w:tcPr>
          <w:p w14:paraId="43ACF1A7" w14:textId="7862D8AB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 xml:space="preserve">Comparer et trier les matériaux utilisables pour faire une </w:t>
            </w: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>tour</w:t>
            </w:r>
            <w:r w:rsidR="007848A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ou un pont.</w:t>
            </w:r>
          </w:p>
        </w:tc>
        <w:bookmarkStart w:id="0" w:name="_GoBack"/>
        <w:bookmarkEnd w:id="0"/>
      </w:tr>
      <w:tr w:rsidR="00A84D7D" w:rsidRPr="00886BEC" w14:paraId="74DB2BB6" w14:textId="77777777" w:rsidTr="00523FDF">
        <w:trPr>
          <w:jc w:val="center"/>
        </w:trPr>
        <w:tc>
          <w:tcPr>
            <w:tcW w:w="1557" w:type="dxa"/>
          </w:tcPr>
          <w:p w14:paraId="35AB21DD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5</w:t>
            </w:r>
          </w:p>
          <w:p w14:paraId="013EFA99" w14:textId="77777777" w:rsidR="000E7094" w:rsidRPr="00735E6B" w:rsidRDefault="00735E6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Connaître les besoins essentiels de quelques animaux et végétaux.</w:t>
            </w:r>
          </w:p>
        </w:tc>
        <w:tc>
          <w:tcPr>
            <w:tcW w:w="1458" w:type="dxa"/>
          </w:tcPr>
          <w:p w14:paraId="682074DB" w14:textId="68AD8458" w:rsidR="00DD29F0" w:rsidRPr="00735E6B" w:rsidRDefault="00735E6B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Jouer au </w:t>
            </w:r>
            <w:r w:rsidR="00AC0764">
              <w:rPr>
                <w:rFonts w:ascii="Trebuchet MS" w:hAnsi="Trebuchet MS" w:cs="Trebuchet MS"/>
                <w:color w:val="333333"/>
                <w:sz w:val="18"/>
                <w:szCs w:val="18"/>
              </w:rPr>
              <w:t>jeu de la loupe en associant les cartes</w:t>
            </w: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2EF83FA" w14:textId="77777777" w:rsidR="00DD29F0" w:rsidRPr="00735E6B" w:rsidRDefault="00735E6B" w:rsidP="00735E6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Observer des images d'animaux et associer 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a propre</w:t>
            </w: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émotion</w:t>
            </w:r>
          </w:p>
        </w:tc>
        <w:tc>
          <w:tcPr>
            <w:tcW w:w="1689" w:type="dxa"/>
          </w:tcPr>
          <w:p w14:paraId="09A6C113" w14:textId="7CEC9FDE" w:rsidR="00DD29F0" w:rsidRPr="007172C7" w:rsidRDefault="007172C7">
            <w:pPr>
              <w:rPr>
                <w:rFonts w:ascii="Trebuchet MS" w:hAnsi="Trebuchet MS"/>
                <w:sz w:val="18"/>
                <w:szCs w:val="18"/>
              </w:rPr>
            </w:pPr>
            <w:r w:rsidRPr="007172C7">
              <w:rPr>
                <w:rFonts w:ascii="Trebuchet MS" w:hAnsi="Trebuchet MS"/>
                <w:sz w:val="18"/>
                <w:szCs w:val="18"/>
              </w:rPr>
              <w:t>Jouer avec les gants sensoriels et associer les cartes images</w:t>
            </w:r>
          </w:p>
        </w:tc>
        <w:tc>
          <w:tcPr>
            <w:tcW w:w="1444" w:type="dxa"/>
          </w:tcPr>
          <w:p w14:paraId="5D49B2AB" w14:textId="73527FE8" w:rsidR="00DD29F0" w:rsidRPr="00735E6B" w:rsidRDefault="00735E6B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</w:rPr>
              <w:t xml:space="preserve">Observer des petites bêtes avec une loupe </w:t>
            </w:r>
          </w:p>
        </w:tc>
        <w:tc>
          <w:tcPr>
            <w:tcW w:w="1416" w:type="dxa"/>
          </w:tcPr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2AA201C9" w14:textId="77777777" w:rsidTr="00523FDF">
        <w:trPr>
          <w:jc w:val="center"/>
        </w:trPr>
        <w:tc>
          <w:tcPr>
            <w:tcW w:w="1557" w:type="dxa"/>
          </w:tcPr>
          <w:p w14:paraId="1728CF85" w14:textId="77777777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6</w:t>
            </w:r>
          </w:p>
          <w:p w14:paraId="13ADD219" w14:textId="77777777" w:rsidR="00A84D7D" w:rsidRPr="00E55176" w:rsidRDefault="00F64F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Choisir, utiliser et savoir désigner des outils et des matériaux adaptés à une situation, à des actions techniques spécifiques</w:t>
            </w:r>
            <w:proofErr w:type="gramStart"/>
            <w:r w:rsidRPr="00E55176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 :plier</w:t>
            </w:r>
            <w:proofErr w:type="gramEnd"/>
          </w:p>
        </w:tc>
        <w:tc>
          <w:tcPr>
            <w:tcW w:w="1458" w:type="dxa"/>
          </w:tcPr>
          <w:p w14:paraId="0E61C614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7F89B3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766B44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A1E6C2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3C27A062" w14:textId="77777777" w:rsidR="00DD29F0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Réaliser une œuvre inspirée de Mademoiselle Maurice pour la grande Lessive</w:t>
            </w:r>
          </w:p>
        </w:tc>
        <w:tc>
          <w:tcPr>
            <w:tcW w:w="1444" w:type="dxa"/>
          </w:tcPr>
          <w:p w14:paraId="57409A61" w14:textId="77777777" w:rsidR="00DD29F0" w:rsidRDefault="00E55176" w:rsidP="00E55176">
            <w:pPr>
              <w:pStyle w:val="NormalWeb"/>
              <w:rPr>
                <w:rFonts w:ascii="Trebuchet MS" w:hAnsi="Trebuchet MS" w:cs="Trebuchet MS"/>
                <w:color w:val="333333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Fabriquer un avion en papier qui vole en manipulant puis en regardant</w:t>
            </w:r>
          </w:p>
          <w:p w14:paraId="646F5FB7" w14:textId="77777777" w:rsidR="00E55176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Plier du papier</w:t>
            </w:r>
          </w:p>
        </w:tc>
        <w:tc>
          <w:tcPr>
            <w:tcW w:w="1416" w:type="dxa"/>
          </w:tcPr>
          <w:p w14:paraId="1FB7DF93" w14:textId="77777777" w:rsidR="00DD29F0" w:rsidRPr="00886BEC" w:rsidRDefault="00E5517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Fabriquer un avion en papier qui vole en manipulant puis en regardant</w:t>
            </w:r>
          </w:p>
        </w:tc>
        <w:tc>
          <w:tcPr>
            <w:tcW w:w="1416" w:type="dxa"/>
          </w:tcPr>
          <w:p w14:paraId="6C08DA0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69E68D1" w14:textId="77777777" w:rsidTr="00523FDF">
        <w:trPr>
          <w:trHeight w:val="843"/>
          <w:jc w:val="center"/>
        </w:trPr>
        <w:tc>
          <w:tcPr>
            <w:tcW w:w="1557" w:type="dxa"/>
          </w:tcPr>
          <w:p w14:paraId="242B4693" w14:textId="77777777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7</w:t>
            </w:r>
          </w:p>
          <w:p w14:paraId="2B3F44FA" w14:textId="77777777" w:rsidR="00A84D7D" w:rsidRPr="00E55176" w:rsidRDefault="00E5517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Réaliser des constructions</w:t>
            </w:r>
          </w:p>
        </w:tc>
        <w:tc>
          <w:tcPr>
            <w:tcW w:w="1458" w:type="dxa"/>
          </w:tcPr>
          <w:p w14:paraId="354600EA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99DDF8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8954C09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292B0C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0940B39" w14:textId="77777777" w:rsidR="00DD29F0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Construire un personnage avec des objets de la classe</w:t>
            </w:r>
          </w:p>
        </w:tc>
        <w:tc>
          <w:tcPr>
            <w:tcW w:w="1444" w:type="dxa"/>
          </w:tcPr>
          <w:p w14:paraId="0A7F5025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1324507" w14:textId="3FBED946" w:rsidR="00DD29F0" w:rsidRPr="00E55176" w:rsidRDefault="00E5517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</w:t>
            </w:r>
            <w:r w:rsidR="007172C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uer au loto des objets du livre</w:t>
            </w:r>
            <w:r w:rsidR="0025521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ou au jeu de l’œil du Lynx </w:t>
            </w: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de Gilbert Legrand</w:t>
            </w:r>
          </w:p>
        </w:tc>
        <w:tc>
          <w:tcPr>
            <w:tcW w:w="1416" w:type="dxa"/>
          </w:tcPr>
          <w:p w14:paraId="108EF01E" w14:textId="77777777" w:rsidR="00DD29F0" w:rsidRPr="00523FDF" w:rsidRDefault="00523FDF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</w:rPr>
              <w:t>Fabriquer un avion à partir d'un modèle</w:t>
            </w:r>
          </w:p>
        </w:tc>
      </w:tr>
      <w:tr w:rsidR="002C0E0B" w:rsidRPr="00886BEC" w14:paraId="07448EBB" w14:textId="77777777" w:rsidTr="00523FDF">
        <w:trPr>
          <w:jc w:val="center"/>
        </w:trPr>
        <w:tc>
          <w:tcPr>
            <w:tcW w:w="1557" w:type="dxa"/>
          </w:tcPr>
          <w:p w14:paraId="1628036D" w14:textId="77777777" w:rsidR="003E4B89" w:rsidRDefault="003E4B89" w:rsidP="003E4B8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8</w:t>
            </w:r>
          </w:p>
          <w:p w14:paraId="18183CD9" w14:textId="77777777" w:rsidR="00523FDF" w:rsidRDefault="00523FDF" w:rsidP="003E4B89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  <w:proofErr w:type="gramStart"/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connaître</w:t>
            </w:r>
            <w:proofErr w:type="gramEnd"/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et mettre en œuvre quelques règles d'hygiène corporelle et d'une vie saine /</w:t>
            </w:r>
          </w:p>
          <w:p w14:paraId="74E318E9" w14:textId="77777777" w:rsidR="00523FDF" w:rsidRDefault="00523FDF" w:rsidP="003E4B89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</w:p>
          <w:p w14:paraId="473F98CE" w14:textId="77777777" w:rsidR="002C0E0B" w:rsidRPr="00523FDF" w:rsidRDefault="00523FDF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 xml:space="preserve"> </w:t>
            </w:r>
            <w:proofErr w:type="gramStart"/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choisir</w:t>
            </w:r>
            <w:proofErr w:type="gramEnd"/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, utiliser et savoir désigner des outils et des matériaux adaptés à une situation, à des actions techniques spécifiques (couper)</w:t>
            </w:r>
          </w:p>
        </w:tc>
        <w:tc>
          <w:tcPr>
            <w:tcW w:w="1458" w:type="dxa"/>
          </w:tcPr>
          <w:p w14:paraId="6DD601E8" w14:textId="77777777" w:rsidR="002C0E0B" w:rsidRPr="00886BEC" w:rsidRDefault="002C0E0B" w:rsidP="002C0E0B">
            <w:pPr>
              <w:pStyle w:val="NormalWeb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61410C6" w14:textId="77777777" w:rsidR="002C0E0B" w:rsidRPr="00523FDF" w:rsidRDefault="00523FDF" w:rsidP="00523FD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Se laver les mains en chantant</w:t>
            </w:r>
          </w:p>
        </w:tc>
        <w:tc>
          <w:tcPr>
            <w:tcW w:w="1443" w:type="dxa"/>
          </w:tcPr>
          <w:p w14:paraId="0AD46090" w14:textId="77777777" w:rsidR="002C0E0B" w:rsidRPr="00523FDF" w:rsidRDefault="00523FDF" w:rsidP="00523FD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Préparer une salade de fruits</w:t>
            </w:r>
          </w:p>
        </w:tc>
        <w:tc>
          <w:tcPr>
            <w:tcW w:w="1609" w:type="dxa"/>
          </w:tcPr>
          <w:p w14:paraId="1089259E" w14:textId="77777777" w:rsidR="002C0E0B" w:rsidRPr="00886BEC" w:rsidRDefault="002C0E0B" w:rsidP="002C0E0B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874E5CD" w14:textId="77777777" w:rsidR="002C0E0B" w:rsidRPr="00886BEC" w:rsidRDefault="002C0E0B" w:rsidP="002C0E0B">
            <w:pPr>
              <w:pStyle w:val="NormalWeb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7A0EDA6" w14:textId="77777777" w:rsidR="002C0E0B" w:rsidRPr="00523FDF" w:rsidRDefault="00523FDF" w:rsidP="00523FDF">
            <w:pPr>
              <w:pStyle w:val="NormalWeb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</w:rPr>
              <w:t>Découper des bananes en papier</w:t>
            </w:r>
          </w:p>
        </w:tc>
        <w:tc>
          <w:tcPr>
            <w:tcW w:w="1416" w:type="dxa"/>
          </w:tcPr>
          <w:p w14:paraId="33C9BCAB" w14:textId="77777777" w:rsidR="002C0E0B" w:rsidRPr="00886BEC" w:rsidRDefault="002C0E0B" w:rsidP="002C0E0B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D57AAE9" w14:textId="77777777" w:rsidR="002C0E0B" w:rsidRPr="00886BEC" w:rsidRDefault="002C0E0B" w:rsidP="002C0E0B">
            <w:pPr>
              <w:pStyle w:val="NormalWeb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16933267" w14:textId="77777777" w:rsidR="0094254D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Ce qui est attendu des enfants en fin d'école maternelle</w:t>
      </w:r>
      <w:r w:rsidR="009425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28016865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>- Reconnaître les principales étapes du développement d'un animal ou d'un végétal, dans une situation d'observation du réel ou sur une image.</w:t>
      </w:r>
    </w:p>
    <w:p w14:paraId="590EAF66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Connaître les besoins essentiels de quelques animaux et végétaux.</w:t>
      </w:r>
    </w:p>
    <w:p w14:paraId="236BCB8D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Situer et nommer les différentes parties du corps humain, sur soi ou sur une représentation.</w:t>
      </w:r>
    </w:p>
    <w:p w14:paraId="796C9E7C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Connaître et mettre en œuvre quelques règles d'hygiène corporelle et d'une vie saine.</w:t>
      </w:r>
    </w:p>
    <w:p w14:paraId="5708F913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Choisir, utiliser et savoir désigner des outils et des matériaux adaptés à une situation, à des actions techniques spécifiques (plier, couper, coller, assembler, actionner...).</w:t>
      </w:r>
    </w:p>
    <w:p w14:paraId="0E483BD3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Réaliser des constructions ; construire des maquettes simples en fonction de plans ou d'instructions de montage. </w:t>
      </w:r>
    </w:p>
    <w:p w14:paraId="042BD30A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Utiliser des objets numériques : appareil photo, tablette, ordinateur.</w:t>
      </w:r>
    </w:p>
    <w:p w14:paraId="204BE1C1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>- Prendre en compte les risques de l'environnement familier proche (objets et comportements dangereux, produits toxiques). </w:t>
      </w:r>
    </w:p>
    <w:p w14:paraId="1A2068A8" w14:textId="77777777" w:rsidR="00201474" w:rsidRPr="00C72BC1" w:rsidRDefault="00201474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685BA9B4" w14:textId="77777777" w:rsidR="0094254D" w:rsidRDefault="00201474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94254D">
        <w:rPr>
          <w:rFonts w:ascii="Janda Safe and Sound" w:hAnsi="Janda Safe and Sound" w:cs="Arial"/>
          <w:color w:val="000000"/>
          <w:sz w:val="20"/>
          <w:szCs w:val="20"/>
        </w:rPr>
        <w:t>, comme vous pouvez le constater sur cet organigramme qui reprend toutes les activités de la période :</w:t>
      </w:r>
    </w:p>
    <w:p w14:paraId="1F8A52D5" w14:textId="77777777" w:rsidR="0094254D" w:rsidRDefault="00056CA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 wp14:anchorId="3A5B5977" wp14:editId="5D83F515">
            <wp:extent cx="8891270" cy="47091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6-10-11 à 12.18.5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7F9"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7777777" w:rsidR="00047FBE" w:rsidRPr="00C72BC1" w:rsidRDefault="00047FBE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B49E8"/>
    <w:rsid w:val="000C7B56"/>
    <w:rsid w:val="000D6241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753A"/>
    <w:rsid w:val="00165084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5521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645B6"/>
    <w:rsid w:val="004700C7"/>
    <w:rsid w:val="00485D99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2C7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48A6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753C"/>
    <w:rsid w:val="009C0B23"/>
    <w:rsid w:val="009C5FC1"/>
    <w:rsid w:val="009D2628"/>
    <w:rsid w:val="009E22EB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0764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81CF1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B51D4"/>
    <w:rsid w:val="00CC2906"/>
    <w:rsid w:val="00CC463D"/>
    <w:rsid w:val="00CD252A"/>
    <w:rsid w:val="00CD555D"/>
    <w:rsid w:val="00CD62AD"/>
    <w:rsid w:val="00CD6F94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5219"/>
    <w:rsid w:val="00D774A5"/>
    <w:rsid w:val="00D8057E"/>
    <w:rsid w:val="00D805BC"/>
    <w:rsid w:val="00D83998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B3E6D"/>
    <w:rsid w:val="00FB60E8"/>
    <w:rsid w:val="00FC0462"/>
    <w:rsid w:val="00FD129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</dc:title>
  <dc:subject/>
  <dc:creator>isa</dc:creator>
  <cp:keywords/>
  <dc:description/>
  <cp:lastModifiedBy>puech-maurel nathalie</cp:lastModifiedBy>
  <cp:revision>4</cp:revision>
  <cp:lastPrinted>2016-10-12T15:20:00Z</cp:lastPrinted>
  <dcterms:created xsi:type="dcterms:W3CDTF">2016-10-12T15:20:00Z</dcterms:created>
  <dcterms:modified xsi:type="dcterms:W3CDTF">2016-10-12T15:20:00Z</dcterms:modified>
</cp:coreProperties>
</file>