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3F" w:rsidRPr="004D583F" w:rsidRDefault="004B14B3">
      <w:pPr>
        <w:rPr>
          <w:b/>
          <w:u w:val="single"/>
        </w:rPr>
      </w:pPr>
      <w:r>
        <w:rPr>
          <w:noProof/>
          <w:lang w:eastAsia="fr-FR"/>
        </w:rPr>
        <w:drawing>
          <wp:inline distT="0" distB="0" distL="0" distR="0" wp14:anchorId="267A20FF" wp14:editId="36509414">
            <wp:extent cx="1402080" cy="13716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080" cy="1371600"/>
                    </a:xfrm>
                    <a:prstGeom prst="rect">
                      <a:avLst/>
                    </a:prstGeom>
                    <a:solidFill>
                      <a:srgbClr val="FFFFFF"/>
                    </a:solidFill>
                    <a:ln>
                      <a:noFill/>
                    </a:ln>
                  </pic:spPr>
                </pic:pic>
              </a:graphicData>
            </a:graphic>
          </wp:inline>
        </w:drawing>
      </w:r>
      <w:r>
        <w:t xml:space="preserve">     </w:t>
      </w:r>
      <w:r w:rsidRPr="004D583F">
        <w:rPr>
          <w:b/>
          <w:u w:val="single"/>
        </w:rPr>
        <w:t xml:space="preserve">Première réunion paritaire de l’année 2016 </w:t>
      </w:r>
      <w:r w:rsidR="00A3415D">
        <w:rPr>
          <w:rFonts w:ascii="Arial" w:hAnsi="Arial" w:cs="Arial"/>
          <w:noProof/>
          <w:color w:val="1020D0"/>
          <w:sz w:val="20"/>
          <w:szCs w:val="20"/>
          <w:lang w:eastAsia="fr-FR"/>
        </w:rPr>
        <w:drawing>
          <wp:inline distT="0" distB="0" distL="0" distR="0" wp14:anchorId="7BDFFC81" wp14:editId="09FD1024">
            <wp:extent cx="2514600" cy="2514600"/>
            <wp:effectExtent l="0" t="0" r="0" b="0"/>
            <wp:docPr id="2" name="Image 2" descr="https://tse1.mm.bing.net/th?&amp;id=OIP.M88844a7ec4700852c982cc94b84e51efo0&amp;w=264&amp;h=264&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88844a7ec4700852c982cc94b84e51efo0&amp;w=264&amp;h=264&amp;c=0&amp;pid=1.9&amp;rs=0&amp;p=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4B14B3" w:rsidRPr="0007605B" w:rsidRDefault="004D583F">
      <w:pPr>
        <w:rPr>
          <w:color w:val="1F3864" w:themeColor="accent5" w:themeShade="80"/>
        </w:rPr>
      </w:pPr>
      <w:r w:rsidRPr="0007605B">
        <w:rPr>
          <w:color w:val="1F3864" w:themeColor="accent5" w:themeShade="80"/>
        </w:rPr>
        <w:t xml:space="preserve">Cette première réunion avait pour objet le programme de négociations –Année : 2016-2018 </w:t>
      </w:r>
    </w:p>
    <w:p w:rsidR="00C404E0" w:rsidRPr="0007605B" w:rsidRDefault="003D388E">
      <w:pPr>
        <w:rPr>
          <w:color w:val="1F3864" w:themeColor="accent5" w:themeShade="80"/>
        </w:rPr>
      </w:pPr>
      <w:r w:rsidRPr="0007605B">
        <w:rPr>
          <w:color w:val="1F3864" w:themeColor="accent5" w:themeShade="80"/>
        </w:rPr>
        <w:t xml:space="preserve">Le directeur de ’ Ucanss </w:t>
      </w:r>
      <w:r w:rsidR="00C404E0" w:rsidRPr="0007605B">
        <w:rPr>
          <w:color w:val="1F3864" w:themeColor="accent5" w:themeShade="80"/>
        </w:rPr>
        <w:t xml:space="preserve">propose </w:t>
      </w:r>
      <w:r w:rsidRPr="0007605B">
        <w:rPr>
          <w:color w:val="1F3864" w:themeColor="accent5" w:themeShade="80"/>
        </w:rPr>
        <w:t xml:space="preserve"> aux organisations syndicales</w:t>
      </w:r>
      <w:r w:rsidR="00C404E0" w:rsidRPr="0007605B">
        <w:rPr>
          <w:color w:val="1F3864" w:themeColor="accent5" w:themeShade="80"/>
        </w:rPr>
        <w:t xml:space="preserve"> le déroulé suivant :</w:t>
      </w:r>
    </w:p>
    <w:p w:rsidR="00C404E0" w:rsidRPr="0007605B" w:rsidRDefault="0007605B">
      <w:pPr>
        <w:rPr>
          <w:color w:val="1F3864" w:themeColor="accent5" w:themeShade="80"/>
        </w:rPr>
      </w:pPr>
      <w:r w:rsidRPr="0007605B">
        <w:rPr>
          <w:color w:val="1F3864" w:themeColor="accent5" w:themeShade="80"/>
        </w:rPr>
        <w:t xml:space="preserve">- </w:t>
      </w:r>
      <w:r w:rsidR="00C404E0" w:rsidRPr="0007605B">
        <w:rPr>
          <w:color w:val="1F3864" w:themeColor="accent5" w:themeShade="80"/>
        </w:rPr>
        <w:t xml:space="preserve">Commentaire par l’employeur  du programme de négociation </w:t>
      </w:r>
    </w:p>
    <w:p w:rsidR="002F38C0" w:rsidRPr="0007605B" w:rsidRDefault="0007605B">
      <w:pPr>
        <w:rPr>
          <w:color w:val="1F3864" w:themeColor="accent5" w:themeShade="80"/>
        </w:rPr>
      </w:pPr>
      <w:r w:rsidRPr="0007605B">
        <w:rPr>
          <w:color w:val="1F3864" w:themeColor="accent5" w:themeShade="80"/>
        </w:rPr>
        <w:t>-</w:t>
      </w:r>
      <w:r w:rsidR="00C404E0" w:rsidRPr="0007605B">
        <w:rPr>
          <w:color w:val="1F3864" w:themeColor="accent5" w:themeShade="80"/>
        </w:rPr>
        <w:t xml:space="preserve"> Tour de table pour recueillir les demandes des organisations syndicales qui seront </w:t>
      </w:r>
      <w:r w:rsidR="007A39FD" w:rsidRPr="0007605B">
        <w:rPr>
          <w:color w:val="1F3864" w:themeColor="accent5" w:themeShade="80"/>
        </w:rPr>
        <w:t>transmises au</w:t>
      </w:r>
      <w:r w:rsidR="00C404E0" w:rsidRPr="0007605B">
        <w:rPr>
          <w:color w:val="1F3864" w:themeColor="accent5" w:themeShade="80"/>
        </w:rPr>
        <w:t xml:space="preserve"> Comex  </w:t>
      </w:r>
      <w:r w:rsidR="003D388E" w:rsidRPr="0007605B">
        <w:rPr>
          <w:color w:val="1F3864" w:themeColor="accent5" w:themeShade="80"/>
        </w:rPr>
        <w:t xml:space="preserve"> </w:t>
      </w:r>
      <w:r w:rsidR="00C404E0" w:rsidRPr="0007605B">
        <w:rPr>
          <w:color w:val="1F3864" w:themeColor="accent5" w:themeShade="80"/>
        </w:rPr>
        <w:t xml:space="preserve">et </w:t>
      </w:r>
      <w:r w:rsidR="007A39FD" w:rsidRPr="0007605B">
        <w:rPr>
          <w:color w:val="1F3864" w:themeColor="accent5" w:themeShade="80"/>
        </w:rPr>
        <w:t>au</w:t>
      </w:r>
      <w:r w:rsidR="00C404E0" w:rsidRPr="0007605B">
        <w:rPr>
          <w:color w:val="1F3864" w:themeColor="accent5" w:themeShade="80"/>
        </w:rPr>
        <w:t xml:space="preserve"> COR </w:t>
      </w:r>
      <w:r w:rsidR="00C57035" w:rsidRPr="0007605B">
        <w:rPr>
          <w:color w:val="1F3864" w:themeColor="accent5" w:themeShade="80"/>
        </w:rPr>
        <w:t>(conseil</w:t>
      </w:r>
      <w:r w:rsidR="00C404E0" w:rsidRPr="0007605B">
        <w:rPr>
          <w:color w:val="1F3864" w:themeColor="accent5" w:themeShade="80"/>
        </w:rPr>
        <w:t xml:space="preserve"> </w:t>
      </w:r>
      <w:r w:rsidR="00C57035" w:rsidRPr="0007605B">
        <w:rPr>
          <w:color w:val="1F3864" w:themeColor="accent5" w:themeShade="80"/>
        </w:rPr>
        <w:t>d’orientation)</w:t>
      </w:r>
      <w:r w:rsidR="00C404E0" w:rsidRPr="0007605B">
        <w:rPr>
          <w:color w:val="1F3864" w:themeColor="accent5" w:themeShade="80"/>
        </w:rPr>
        <w:t xml:space="preserve"> pour validation. </w:t>
      </w:r>
    </w:p>
    <w:p w:rsidR="004D583F" w:rsidRPr="003D388E" w:rsidRDefault="002F38C0">
      <w:pPr>
        <w:rPr>
          <w:b/>
          <w:u w:val="single"/>
        </w:rPr>
      </w:pPr>
      <w:r>
        <w:t xml:space="preserve">                                  </w:t>
      </w:r>
      <w:r w:rsidRPr="003D388E">
        <w:rPr>
          <w:b/>
          <w:color w:val="BF8F00" w:themeColor="accent4" w:themeShade="BF"/>
          <w:u w:val="single"/>
        </w:rPr>
        <w:t xml:space="preserve">Programme de négociations 2016-2018 </w:t>
      </w:r>
      <w:r w:rsidR="004D583F" w:rsidRPr="003D388E">
        <w:rPr>
          <w:b/>
          <w:color w:val="BF8F00" w:themeColor="accent4" w:themeShade="BF"/>
          <w:u w:val="single"/>
        </w:rPr>
        <w:t xml:space="preserve"> </w:t>
      </w:r>
      <w:r w:rsidRPr="003D388E">
        <w:rPr>
          <w:b/>
          <w:color w:val="BF8F00" w:themeColor="accent4" w:themeShade="BF"/>
          <w:u w:val="single"/>
        </w:rPr>
        <w:t xml:space="preserve">/ PROPOSITIONS EMPLOYEUR </w:t>
      </w:r>
    </w:p>
    <w:tbl>
      <w:tblPr>
        <w:tblStyle w:val="Grilledutableau"/>
        <w:tblW w:w="0" w:type="auto"/>
        <w:tblLook w:val="04A0" w:firstRow="1" w:lastRow="0" w:firstColumn="1" w:lastColumn="0" w:noHBand="0" w:noVBand="1"/>
      </w:tblPr>
      <w:tblGrid>
        <w:gridCol w:w="3020"/>
        <w:gridCol w:w="3021"/>
        <w:gridCol w:w="3021"/>
      </w:tblGrid>
      <w:tr w:rsidR="002F38C0" w:rsidTr="002F38C0">
        <w:tc>
          <w:tcPr>
            <w:tcW w:w="3020" w:type="dxa"/>
          </w:tcPr>
          <w:p w:rsidR="002F38C0" w:rsidRPr="003D388E" w:rsidRDefault="003D388E" w:rsidP="003D388E">
            <w:r w:rsidRPr="003D388E">
              <w:t xml:space="preserve">                2016</w:t>
            </w:r>
          </w:p>
        </w:tc>
        <w:tc>
          <w:tcPr>
            <w:tcW w:w="3021" w:type="dxa"/>
          </w:tcPr>
          <w:p w:rsidR="002F38C0" w:rsidRPr="003D388E" w:rsidRDefault="003D388E" w:rsidP="003D388E">
            <w:r w:rsidRPr="003D388E">
              <w:t xml:space="preserve">         2017</w:t>
            </w:r>
          </w:p>
        </w:tc>
        <w:tc>
          <w:tcPr>
            <w:tcW w:w="3021" w:type="dxa"/>
          </w:tcPr>
          <w:p w:rsidR="002F38C0" w:rsidRPr="003D388E" w:rsidRDefault="003D388E" w:rsidP="003D388E">
            <w:r>
              <w:rPr>
                <w:u w:val="single"/>
              </w:rPr>
              <w:t xml:space="preserve"> </w:t>
            </w:r>
            <w:r w:rsidRPr="003D388E">
              <w:t>2018</w:t>
            </w:r>
          </w:p>
        </w:tc>
      </w:tr>
      <w:tr w:rsidR="002F38C0" w:rsidTr="002F38C0">
        <w:tc>
          <w:tcPr>
            <w:tcW w:w="3020" w:type="dxa"/>
          </w:tcPr>
          <w:p w:rsidR="002F38C0" w:rsidRPr="003D388E" w:rsidRDefault="003D388E" w:rsidP="003D388E">
            <w:r w:rsidRPr="003D388E">
              <w:t xml:space="preserve">Négociation salariale 2017  </w:t>
            </w:r>
          </w:p>
        </w:tc>
        <w:tc>
          <w:tcPr>
            <w:tcW w:w="3021" w:type="dxa"/>
          </w:tcPr>
          <w:p w:rsidR="002F38C0" w:rsidRPr="003D388E" w:rsidRDefault="003D388E" w:rsidP="003D388E">
            <w:r w:rsidRPr="003D388E">
              <w:t xml:space="preserve"> Négociation salariale 2018</w:t>
            </w:r>
          </w:p>
        </w:tc>
        <w:tc>
          <w:tcPr>
            <w:tcW w:w="3021" w:type="dxa"/>
          </w:tcPr>
          <w:p w:rsidR="002F38C0" w:rsidRPr="003D388E" w:rsidRDefault="003D388E">
            <w:r w:rsidRPr="003D388E">
              <w:t>Négociation salariale 2019</w:t>
            </w:r>
          </w:p>
        </w:tc>
      </w:tr>
      <w:tr w:rsidR="002F38C0" w:rsidTr="002F38C0">
        <w:tc>
          <w:tcPr>
            <w:tcW w:w="3020" w:type="dxa"/>
          </w:tcPr>
          <w:p w:rsidR="002F38C0" w:rsidRPr="003D388E" w:rsidRDefault="003D388E" w:rsidP="003D388E">
            <w:r w:rsidRPr="003D388E">
              <w:t>Prime de fonction</w:t>
            </w:r>
          </w:p>
        </w:tc>
        <w:tc>
          <w:tcPr>
            <w:tcW w:w="3021" w:type="dxa"/>
          </w:tcPr>
          <w:p w:rsidR="002F38C0" w:rsidRPr="003D388E" w:rsidRDefault="003D388E">
            <w:r w:rsidRPr="003D388E">
              <w:t>Intéressement et PEI</w:t>
            </w:r>
          </w:p>
        </w:tc>
        <w:tc>
          <w:tcPr>
            <w:tcW w:w="3021" w:type="dxa"/>
          </w:tcPr>
          <w:p w:rsidR="002F38C0" w:rsidRPr="003D388E" w:rsidRDefault="003D388E" w:rsidP="003D388E">
            <w:r w:rsidRPr="003D388E">
              <w:t>Intéressement (annexe)</w:t>
            </w:r>
          </w:p>
        </w:tc>
      </w:tr>
      <w:tr w:rsidR="002F38C0" w:rsidTr="002F38C0">
        <w:tc>
          <w:tcPr>
            <w:tcW w:w="3020" w:type="dxa"/>
          </w:tcPr>
          <w:p w:rsidR="002F38C0" w:rsidRPr="003D388E" w:rsidRDefault="003D388E">
            <w:r w:rsidRPr="003D388E">
              <w:t>Evolutions des réseaux prorogation de l’accord 2013 ARS</w:t>
            </w:r>
          </w:p>
        </w:tc>
        <w:tc>
          <w:tcPr>
            <w:tcW w:w="3021" w:type="dxa"/>
          </w:tcPr>
          <w:p w:rsidR="002F38C0" w:rsidRPr="003D388E" w:rsidRDefault="003D388E" w:rsidP="003D388E">
            <w:r w:rsidRPr="003D388E">
              <w:t>Travail à distance</w:t>
            </w:r>
          </w:p>
        </w:tc>
        <w:tc>
          <w:tcPr>
            <w:tcW w:w="3021" w:type="dxa"/>
          </w:tcPr>
          <w:p w:rsidR="002F38C0" w:rsidRPr="003D388E" w:rsidRDefault="003D388E">
            <w:r w:rsidRPr="003D388E">
              <w:t xml:space="preserve">Evolutions des réseaux </w:t>
            </w:r>
          </w:p>
        </w:tc>
      </w:tr>
      <w:tr w:rsidR="002F38C0" w:rsidTr="002F38C0">
        <w:tc>
          <w:tcPr>
            <w:tcW w:w="3020" w:type="dxa"/>
          </w:tcPr>
          <w:p w:rsidR="002F38C0" w:rsidRPr="003D388E" w:rsidRDefault="003D388E" w:rsidP="003D388E">
            <w:r w:rsidRPr="003D388E">
              <w:t xml:space="preserve">Egalité des chances  et la diversité dont le contrat de génération </w:t>
            </w:r>
          </w:p>
        </w:tc>
        <w:tc>
          <w:tcPr>
            <w:tcW w:w="3021" w:type="dxa"/>
          </w:tcPr>
          <w:p w:rsidR="002F38C0" w:rsidRPr="003D388E" w:rsidRDefault="003D388E">
            <w:r w:rsidRPr="003D388E">
              <w:t xml:space="preserve">Classification des agents de Direction </w:t>
            </w:r>
          </w:p>
        </w:tc>
        <w:tc>
          <w:tcPr>
            <w:tcW w:w="3021" w:type="dxa"/>
          </w:tcPr>
          <w:p w:rsidR="002F38C0" w:rsidRPr="003D388E" w:rsidRDefault="003D388E" w:rsidP="003D388E">
            <w:r w:rsidRPr="003D388E">
              <w:t xml:space="preserve">Accompagnement de la réforme « justice 21 ème siècle </w:t>
            </w:r>
          </w:p>
        </w:tc>
      </w:tr>
      <w:tr w:rsidR="002F38C0" w:rsidTr="002F38C0">
        <w:tc>
          <w:tcPr>
            <w:tcW w:w="3020" w:type="dxa"/>
          </w:tcPr>
          <w:p w:rsidR="002F38C0" w:rsidRPr="003D388E" w:rsidRDefault="003D388E">
            <w:r w:rsidRPr="003D388E">
              <w:t>La complémentaire santé</w:t>
            </w:r>
          </w:p>
        </w:tc>
        <w:tc>
          <w:tcPr>
            <w:tcW w:w="3021" w:type="dxa"/>
          </w:tcPr>
          <w:p w:rsidR="002F38C0" w:rsidRPr="003D388E" w:rsidRDefault="003D388E">
            <w:r w:rsidRPr="003D388E">
              <w:t xml:space="preserve">Classification des employés et cadres </w:t>
            </w:r>
          </w:p>
        </w:tc>
        <w:tc>
          <w:tcPr>
            <w:tcW w:w="3021" w:type="dxa"/>
          </w:tcPr>
          <w:p w:rsidR="002F38C0" w:rsidRDefault="002F38C0">
            <w:pPr>
              <w:rPr>
                <w:u w:val="single"/>
              </w:rPr>
            </w:pPr>
          </w:p>
        </w:tc>
      </w:tr>
      <w:tr w:rsidR="002F38C0" w:rsidTr="002F38C0">
        <w:tc>
          <w:tcPr>
            <w:tcW w:w="3020" w:type="dxa"/>
          </w:tcPr>
          <w:p w:rsidR="002F38C0" w:rsidRPr="003D388E" w:rsidRDefault="003D388E" w:rsidP="003D388E">
            <w:r w:rsidRPr="003D388E">
              <w:t>intéressement (annexes)</w:t>
            </w:r>
          </w:p>
        </w:tc>
        <w:tc>
          <w:tcPr>
            <w:tcW w:w="3021" w:type="dxa"/>
          </w:tcPr>
          <w:p w:rsidR="002F38C0" w:rsidRDefault="002F38C0">
            <w:pPr>
              <w:rPr>
                <w:u w:val="single"/>
              </w:rPr>
            </w:pPr>
          </w:p>
        </w:tc>
        <w:tc>
          <w:tcPr>
            <w:tcW w:w="3021" w:type="dxa"/>
          </w:tcPr>
          <w:p w:rsidR="002F38C0" w:rsidRDefault="002F38C0">
            <w:pPr>
              <w:rPr>
                <w:u w:val="single"/>
              </w:rPr>
            </w:pPr>
          </w:p>
        </w:tc>
      </w:tr>
      <w:tr w:rsidR="002F38C0" w:rsidTr="002F38C0">
        <w:tc>
          <w:tcPr>
            <w:tcW w:w="3020" w:type="dxa"/>
          </w:tcPr>
          <w:p w:rsidR="002F38C0" w:rsidRPr="003D388E" w:rsidRDefault="003D388E">
            <w:r w:rsidRPr="003D388E">
              <w:t xml:space="preserve">Le perco </w:t>
            </w:r>
          </w:p>
        </w:tc>
        <w:tc>
          <w:tcPr>
            <w:tcW w:w="3021" w:type="dxa"/>
          </w:tcPr>
          <w:p w:rsidR="002F38C0" w:rsidRDefault="002F38C0">
            <w:pPr>
              <w:rPr>
                <w:u w:val="single"/>
              </w:rPr>
            </w:pPr>
          </w:p>
        </w:tc>
        <w:tc>
          <w:tcPr>
            <w:tcW w:w="3021" w:type="dxa"/>
          </w:tcPr>
          <w:p w:rsidR="002F38C0" w:rsidRDefault="002F38C0">
            <w:pPr>
              <w:rPr>
                <w:u w:val="single"/>
              </w:rPr>
            </w:pPr>
          </w:p>
        </w:tc>
      </w:tr>
      <w:tr w:rsidR="002F38C0" w:rsidTr="002F38C0">
        <w:tc>
          <w:tcPr>
            <w:tcW w:w="3020" w:type="dxa"/>
          </w:tcPr>
          <w:p w:rsidR="002F38C0" w:rsidRPr="003D388E" w:rsidRDefault="003D388E">
            <w:r w:rsidRPr="003D388E">
              <w:t xml:space="preserve">Temps partiel </w:t>
            </w:r>
          </w:p>
        </w:tc>
        <w:tc>
          <w:tcPr>
            <w:tcW w:w="3021" w:type="dxa"/>
          </w:tcPr>
          <w:p w:rsidR="002F38C0" w:rsidRDefault="002F38C0">
            <w:pPr>
              <w:rPr>
                <w:u w:val="single"/>
              </w:rPr>
            </w:pPr>
          </w:p>
        </w:tc>
        <w:tc>
          <w:tcPr>
            <w:tcW w:w="3021" w:type="dxa"/>
          </w:tcPr>
          <w:p w:rsidR="002F38C0" w:rsidRDefault="002F38C0">
            <w:pPr>
              <w:rPr>
                <w:u w:val="single"/>
              </w:rPr>
            </w:pPr>
          </w:p>
        </w:tc>
      </w:tr>
    </w:tbl>
    <w:p w:rsidR="002F38C0" w:rsidRDefault="002F38C0">
      <w:pPr>
        <w:rPr>
          <w:u w:val="single"/>
        </w:rPr>
      </w:pPr>
    </w:p>
    <w:p w:rsidR="00C57035" w:rsidRPr="0007605B" w:rsidRDefault="00C57035">
      <w:pPr>
        <w:rPr>
          <w:color w:val="1F3864" w:themeColor="accent5" w:themeShade="80"/>
        </w:rPr>
      </w:pPr>
      <w:r w:rsidRPr="0007605B">
        <w:rPr>
          <w:color w:val="1F3864" w:themeColor="accent5" w:themeShade="80"/>
        </w:rPr>
        <w:t>Il nous est précisé que les thèmes proposés n’intègrent pas les bilans stipulés  dans certains accords</w:t>
      </w:r>
    </w:p>
    <w:p w:rsidR="00C57035" w:rsidRPr="0007605B" w:rsidRDefault="00C57035">
      <w:pPr>
        <w:rPr>
          <w:color w:val="1F3864" w:themeColor="accent5" w:themeShade="80"/>
        </w:rPr>
      </w:pPr>
      <w:r w:rsidRPr="0007605B">
        <w:rPr>
          <w:color w:val="1F3864" w:themeColor="accent5" w:themeShade="80"/>
        </w:rPr>
        <w:t xml:space="preserve">La CFTC fait part de ses revendications : </w:t>
      </w:r>
    </w:p>
    <w:p w:rsidR="005C5BFA" w:rsidRPr="007A39FD" w:rsidRDefault="005C5BFA">
      <w:pPr>
        <w:rPr>
          <w:b/>
          <w:color w:val="1F3864" w:themeColor="accent5" w:themeShade="80"/>
          <w:u w:val="single"/>
        </w:rPr>
      </w:pPr>
      <w:r w:rsidRPr="007A39FD">
        <w:rPr>
          <w:b/>
          <w:color w:val="1F3864" w:themeColor="accent5" w:themeShade="80"/>
          <w:u w:val="single"/>
        </w:rPr>
        <w:lastRenderedPageBreak/>
        <w:t xml:space="preserve">Négociations salariales 2016 </w:t>
      </w:r>
    </w:p>
    <w:p w:rsidR="00C57035" w:rsidRPr="0007605B" w:rsidRDefault="00C57035">
      <w:pPr>
        <w:rPr>
          <w:color w:val="1F3864" w:themeColor="accent5" w:themeShade="80"/>
        </w:rPr>
      </w:pPr>
      <w:r w:rsidRPr="0007605B">
        <w:rPr>
          <w:color w:val="1F3864" w:themeColor="accent5" w:themeShade="80"/>
        </w:rPr>
        <w:t xml:space="preserve"> </w:t>
      </w:r>
      <w:r w:rsidR="005C5BFA" w:rsidRPr="0007605B">
        <w:rPr>
          <w:color w:val="1F3864" w:themeColor="accent5" w:themeShade="80"/>
        </w:rPr>
        <w:t>Nous ne considérons pas la négociation salariale 2016 close, et sommes convaincus que des marges de manœuvre existent, nous demandons au Comex d’interférer auprès des pouvoirs publics.</w:t>
      </w:r>
    </w:p>
    <w:p w:rsidR="005C5BFA" w:rsidRPr="0007605B" w:rsidRDefault="005C5BFA">
      <w:pPr>
        <w:rPr>
          <w:b/>
          <w:color w:val="1F3864" w:themeColor="accent5" w:themeShade="80"/>
          <w:u w:val="single"/>
        </w:rPr>
      </w:pPr>
      <w:r w:rsidRPr="0007605B">
        <w:rPr>
          <w:b/>
          <w:color w:val="1F3864" w:themeColor="accent5" w:themeShade="80"/>
          <w:u w:val="single"/>
        </w:rPr>
        <w:t xml:space="preserve">Mobilités internes  </w:t>
      </w:r>
    </w:p>
    <w:p w:rsidR="00965546" w:rsidRPr="0007605B" w:rsidRDefault="005C5BFA" w:rsidP="00965546">
      <w:pPr>
        <w:rPr>
          <w:rFonts w:cs="Arial"/>
          <w:color w:val="1F3864" w:themeColor="accent5" w:themeShade="80"/>
        </w:rPr>
      </w:pPr>
      <w:r w:rsidRPr="0007605B">
        <w:rPr>
          <w:color w:val="1F3864" w:themeColor="accent5" w:themeShade="80"/>
        </w:rPr>
        <w:t xml:space="preserve">La CFTC revendique une négociation portant sur les restructurations internes. Nous constatons une évolution des réorganisations et mutualisations : INF, personnel </w:t>
      </w:r>
      <w:r w:rsidR="001F18E8" w:rsidRPr="0007605B">
        <w:rPr>
          <w:color w:val="1F3864" w:themeColor="accent5" w:themeShade="80"/>
        </w:rPr>
        <w:t>informatique,</w:t>
      </w:r>
      <w:r w:rsidRPr="0007605B">
        <w:rPr>
          <w:color w:val="1F3864" w:themeColor="accent5" w:themeShade="80"/>
        </w:rPr>
        <w:t xml:space="preserve"> </w:t>
      </w:r>
      <w:r w:rsidR="001F18E8" w:rsidRPr="0007605B">
        <w:rPr>
          <w:color w:val="1F3864" w:themeColor="accent5" w:themeShade="80"/>
        </w:rPr>
        <w:t xml:space="preserve">CNAM, ARS Il nous semble important de pouvoir accompagner les personnels et de leur apporter </w:t>
      </w:r>
      <w:r w:rsidR="004A30B0" w:rsidRPr="0007605B">
        <w:rPr>
          <w:color w:val="1F3864" w:themeColor="accent5" w:themeShade="80"/>
        </w:rPr>
        <w:t>d</w:t>
      </w:r>
      <w:r w:rsidR="001F18E8" w:rsidRPr="0007605B">
        <w:rPr>
          <w:color w:val="1F3864" w:themeColor="accent5" w:themeShade="80"/>
        </w:rPr>
        <w:t xml:space="preserve">es </w:t>
      </w:r>
      <w:r w:rsidR="004A30B0" w:rsidRPr="0007605B">
        <w:rPr>
          <w:color w:val="1F3864" w:themeColor="accent5" w:themeShade="80"/>
        </w:rPr>
        <w:t xml:space="preserve">garanties. </w:t>
      </w:r>
    </w:p>
    <w:p w:rsidR="001F18E8" w:rsidRDefault="001F18E8"/>
    <w:p w:rsidR="001F18E8" w:rsidRPr="007A39FD" w:rsidRDefault="001F18E8">
      <w:pPr>
        <w:rPr>
          <w:b/>
          <w:color w:val="002060"/>
          <w:u w:val="single"/>
        </w:rPr>
      </w:pPr>
      <w:r w:rsidRPr="007A39FD">
        <w:rPr>
          <w:b/>
          <w:color w:val="002060"/>
          <w:u w:val="single"/>
        </w:rPr>
        <w:t>Classification</w:t>
      </w:r>
    </w:p>
    <w:p w:rsidR="001F18E8" w:rsidRDefault="001F18E8">
      <w:r w:rsidRPr="0007605B">
        <w:rPr>
          <w:color w:val="002060"/>
        </w:rPr>
        <w:t>La CFTC ne souhaite pas rentrer dans une négociation stérile faute de moyens. Il nous semble toutefois intéressant de pouvoir réfléchir à la manière d’intégrer la gestion prévisionnelle des emplois et des compétences dans cette thématique. La CFTC rejoint en cela proposition de la CFDT sur la constitution d’un groupe de travail sur 2016</w:t>
      </w:r>
      <w:r>
        <w:t>.</w:t>
      </w:r>
    </w:p>
    <w:p w:rsidR="004A30B0" w:rsidRPr="007A39FD" w:rsidRDefault="001F18E8" w:rsidP="004A30B0">
      <w:pPr>
        <w:rPr>
          <w:b/>
          <w:color w:val="002060"/>
          <w:u w:val="single"/>
        </w:rPr>
      </w:pPr>
      <w:r w:rsidRPr="007A39FD">
        <w:rPr>
          <w:b/>
          <w:color w:val="002060"/>
          <w:u w:val="single"/>
        </w:rPr>
        <w:t xml:space="preserve"> </w:t>
      </w:r>
      <w:r w:rsidR="004A30B0" w:rsidRPr="007A39FD">
        <w:rPr>
          <w:b/>
          <w:color w:val="002060"/>
          <w:u w:val="single"/>
        </w:rPr>
        <w:t xml:space="preserve">Processus retraite progressive </w:t>
      </w:r>
    </w:p>
    <w:p w:rsidR="0050577C" w:rsidRPr="0007605B" w:rsidRDefault="004A30B0" w:rsidP="004A30B0">
      <w:pPr>
        <w:rPr>
          <w:color w:val="1F3864" w:themeColor="accent5" w:themeShade="80"/>
        </w:rPr>
      </w:pPr>
      <w:r w:rsidRPr="0007605B">
        <w:rPr>
          <w:color w:val="1F3864" w:themeColor="accent5" w:themeShade="80"/>
        </w:rPr>
        <w:t>La CFT</w:t>
      </w:r>
      <w:r w:rsidR="007A39FD" w:rsidRPr="0007605B">
        <w:rPr>
          <w:color w:val="1F3864" w:themeColor="accent5" w:themeShade="80"/>
        </w:rPr>
        <w:t>C</w:t>
      </w:r>
      <w:r w:rsidRPr="0007605B">
        <w:rPr>
          <w:color w:val="1F3864" w:themeColor="accent5" w:themeShade="80"/>
        </w:rPr>
        <w:t xml:space="preserve"> a constaté une frilosité de l’employeur sur ce sujet. De nouvelles dispositions ont assoupli les conditions d’accès et nous demandons qu’une communication en soit faite aux salariés. Il nous semble important d’accompagner  les fins de carrière et de déterminer les garanties et les avantages liés à ce </w:t>
      </w:r>
      <w:r w:rsidR="0050577C" w:rsidRPr="0007605B">
        <w:rPr>
          <w:color w:val="1F3864" w:themeColor="accent5" w:themeShade="80"/>
        </w:rPr>
        <w:t xml:space="preserve">dispositif. </w:t>
      </w:r>
    </w:p>
    <w:p w:rsidR="004A30B0" w:rsidRPr="0007605B" w:rsidRDefault="0050577C" w:rsidP="004A30B0">
      <w:pPr>
        <w:rPr>
          <w:color w:val="1F3864" w:themeColor="accent5" w:themeShade="80"/>
        </w:rPr>
      </w:pPr>
      <w:r w:rsidRPr="0007605B">
        <w:rPr>
          <w:color w:val="1F3864" w:themeColor="accent5" w:themeShade="80"/>
        </w:rPr>
        <w:t xml:space="preserve">La CFTC entend la proposition de l’employeur d’intégrer cette thématique au travers des négociations sur l’égalité des chances, RSE. </w:t>
      </w:r>
    </w:p>
    <w:p w:rsidR="0050577C" w:rsidRPr="007A39FD" w:rsidRDefault="0050577C" w:rsidP="004A30B0">
      <w:pPr>
        <w:rPr>
          <w:b/>
          <w:color w:val="002060"/>
          <w:u w:val="single"/>
        </w:rPr>
      </w:pPr>
      <w:r w:rsidRPr="007A39FD">
        <w:rPr>
          <w:b/>
          <w:color w:val="002060"/>
          <w:u w:val="single"/>
        </w:rPr>
        <w:t xml:space="preserve">PERCO et PEE </w:t>
      </w:r>
    </w:p>
    <w:p w:rsidR="0050577C" w:rsidRPr="0007605B" w:rsidRDefault="0050577C" w:rsidP="004A30B0">
      <w:pPr>
        <w:rPr>
          <w:color w:val="1F3864" w:themeColor="accent5" w:themeShade="80"/>
        </w:rPr>
      </w:pPr>
      <w:r w:rsidRPr="0007605B">
        <w:rPr>
          <w:color w:val="1F3864" w:themeColor="accent5" w:themeShade="80"/>
        </w:rPr>
        <w:t>La CFTC demande la prise en compte de la loi Macron du 6 aout 2015 </w:t>
      </w:r>
    </w:p>
    <w:p w:rsidR="007A39FD" w:rsidRPr="007A39FD" w:rsidRDefault="007A39FD" w:rsidP="004A30B0">
      <w:pPr>
        <w:rPr>
          <w:b/>
          <w:color w:val="002060"/>
          <w:u w:val="single"/>
        </w:rPr>
      </w:pPr>
      <w:r>
        <w:t xml:space="preserve">   </w:t>
      </w:r>
      <w:r w:rsidRPr="007A39FD">
        <w:rPr>
          <w:b/>
          <w:color w:val="002060"/>
          <w:u w:val="single"/>
        </w:rPr>
        <w:t>Accompagnement de la réforme « justice 21 ème siècle</w:t>
      </w:r>
      <w:r>
        <w:rPr>
          <w:b/>
          <w:color w:val="002060"/>
          <w:u w:val="single"/>
        </w:rPr>
        <w:t> »</w:t>
      </w:r>
    </w:p>
    <w:p w:rsidR="007A39FD" w:rsidRPr="0007605B" w:rsidRDefault="007A39FD" w:rsidP="004A30B0">
      <w:pPr>
        <w:rPr>
          <w:color w:val="002060"/>
        </w:rPr>
      </w:pPr>
      <w:r w:rsidRPr="0007605B">
        <w:rPr>
          <w:color w:val="002060"/>
        </w:rPr>
        <w:t xml:space="preserve">La CFTC alerte le Directeur de l’Ucanss sur la volonté des pouvoirs publics d’accélérer la mise en place de cette réforme   qui aura des conséquences sur les salariés </w:t>
      </w:r>
      <w:r w:rsidR="00B5039C" w:rsidRPr="0007605B">
        <w:rPr>
          <w:color w:val="002060"/>
        </w:rPr>
        <w:t>dé</w:t>
      </w:r>
      <w:r w:rsidRPr="0007605B">
        <w:rPr>
          <w:color w:val="002060"/>
        </w:rPr>
        <w:t>tachés dans les TASS et TCI.</w:t>
      </w:r>
    </w:p>
    <w:p w:rsidR="007A39FD" w:rsidRDefault="007A39FD" w:rsidP="004A30B0">
      <w:pPr>
        <w:rPr>
          <w:color w:val="002060"/>
        </w:rPr>
      </w:pPr>
      <w:r w:rsidRPr="0007605B">
        <w:rPr>
          <w:color w:val="002060"/>
        </w:rPr>
        <w:t xml:space="preserve">Nous demandons à </w:t>
      </w:r>
      <w:r w:rsidR="00B5039C" w:rsidRPr="0007605B">
        <w:rPr>
          <w:color w:val="002060"/>
        </w:rPr>
        <w:t>l’employeur</w:t>
      </w:r>
      <w:r w:rsidRPr="0007605B">
        <w:rPr>
          <w:color w:val="002060"/>
        </w:rPr>
        <w:t xml:space="preserve"> d’avancer </w:t>
      </w:r>
      <w:r w:rsidR="00B5039C" w:rsidRPr="0007605B">
        <w:rPr>
          <w:color w:val="002060"/>
        </w:rPr>
        <w:t>les négociations  sur fin 2016 début 2017.</w:t>
      </w:r>
    </w:p>
    <w:p w:rsidR="00823641" w:rsidRPr="0007605B" w:rsidRDefault="00823641" w:rsidP="004A30B0">
      <w:pPr>
        <w:rPr>
          <w:color w:val="002060"/>
        </w:rPr>
      </w:pPr>
    </w:p>
    <w:p w:rsidR="00B5039C" w:rsidRPr="0007605B" w:rsidRDefault="00B5039C" w:rsidP="00823641">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color w:val="002060"/>
        </w:rPr>
      </w:pPr>
      <w:r w:rsidRPr="0007605B">
        <w:rPr>
          <w:rFonts w:cs="Arial"/>
          <w:color w:val="002060"/>
        </w:rPr>
        <w:t xml:space="preserve">Pour la CFTC, Il est </w:t>
      </w:r>
      <w:r w:rsidR="00DB567A" w:rsidRPr="0007605B">
        <w:rPr>
          <w:rFonts w:cs="Arial"/>
          <w:color w:val="002060"/>
        </w:rPr>
        <w:t xml:space="preserve">important  de </w:t>
      </w:r>
      <w:r w:rsidRPr="0007605B">
        <w:rPr>
          <w:rFonts w:cs="Arial"/>
          <w:color w:val="002060"/>
        </w:rPr>
        <w:t>répond</w:t>
      </w:r>
      <w:r w:rsidR="00DB567A" w:rsidRPr="0007605B">
        <w:rPr>
          <w:rFonts w:cs="Arial"/>
          <w:color w:val="002060"/>
        </w:rPr>
        <w:t xml:space="preserve">re </w:t>
      </w:r>
      <w:r w:rsidRPr="0007605B">
        <w:rPr>
          <w:rFonts w:cs="Arial"/>
          <w:color w:val="002060"/>
        </w:rPr>
        <w:t xml:space="preserve"> aux challenges de demain. La CFTC continuera</w:t>
      </w:r>
      <w:r w:rsidR="00DB567A" w:rsidRPr="0007605B">
        <w:rPr>
          <w:rFonts w:cs="Arial"/>
          <w:color w:val="002060"/>
        </w:rPr>
        <w:t xml:space="preserve"> à revendiquer </w:t>
      </w:r>
      <w:r w:rsidR="00A3415D" w:rsidRPr="0007605B">
        <w:rPr>
          <w:rFonts w:cs="Arial"/>
          <w:color w:val="002060"/>
        </w:rPr>
        <w:t>des accords gagnants /gagnants. La CFTC se mobilisera pour que l’année 2016 offre de réelles perspectives  aux salariés.</w:t>
      </w:r>
    </w:p>
    <w:p w:rsidR="007A39FD" w:rsidRDefault="007A39FD" w:rsidP="004A30B0">
      <w:bookmarkStart w:id="0" w:name="_GoBack"/>
      <w:bookmarkEnd w:id="0"/>
    </w:p>
    <w:p w:rsidR="007A39FD" w:rsidRDefault="007A39FD" w:rsidP="004A30B0"/>
    <w:p w:rsidR="007A39FD" w:rsidRDefault="007A39FD" w:rsidP="004A30B0"/>
    <w:p w:rsidR="007A39FD" w:rsidRDefault="007A39FD" w:rsidP="004A30B0"/>
    <w:p w:rsidR="007A39FD" w:rsidRDefault="007A39FD" w:rsidP="004A30B0"/>
    <w:p w:rsidR="007A39FD" w:rsidRDefault="007A39FD" w:rsidP="004A30B0"/>
    <w:p w:rsidR="007A39FD" w:rsidRDefault="007A39FD" w:rsidP="004A30B0"/>
    <w:sectPr w:rsidR="007A3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CB"/>
    <w:rsid w:val="000119CF"/>
    <w:rsid w:val="0007605B"/>
    <w:rsid w:val="001F18E8"/>
    <w:rsid w:val="002F38C0"/>
    <w:rsid w:val="00325B55"/>
    <w:rsid w:val="003D388E"/>
    <w:rsid w:val="004A30B0"/>
    <w:rsid w:val="004B14B3"/>
    <w:rsid w:val="004D583F"/>
    <w:rsid w:val="0050577C"/>
    <w:rsid w:val="005C5BFA"/>
    <w:rsid w:val="007A39FD"/>
    <w:rsid w:val="00823641"/>
    <w:rsid w:val="008B2377"/>
    <w:rsid w:val="00965546"/>
    <w:rsid w:val="00A3415D"/>
    <w:rsid w:val="00B5039C"/>
    <w:rsid w:val="00C404E0"/>
    <w:rsid w:val="00C57035"/>
    <w:rsid w:val="00DB567A"/>
    <w:rsid w:val="00EA1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C1F58-D77F-49ED-8091-265EA314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2F38C0"/>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2F38C0"/>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2F38C0"/>
    <w:rPr>
      <w:rFonts w:eastAsiaTheme="minorEastAsia" w:cs="Times New Roman"/>
      <w:sz w:val="20"/>
      <w:szCs w:val="20"/>
      <w:lang w:eastAsia="fr-FR"/>
    </w:rPr>
  </w:style>
  <w:style w:type="character" w:styleId="Emphaseple">
    <w:name w:val="Subtle Emphasis"/>
    <w:basedOn w:val="Policepardfaut"/>
    <w:uiPriority w:val="19"/>
    <w:qFormat/>
    <w:rsid w:val="002F38C0"/>
    <w:rPr>
      <w:i/>
      <w:iCs/>
    </w:rPr>
  </w:style>
  <w:style w:type="table" w:styleId="Trameclaire-Accent1">
    <w:name w:val="Light Shading Accent 1"/>
    <w:basedOn w:val="TableauNormal"/>
    <w:uiPriority w:val="60"/>
    <w:rsid w:val="002F38C0"/>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lledutableau">
    <w:name w:val="Table Grid"/>
    <w:basedOn w:val="TableauNormal"/>
    <w:uiPriority w:val="39"/>
    <w:rsid w:val="002F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761289">
      <w:bodyDiv w:val="1"/>
      <w:marLeft w:val="0"/>
      <w:marRight w:val="0"/>
      <w:marTop w:val="0"/>
      <w:marBottom w:val="0"/>
      <w:divBdr>
        <w:top w:val="none" w:sz="0" w:space="0" w:color="auto"/>
        <w:left w:val="none" w:sz="0" w:space="0" w:color="auto"/>
        <w:bottom w:val="none" w:sz="0" w:space="0" w:color="auto"/>
        <w:right w:val="none" w:sz="0" w:space="0" w:color="auto"/>
      </w:divBdr>
    </w:div>
    <w:div w:id="18491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q=DESSINS+HUMORISTIQUES+NEGOCIATION&amp;view=detailv2&amp;qpvt=DESSINS+HUMORISTIQUES+NEGOCIATION&amp;id=92A6E32DCC02DAF0DA222CBC37FC965D739EC1C4&amp;selectedIndex=3&amp;ccid=iIRKfsRw&amp;simid=608001064541029317&amp;thid=OIP.M88844a7ec4700852c982cc94b84e51efo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505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Declerieux</dc:creator>
  <cp:keywords/>
  <dc:description/>
  <cp:lastModifiedBy>bernadette Declerieux</cp:lastModifiedBy>
  <cp:revision>6</cp:revision>
  <dcterms:created xsi:type="dcterms:W3CDTF">2016-01-05T17:48:00Z</dcterms:created>
  <dcterms:modified xsi:type="dcterms:W3CDTF">2016-01-05T19:14:00Z</dcterms:modified>
</cp:coreProperties>
</file>