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9F" w:rsidRDefault="00E4599F" w:rsidP="003007D9">
      <w:pPr>
        <w:jc w:val="center"/>
        <w:rPr>
          <w:rFonts w:ascii="Tahoma" w:hAnsi="Tahoma" w:cs="Tahoma"/>
          <w:b/>
          <w:bCs/>
          <w:sz w:val="32"/>
          <w:szCs w:val="32"/>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334.9pt;margin-top:2.65pt;width:118.65pt;height:59.4pt;z-index:251659776;visibility:visible">
            <v:imagedata r:id="rId5" o:title=""/>
          </v:shape>
        </w:pict>
      </w:r>
      <w:r>
        <w:rPr>
          <w:noProof/>
          <w:lang w:eastAsia="fr-FR"/>
        </w:rPr>
        <w:pict>
          <v:shape id="Image 15" o:spid="_x0000_s1027" type="#_x0000_t75" style="position:absolute;left:0;text-align:left;margin-left:260.65pt;margin-top:-.35pt;width:66.75pt;height:66.2pt;z-index:251658752;visibility:visible;mso-wrap-distance-left:9.05pt;mso-wrap-distance-right:9.05pt" filled="t">
            <v:imagedata r:id="rId6" o:title=""/>
          </v:shape>
        </w:pict>
      </w:r>
      <w:r>
        <w:rPr>
          <w:noProof/>
          <w:lang w:eastAsia="fr-FR"/>
        </w:rPr>
        <w:pict>
          <v:shape id="Image 14" o:spid="_x0000_s1028" type="#_x0000_t75" alt="Description : logo fo" style="position:absolute;left:0;text-align:left;margin-left:180.4pt;margin-top:1.9pt;width:63.75pt;height:62.05pt;z-index:251657728;visibility:visible">
            <v:imagedata r:id="rId7" o:title=""/>
          </v:shape>
        </w:pict>
      </w:r>
      <w:r>
        <w:rPr>
          <w:noProof/>
          <w:lang w:eastAsia="fr-FR"/>
        </w:rPr>
        <w:pict>
          <v:shape id="Image 13" o:spid="_x0000_s1029" type="#_x0000_t75" style="position:absolute;left:0;text-align:left;margin-left:87.4pt;margin-top:.4pt;width:81.75pt;height:52.85pt;z-index:251656704;visibility:visible">
            <v:imagedata r:id="rId8" o:title=""/>
          </v:shape>
        </w:pict>
      </w:r>
      <w:r>
        <w:rPr>
          <w:noProof/>
          <w:lang w:eastAsia="fr-FR"/>
        </w:rPr>
        <w:pict>
          <v:shape id="Image 7" o:spid="_x0000_s1030" type="#_x0000_t75" style="position:absolute;left:0;text-align:left;margin-left:-32.6pt;margin-top:-.35pt;width:108.8pt;height:63.5pt;z-index:251655680;visibility:visible">
            <v:imagedata r:id="rId9" o:title=""/>
          </v:shape>
        </w:pict>
      </w:r>
    </w:p>
    <w:p w:rsidR="00E4599F" w:rsidRDefault="00E4599F" w:rsidP="003007D9">
      <w:pPr>
        <w:jc w:val="center"/>
        <w:rPr>
          <w:rFonts w:ascii="Tahoma" w:hAnsi="Tahoma" w:cs="Tahoma"/>
          <w:b/>
          <w:bCs/>
          <w:sz w:val="32"/>
          <w:szCs w:val="32"/>
        </w:rPr>
      </w:pPr>
      <w:r>
        <w:rPr>
          <w:rFonts w:ascii="Tahoma" w:hAnsi="Tahoma" w:cs="Tahoma"/>
          <w:b/>
          <w:bCs/>
          <w:sz w:val="32"/>
          <w:szCs w:val="32"/>
        </w:rPr>
        <w:tab/>
      </w:r>
      <w:r>
        <w:rPr>
          <w:rFonts w:ascii="Tahoma" w:hAnsi="Tahoma" w:cs="Tahoma"/>
          <w:b/>
          <w:bCs/>
          <w:sz w:val="32"/>
          <w:szCs w:val="32"/>
        </w:rPr>
        <w:tab/>
      </w:r>
      <w:r>
        <w:rPr>
          <w:rFonts w:ascii="Tahoma" w:hAnsi="Tahoma" w:cs="Tahoma"/>
          <w:b/>
          <w:bCs/>
          <w:sz w:val="32"/>
          <w:szCs w:val="32"/>
        </w:rPr>
        <w:tab/>
      </w:r>
      <w:r>
        <w:rPr>
          <w:rFonts w:ascii="Tahoma" w:hAnsi="Tahoma" w:cs="Tahoma"/>
          <w:b/>
          <w:bCs/>
          <w:sz w:val="32"/>
          <w:szCs w:val="32"/>
        </w:rPr>
        <w:tab/>
      </w:r>
      <w:r>
        <w:rPr>
          <w:rFonts w:ascii="Tahoma" w:hAnsi="Tahoma" w:cs="Tahoma"/>
          <w:b/>
          <w:bCs/>
          <w:sz w:val="32"/>
          <w:szCs w:val="32"/>
        </w:rPr>
        <w:tab/>
      </w:r>
      <w:r>
        <w:rPr>
          <w:rFonts w:ascii="Tahoma" w:hAnsi="Tahoma" w:cs="Tahoma"/>
          <w:b/>
          <w:bCs/>
          <w:sz w:val="32"/>
          <w:szCs w:val="32"/>
        </w:rPr>
        <w:tab/>
      </w:r>
      <w:r>
        <w:rPr>
          <w:rFonts w:ascii="Tahoma" w:hAnsi="Tahoma" w:cs="Tahoma"/>
          <w:b/>
          <w:bCs/>
          <w:sz w:val="32"/>
          <w:szCs w:val="32"/>
        </w:rPr>
        <w:tab/>
      </w:r>
    </w:p>
    <w:p w:rsidR="00E4599F" w:rsidRDefault="00E4599F" w:rsidP="003007D9">
      <w:pPr>
        <w:jc w:val="center"/>
        <w:rPr>
          <w:rFonts w:ascii="Tahoma" w:hAnsi="Tahoma" w:cs="Tahoma"/>
          <w:b/>
          <w:bCs/>
          <w:sz w:val="32"/>
          <w:szCs w:val="32"/>
        </w:rPr>
      </w:pPr>
    </w:p>
    <w:p w:rsidR="00E4599F" w:rsidRDefault="00E4599F" w:rsidP="003007D9">
      <w:pPr>
        <w:jc w:val="center"/>
        <w:rPr>
          <w:rFonts w:ascii="Tahoma" w:hAnsi="Tahoma" w:cs="Tahoma"/>
          <w:b/>
          <w:bCs/>
          <w:sz w:val="32"/>
          <w:szCs w:val="32"/>
        </w:rPr>
      </w:pPr>
      <w:r w:rsidRPr="003007D9">
        <w:rPr>
          <w:rFonts w:ascii="Tahoma" w:hAnsi="Tahoma" w:cs="Tahoma"/>
          <w:b/>
          <w:bCs/>
          <w:sz w:val="32"/>
          <w:szCs w:val="32"/>
        </w:rPr>
        <w:t xml:space="preserve">Mouvement intra départemental </w:t>
      </w:r>
    </w:p>
    <w:p w:rsidR="00E4599F" w:rsidRDefault="00E4599F" w:rsidP="003007D9">
      <w:pPr>
        <w:jc w:val="center"/>
        <w:rPr>
          <w:rFonts w:ascii="Tahoma" w:hAnsi="Tahoma" w:cs="Tahoma"/>
          <w:b/>
          <w:bCs/>
          <w:sz w:val="32"/>
          <w:szCs w:val="32"/>
        </w:rPr>
      </w:pPr>
      <w:r w:rsidRPr="003007D9">
        <w:rPr>
          <w:rFonts w:ascii="Tahoma" w:hAnsi="Tahoma" w:cs="Tahoma"/>
          <w:b/>
          <w:bCs/>
          <w:sz w:val="32"/>
          <w:szCs w:val="32"/>
        </w:rPr>
        <w:t>des enseignants du premier degré</w:t>
      </w:r>
    </w:p>
    <w:p w:rsidR="00E4599F" w:rsidRPr="003007D9" w:rsidRDefault="00E4599F" w:rsidP="003007D9">
      <w:pPr>
        <w:jc w:val="both"/>
        <w:rPr>
          <w:rFonts w:ascii="Tahoma" w:hAnsi="Tahoma" w:cs="Tahoma"/>
          <w:sz w:val="4"/>
          <w:szCs w:val="4"/>
        </w:rPr>
      </w:pPr>
    </w:p>
    <w:p w:rsidR="00E4599F" w:rsidRDefault="00E4599F" w:rsidP="003007D9">
      <w:pPr>
        <w:spacing w:after="0" w:line="240" w:lineRule="auto"/>
        <w:jc w:val="both"/>
        <w:rPr>
          <w:rFonts w:ascii="Tahoma" w:hAnsi="Tahoma" w:cs="Tahoma"/>
          <w:sz w:val="24"/>
          <w:szCs w:val="24"/>
        </w:rPr>
      </w:pPr>
      <w:r w:rsidRPr="003007D9">
        <w:rPr>
          <w:rFonts w:ascii="Tahoma" w:hAnsi="Tahoma" w:cs="Tahoma"/>
          <w:sz w:val="24"/>
          <w:szCs w:val="24"/>
        </w:rPr>
        <w:t>Les organisations syndicales nationales</w:t>
      </w:r>
      <w:r>
        <w:rPr>
          <w:rFonts w:ascii="Tahoma" w:hAnsi="Tahoma" w:cs="Tahoma"/>
          <w:sz w:val="24"/>
          <w:szCs w:val="24"/>
        </w:rPr>
        <w:t>, SNUipp-FSU,</w:t>
      </w:r>
      <w:r w:rsidRPr="003007D9">
        <w:rPr>
          <w:rFonts w:ascii="Tahoma" w:hAnsi="Tahoma" w:cs="Tahoma"/>
        </w:rPr>
        <w:t xml:space="preserve"> </w:t>
      </w:r>
      <w:r w:rsidRPr="0080478F">
        <w:rPr>
          <w:rFonts w:ascii="Tahoma" w:hAnsi="Tahoma" w:cs="Tahoma"/>
        </w:rPr>
        <w:t>SNUDI-FO</w:t>
      </w:r>
      <w:r>
        <w:rPr>
          <w:rFonts w:ascii="Tahoma" w:hAnsi="Tahoma" w:cs="Tahoma"/>
        </w:rPr>
        <w:t xml:space="preserve">, </w:t>
      </w:r>
      <w:r w:rsidRPr="0080478F">
        <w:rPr>
          <w:rFonts w:ascii="Tahoma" w:hAnsi="Tahoma" w:cs="Tahoma"/>
        </w:rPr>
        <w:t>UNSEN-CGT Educ’Action</w:t>
      </w:r>
      <w:r>
        <w:rPr>
          <w:rFonts w:ascii="Tahoma" w:hAnsi="Tahoma" w:cs="Tahoma"/>
        </w:rPr>
        <w:t xml:space="preserve">, </w:t>
      </w:r>
      <w:r w:rsidRPr="0080478F">
        <w:rPr>
          <w:rFonts w:ascii="Tahoma" w:hAnsi="Tahoma" w:cs="Tahoma"/>
          <w:lang w:eastAsia="fr-FR"/>
        </w:rPr>
        <w:t>SE-UNSA</w:t>
      </w:r>
      <w:r>
        <w:rPr>
          <w:rFonts w:ascii="Tahoma" w:hAnsi="Tahoma" w:cs="Tahoma"/>
          <w:lang w:eastAsia="fr-FR"/>
        </w:rPr>
        <w:t xml:space="preserve">, </w:t>
      </w:r>
      <w:r w:rsidRPr="0080478F">
        <w:rPr>
          <w:rFonts w:ascii="Tahoma" w:hAnsi="Tahoma" w:cs="Tahoma"/>
          <w:lang w:eastAsia="fr-FR"/>
        </w:rPr>
        <w:t>SUD-Education</w:t>
      </w:r>
      <w:r>
        <w:rPr>
          <w:rFonts w:ascii="Tahoma" w:hAnsi="Tahoma" w:cs="Tahoma"/>
          <w:lang w:eastAsia="fr-FR"/>
        </w:rPr>
        <w:t xml:space="preserve"> </w:t>
      </w:r>
      <w:r>
        <w:rPr>
          <w:rFonts w:ascii="Tahoma" w:hAnsi="Tahoma" w:cs="Tahoma"/>
          <w:sz w:val="24"/>
          <w:szCs w:val="24"/>
        </w:rPr>
        <w:t>se sont adressées</w:t>
      </w:r>
      <w:r w:rsidRPr="003007D9">
        <w:rPr>
          <w:rFonts w:ascii="Tahoma" w:hAnsi="Tahoma" w:cs="Tahoma"/>
          <w:sz w:val="24"/>
          <w:szCs w:val="24"/>
        </w:rPr>
        <w:t xml:space="preserve"> au ministre de l’Education nationale (voir lettre ci-jointe) pour obtenir la suspension de la mise en œuvre des nouvelles modalités d’affectation des personnels du premier degré et demandent une audience auprès du ministre, le </w:t>
      </w:r>
      <w:r>
        <w:rPr>
          <w:rFonts w:ascii="Tahoma" w:hAnsi="Tahoma" w:cs="Tahoma"/>
          <w:sz w:val="24"/>
          <w:szCs w:val="24"/>
        </w:rPr>
        <w:t>plus rapidement possible</w:t>
      </w:r>
      <w:r w:rsidRPr="003007D9">
        <w:rPr>
          <w:rFonts w:ascii="Tahoma" w:hAnsi="Tahoma" w:cs="Tahoma"/>
          <w:sz w:val="24"/>
          <w:szCs w:val="24"/>
        </w:rPr>
        <w:t>, afin de porter les revendications des personnels.</w:t>
      </w:r>
    </w:p>
    <w:p w:rsidR="00E4599F" w:rsidRPr="003007D9" w:rsidRDefault="00E4599F" w:rsidP="003007D9">
      <w:pPr>
        <w:spacing w:after="0" w:line="240" w:lineRule="auto"/>
        <w:jc w:val="both"/>
        <w:rPr>
          <w:rFonts w:ascii="Tahoma" w:hAnsi="Tahoma" w:cs="Tahoma"/>
          <w:sz w:val="24"/>
          <w:szCs w:val="24"/>
        </w:rPr>
      </w:pPr>
    </w:p>
    <w:p w:rsidR="00E4599F" w:rsidRDefault="00E4599F" w:rsidP="00984092">
      <w:pPr>
        <w:spacing w:after="0" w:line="240" w:lineRule="auto"/>
        <w:jc w:val="both"/>
        <w:rPr>
          <w:rFonts w:ascii="Tahoma" w:hAnsi="Tahoma" w:cs="Tahoma"/>
          <w:sz w:val="24"/>
          <w:szCs w:val="24"/>
        </w:rPr>
      </w:pPr>
      <w:r w:rsidRPr="00CB0A2A">
        <w:rPr>
          <w:rFonts w:ascii="Tahoma" w:hAnsi="Tahoma" w:cs="Tahoma"/>
          <w:sz w:val="24"/>
          <w:szCs w:val="24"/>
        </w:rPr>
        <w:t xml:space="preserve">Elles invitent leurs sections départementales à se réunir et à construire des </w:t>
      </w:r>
      <w:r>
        <w:rPr>
          <w:rFonts w:ascii="Tahoma" w:hAnsi="Tahoma" w:cs="Tahoma"/>
          <w:sz w:val="24"/>
          <w:szCs w:val="24"/>
        </w:rPr>
        <w:t>initiatives</w:t>
      </w:r>
      <w:r w:rsidRPr="00CB0A2A">
        <w:rPr>
          <w:rFonts w:ascii="Tahoma" w:hAnsi="Tahoma" w:cs="Tahoma"/>
          <w:sz w:val="24"/>
          <w:szCs w:val="24"/>
        </w:rPr>
        <w:t xml:space="preserve"> les mercredis dès le 13 février, avec audiences communes auprès des Dasen, conférence de presse, rassemblements… Après des mercredis de mobilisation en fonction des dates de vacances scolaires et en l’absence de réponse satisfaisante du ministère, une nouvelle mobilisation est prévue le 13 mars.</w:t>
      </w:r>
    </w:p>
    <w:p w:rsidR="00E4599F" w:rsidRPr="00CB0A2A" w:rsidRDefault="00E4599F" w:rsidP="00984092">
      <w:pPr>
        <w:spacing w:after="0"/>
        <w:jc w:val="both"/>
        <w:rPr>
          <w:rFonts w:ascii="Tahoma" w:hAnsi="Tahoma" w:cs="Tahoma"/>
          <w:sz w:val="24"/>
          <w:szCs w:val="24"/>
        </w:rPr>
      </w:pPr>
      <w:bookmarkStart w:id="0" w:name="_GoBack"/>
      <w:bookmarkEnd w:id="0"/>
    </w:p>
    <w:p w:rsidR="00E4599F" w:rsidRDefault="00E4599F" w:rsidP="003007D9">
      <w:pPr>
        <w:jc w:val="both"/>
        <w:rPr>
          <w:rFonts w:ascii="Tahoma" w:hAnsi="Tahoma" w:cs="Tahoma"/>
          <w:sz w:val="24"/>
          <w:szCs w:val="24"/>
        </w:rPr>
      </w:pPr>
      <w:r w:rsidRPr="003007D9">
        <w:rPr>
          <w:rFonts w:ascii="Tahoma" w:hAnsi="Tahoma" w:cs="Tahoma"/>
          <w:sz w:val="24"/>
          <w:szCs w:val="24"/>
        </w:rPr>
        <w:t>Pour rappel : les revendications mentionnées dans la</w:t>
      </w:r>
      <w:r>
        <w:rPr>
          <w:rFonts w:ascii="Tahoma" w:hAnsi="Tahoma" w:cs="Tahoma"/>
          <w:sz w:val="24"/>
          <w:szCs w:val="24"/>
        </w:rPr>
        <w:t xml:space="preserve"> première lettre intersyndicale :</w:t>
      </w:r>
    </w:p>
    <w:p w:rsidR="00E4599F" w:rsidRPr="003007D9" w:rsidRDefault="00E4599F" w:rsidP="003007D9">
      <w:pPr>
        <w:numPr>
          <w:ilvl w:val="0"/>
          <w:numId w:val="1"/>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 xml:space="preserve">le maintien de l’AGS comme élément essentiel </w:t>
      </w:r>
      <w:r>
        <w:rPr>
          <w:rFonts w:ascii="Tahoma" w:hAnsi="Tahoma" w:cs="Tahoma"/>
          <w:sz w:val="24"/>
          <w:szCs w:val="24"/>
          <w:lang w:eastAsia="fr-FR"/>
        </w:rPr>
        <w:t xml:space="preserve">du barème pour tous les postes, </w:t>
      </w:r>
    </w:p>
    <w:p w:rsidR="00E4599F" w:rsidRPr="003007D9" w:rsidRDefault="00E4599F" w:rsidP="003007D9">
      <w:pPr>
        <w:numPr>
          <w:ilvl w:val="0"/>
          <w:numId w:val="2"/>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la suppression des postes proﬁlés au proﬁt de po</w:t>
      </w:r>
      <w:r>
        <w:rPr>
          <w:rFonts w:ascii="Tahoma" w:hAnsi="Tahoma" w:cs="Tahoma"/>
          <w:sz w:val="24"/>
          <w:szCs w:val="24"/>
          <w:lang w:eastAsia="fr-FR"/>
        </w:rPr>
        <w:t xml:space="preserve">stes à exigences particulières, </w:t>
      </w:r>
    </w:p>
    <w:p w:rsidR="00E4599F" w:rsidRPr="003007D9" w:rsidRDefault="00E4599F" w:rsidP="003007D9">
      <w:pPr>
        <w:numPr>
          <w:ilvl w:val="0"/>
          <w:numId w:val="3"/>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 xml:space="preserve">le maintien de la seconde phase du mouvement dans les départements où elle existait et leur </w:t>
      </w:r>
      <w:r>
        <w:rPr>
          <w:rFonts w:ascii="Tahoma" w:hAnsi="Tahoma" w:cs="Tahoma"/>
          <w:sz w:val="24"/>
          <w:szCs w:val="24"/>
          <w:lang w:eastAsia="fr-FR"/>
        </w:rPr>
        <w:t xml:space="preserve">rétablissement dans les autres, </w:t>
      </w:r>
    </w:p>
    <w:p w:rsidR="00E4599F" w:rsidRPr="003007D9" w:rsidRDefault="00E4599F" w:rsidP="003007D9">
      <w:pPr>
        <w:numPr>
          <w:ilvl w:val="0"/>
          <w:numId w:val="4"/>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le maintien de l’aﬀectation sur des postes précis et non sur des zones, Le respect du caractère non obli</w:t>
      </w:r>
      <w:r>
        <w:rPr>
          <w:rFonts w:ascii="Tahoma" w:hAnsi="Tahoma" w:cs="Tahoma"/>
          <w:sz w:val="24"/>
          <w:szCs w:val="24"/>
          <w:lang w:eastAsia="fr-FR"/>
        </w:rPr>
        <w:t xml:space="preserve">gatoire des vœux géographiques, </w:t>
      </w:r>
    </w:p>
    <w:p w:rsidR="00E4599F" w:rsidRPr="003007D9" w:rsidRDefault="00E4599F" w:rsidP="003007D9">
      <w:pPr>
        <w:numPr>
          <w:ilvl w:val="0"/>
          <w:numId w:val="5"/>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l’aﬀectation à titre provisoire des enseignants actuellement sans poste à titre déﬁnitif et qui n’obtiendraient aucun poste pr</w:t>
      </w:r>
      <w:r>
        <w:rPr>
          <w:rFonts w:ascii="Tahoma" w:hAnsi="Tahoma" w:cs="Tahoma"/>
          <w:sz w:val="24"/>
          <w:szCs w:val="24"/>
          <w:lang w:eastAsia="fr-FR"/>
        </w:rPr>
        <w:t xml:space="preserve">écisément demandé au mouvement, </w:t>
      </w:r>
    </w:p>
    <w:p w:rsidR="00E4599F" w:rsidRPr="003007D9" w:rsidRDefault="00E4599F" w:rsidP="003007D9">
      <w:pPr>
        <w:numPr>
          <w:ilvl w:val="0"/>
          <w:numId w:val="6"/>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l’examen des notes de service dépar</w:t>
      </w:r>
      <w:r>
        <w:rPr>
          <w:rFonts w:ascii="Tahoma" w:hAnsi="Tahoma" w:cs="Tahoma"/>
          <w:sz w:val="24"/>
          <w:szCs w:val="24"/>
          <w:lang w:eastAsia="fr-FR"/>
        </w:rPr>
        <w:t>tementales du mouvement en CAPD,</w:t>
      </w:r>
    </w:p>
    <w:p w:rsidR="00E4599F" w:rsidRPr="003007D9" w:rsidRDefault="00E4599F" w:rsidP="003007D9">
      <w:pPr>
        <w:numPr>
          <w:ilvl w:val="0"/>
          <w:numId w:val="7"/>
        </w:numPr>
        <w:shd w:val="clear" w:color="auto" w:fill="FFFFFF"/>
        <w:spacing w:before="100" w:beforeAutospacing="1" w:after="100" w:afterAutospacing="1" w:line="240" w:lineRule="auto"/>
        <w:ind w:left="375" w:right="375" w:hanging="420"/>
        <w:jc w:val="both"/>
        <w:rPr>
          <w:rFonts w:ascii="Tahoma" w:hAnsi="Tahoma" w:cs="Tahoma"/>
          <w:sz w:val="24"/>
          <w:szCs w:val="24"/>
          <w:lang w:eastAsia="fr-FR"/>
        </w:rPr>
      </w:pPr>
      <w:r w:rsidRPr="003007D9">
        <w:rPr>
          <w:rFonts w:ascii="Tahoma" w:hAnsi="Tahoma" w:cs="Tahoma"/>
          <w:sz w:val="24"/>
          <w:szCs w:val="24"/>
          <w:lang w:eastAsia="fr-FR"/>
        </w:rPr>
        <w:t>l’augmentation du nombre de vœux.</w:t>
      </w:r>
    </w:p>
    <w:sectPr w:rsidR="00E4599F" w:rsidRPr="003007D9" w:rsidSect="00501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673"/>
    <w:multiLevelType w:val="multilevel"/>
    <w:tmpl w:val="C180FA0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6D94760"/>
    <w:multiLevelType w:val="multilevel"/>
    <w:tmpl w:val="C394A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2B3598F"/>
    <w:multiLevelType w:val="multilevel"/>
    <w:tmpl w:val="F878AD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3A76486"/>
    <w:multiLevelType w:val="multilevel"/>
    <w:tmpl w:val="54DA9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6E65243"/>
    <w:multiLevelType w:val="multilevel"/>
    <w:tmpl w:val="1ED4F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4135F45"/>
    <w:multiLevelType w:val="multilevel"/>
    <w:tmpl w:val="534887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98C4E86"/>
    <w:multiLevelType w:val="multilevel"/>
    <w:tmpl w:val="43AC81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1E5"/>
    <w:rsid w:val="000201E5"/>
    <w:rsid w:val="00101F42"/>
    <w:rsid w:val="001A0280"/>
    <w:rsid w:val="001E531F"/>
    <w:rsid w:val="002D55F8"/>
    <w:rsid w:val="003007D9"/>
    <w:rsid w:val="003103E6"/>
    <w:rsid w:val="003B1936"/>
    <w:rsid w:val="0050196E"/>
    <w:rsid w:val="005D46FE"/>
    <w:rsid w:val="006D30EB"/>
    <w:rsid w:val="0080478F"/>
    <w:rsid w:val="008A438A"/>
    <w:rsid w:val="00974162"/>
    <w:rsid w:val="00984092"/>
    <w:rsid w:val="009D2E8A"/>
    <w:rsid w:val="00AD23C9"/>
    <w:rsid w:val="00CB0A2A"/>
    <w:rsid w:val="00DD340C"/>
    <w:rsid w:val="00E4599F"/>
    <w:rsid w:val="00EB56CB"/>
    <w:rsid w:val="00EE114B"/>
    <w:rsid w:val="00F06881"/>
    <w:rsid w:val="00F65A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02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256</Words>
  <Characters>1411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kosc</dc:creator>
  <cp:keywords/>
  <dc:description/>
  <cp:lastModifiedBy>Idéfix</cp:lastModifiedBy>
  <cp:revision>2</cp:revision>
  <dcterms:created xsi:type="dcterms:W3CDTF">2019-02-12T18:20:00Z</dcterms:created>
  <dcterms:modified xsi:type="dcterms:W3CDTF">2019-02-12T18:20:00Z</dcterms:modified>
</cp:coreProperties>
</file>