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50223" w14:textId="48F1282E" w:rsidR="00FE6CB3" w:rsidRPr="00FE6CB3" w:rsidRDefault="00FE6CB3" w:rsidP="00FE6CB3">
      <w:pPr>
        <w:spacing w:after="300" w:line="240" w:lineRule="auto"/>
        <w:jc w:val="both"/>
        <w:rPr>
          <w:rFonts w:ascii="Arial" w:eastAsia="Times New Roman" w:hAnsi="Arial" w:cs="Arial"/>
          <w:color w:val="232323"/>
          <w:sz w:val="21"/>
          <w:szCs w:val="21"/>
          <w:lang w:eastAsia="fr-FR"/>
        </w:rPr>
      </w:pPr>
      <w:r w:rsidRPr="00FE6CB3">
        <w:rPr>
          <w:rFonts w:ascii="Arial" w:eastAsia="Times New Roman" w:hAnsi="Arial" w:cs="Arial"/>
          <w:color w:val="232323"/>
          <w:sz w:val="21"/>
          <w:szCs w:val="21"/>
          <w:lang w:eastAsia="fr-FR"/>
        </w:rPr>
        <w:t>​</w:t>
      </w:r>
      <w:r w:rsidRPr="00FE6CB3">
        <w:rPr>
          <w:rFonts w:ascii="Arial" w:eastAsia="Times New Roman" w:hAnsi="Arial" w:cs="Arial"/>
          <w:b/>
          <w:bCs/>
          <w:color w:val="232323"/>
          <w:sz w:val="21"/>
          <w:szCs w:val="21"/>
          <w:shd w:val="clear" w:color="auto" w:fill="FFFF00"/>
          <w:lang w:eastAsia="fr-FR"/>
        </w:rPr>
        <w:t>MAJ le 21 décembre 2020</w:t>
      </w:r>
    </w:p>
    <w:p w14:paraId="708FDE17" w14:textId="77777777" w:rsidR="00FE6CB3" w:rsidRPr="00FE6CB3" w:rsidRDefault="00FE6CB3" w:rsidP="00FE6CB3">
      <w:pPr>
        <w:spacing w:after="300" w:line="240" w:lineRule="auto"/>
        <w:jc w:val="center"/>
        <w:rPr>
          <w:rFonts w:ascii="Arial" w:eastAsia="Times New Roman" w:hAnsi="Arial" w:cs="Arial"/>
          <w:color w:val="232323"/>
          <w:sz w:val="21"/>
          <w:szCs w:val="21"/>
          <w:lang w:eastAsia="fr-FR"/>
        </w:rPr>
      </w:pPr>
      <w:r w:rsidRPr="00FE6CB3">
        <w:rPr>
          <w:rFonts w:ascii="Arial" w:eastAsia="Times New Roman" w:hAnsi="Arial" w:cs="Arial"/>
          <w:b/>
          <w:bCs/>
          <w:color w:val="0000FF"/>
          <w:sz w:val="36"/>
          <w:szCs w:val="36"/>
          <w:shd w:val="clear" w:color="auto" w:fill="FFFF00"/>
          <w:lang w:eastAsia="fr-FR"/>
        </w:rPr>
        <w:t>PROTECTION FONCTIONNELLE</w:t>
      </w:r>
    </w:p>
    <w:p w14:paraId="5A480F57" w14:textId="77777777" w:rsidR="00FE6CB3" w:rsidRPr="00FE6CB3" w:rsidRDefault="00FE6CB3" w:rsidP="00FE6CB3">
      <w:pPr>
        <w:spacing w:after="0" w:line="240" w:lineRule="auto"/>
        <w:jc w:val="center"/>
        <w:rPr>
          <w:rFonts w:ascii="Arial" w:eastAsia="Times New Roman" w:hAnsi="Arial" w:cs="Arial"/>
          <w:b/>
          <w:bCs/>
          <w:color w:val="000000"/>
          <w:sz w:val="27"/>
          <w:szCs w:val="27"/>
          <w:lang w:eastAsia="fr-FR"/>
        </w:rPr>
      </w:pPr>
      <w:proofErr w:type="gramStart"/>
      <w:r w:rsidRPr="00FE6CB3">
        <w:rPr>
          <w:rFonts w:ascii="Arial" w:eastAsia="Times New Roman" w:hAnsi="Arial" w:cs="Arial"/>
          <w:b/>
          <w:bCs/>
          <w:sz w:val="27"/>
          <w:szCs w:val="27"/>
          <w:shd w:val="clear" w:color="auto" w:fill="FFFF00"/>
          <w:lang w:eastAsia="fr-FR"/>
        </w:rPr>
        <w:t>Une professeur</w:t>
      </w:r>
      <w:proofErr w:type="gramEnd"/>
      <w:r w:rsidRPr="00FE6CB3">
        <w:rPr>
          <w:rFonts w:ascii="Arial" w:eastAsia="Times New Roman" w:hAnsi="Arial" w:cs="Arial"/>
          <w:b/>
          <w:bCs/>
          <w:sz w:val="27"/>
          <w:szCs w:val="27"/>
          <w:shd w:val="clear" w:color="auto" w:fill="FFFF00"/>
          <w:lang w:eastAsia="fr-FR"/>
        </w:rPr>
        <w:t xml:space="preserve"> de flûte n’obtient pas la protection fonctionnelle</w:t>
      </w:r>
    </w:p>
    <w:p w14:paraId="19816788" w14:textId="77777777" w:rsidR="00FE6CB3" w:rsidRPr="00FE6CB3" w:rsidRDefault="00FE6CB3" w:rsidP="00FE6CB3">
      <w:pPr>
        <w:spacing w:after="0" w:line="240" w:lineRule="auto"/>
        <w:jc w:val="center"/>
        <w:rPr>
          <w:rFonts w:ascii="Arial" w:eastAsia="Times New Roman" w:hAnsi="Arial" w:cs="Arial"/>
          <w:b/>
          <w:bCs/>
          <w:color w:val="000000"/>
          <w:sz w:val="27"/>
          <w:szCs w:val="27"/>
          <w:lang w:eastAsia="fr-FR"/>
        </w:rPr>
      </w:pPr>
      <w:r w:rsidRPr="00FE6CB3">
        <w:rPr>
          <w:rFonts w:ascii="Arial" w:eastAsia="Times New Roman" w:hAnsi="Arial" w:cs="Arial"/>
          <w:b/>
          <w:bCs/>
          <w:color w:val="000000"/>
          <w:sz w:val="27"/>
          <w:szCs w:val="27"/>
          <w:lang w:eastAsia="fr-FR"/>
        </w:rPr>
        <w:t> </w:t>
      </w:r>
    </w:p>
    <w:p w14:paraId="146D879A" w14:textId="77777777" w:rsidR="00FE6CB3" w:rsidRPr="00FE6CB3" w:rsidRDefault="00FE6CB3" w:rsidP="00FE6CB3">
      <w:pPr>
        <w:spacing w:after="300" w:line="240" w:lineRule="auto"/>
        <w:rPr>
          <w:rFonts w:ascii="Verdana" w:eastAsia="Times New Roman" w:hAnsi="Verdana" w:cs="Arial"/>
          <w:b/>
          <w:bCs/>
          <w:color w:val="000000"/>
          <w:sz w:val="20"/>
          <w:szCs w:val="20"/>
          <w:lang w:eastAsia="fr-FR"/>
        </w:rPr>
      </w:pPr>
      <w:proofErr w:type="gramStart"/>
      <w:r w:rsidRPr="00FE6CB3">
        <w:rPr>
          <w:rFonts w:ascii="Verdana" w:eastAsia="Times New Roman" w:hAnsi="Verdana" w:cs="Arial"/>
          <w:b/>
          <w:bCs/>
          <w:color w:val="000000"/>
          <w:sz w:val="20"/>
          <w:szCs w:val="20"/>
          <w:lang w:eastAsia="fr-FR"/>
        </w:rPr>
        <w:t>Une professeur</w:t>
      </w:r>
      <w:proofErr w:type="gramEnd"/>
      <w:r w:rsidRPr="00FE6CB3">
        <w:rPr>
          <w:rFonts w:ascii="Verdana" w:eastAsia="Times New Roman" w:hAnsi="Verdana" w:cs="Arial"/>
          <w:b/>
          <w:bCs/>
          <w:color w:val="000000"/>
          <w:sz w:val="20"/>
          <w:szCs w:val="20"/>
          <w:lang w:eastAsia="fr-FR"/>
        </w:rPr>
        <w:t xml:space="preserve"> de flûte traversière au sein d’un conservatoire avait sollicité, auprès de la commune, le bénéfice de la protection fonctionnelle dans le cadre d’un litige l’opposant à ses supérieurs hiérarchiques, et de l'indemniser en raison des préjudices subis du fait d'agissements constitutifs de harcèlement moral. Le maire a refusé.</w:t>
      </w:r>
    </w:p>
    <w:p w14:paraId="48F7E574" w14:textId="77777777" w:rsidR="00FE6CB3" w:rsidRPr="00FE6CB3" w:rsidRDefault="00FE6CB3" w:rsidP="00FE6CB3">
      <w:pPr>
        <w:spacing w:after="300" w:line="240" w:lineRule="auto"/>
        <w:jc w:val="both"/>
        <w:rPr>
          <w:rFonts w:ascii="Verdana" w:eastAsia="Times New Roman" w:hAnsi="Verdana" w:cs="Arial"/>
          <w:color w:val="000000"/>
          <w:sz w:val="20"/>
          <w:szCs w:val="20"/>
          <w:lang w:eastAsia="fr-FR"/>
        </w:rPr>
      </w:pPr>
      <w:proofErr w:type="gramStart"/>
      <w:r w:rsidRPr="00FE6CB3">
        <w:rPr>
          <w:rFonts w:ascii="Verdana" w:eastAsia="Times New Roman" w:hAnsi="Verdana" w:cs="Arial"/>
          <w:color w:val="000000"/>
          <w:sz w:val="20"/>
          <w:szCs w:val="20"/>
          <w:lang w:eastAsia="fr-FR"/>
        </w:rPr>
        <w:t>Une professeur</w:t>
      </w:r>
      <w:proofErr w:type="gramEnd"/>
      <w:r w:rsidRPr="00FE6CB3">
        <w:rPr>
          <w:rFonts w:ascii="Verdana" w:eastAsia="Times New Roman" w:hAnsi="Verdana" w:cs="Arial"/>
          <w:color w:val="000000"/>
          <w:sz w:val="20"/>
          <w:szCs w:val="20"/>
          <w:lang w:eastAsia="fr-FR"/>
        </w:rPr>
        <w:t xml:space="preserve"> de flûte traversière au sein d’un conservatoire avait sollicité, auprès de la commune, le bénéfice de la protection fonctionnelle dans le cadre d’un litige l’opposant à ses supérieurs hiérarchiques, et de l’indemniser en raison des préjudices subis du fait d’agissements constitutifs de harcèlement moral. Le maire a refusé.</w:t>
      </w:r>
    </w:p>
    <w:p w14:paraId="692A6A0E" w14:textId="77777777" w:rsidR="00FE6CB3" w:rsidRPr="00FE6CB3" w:rsidRDefault="00FE6CB3" w:rsidP="00FE6CB3">
      <w:pPr>
        <w:spacing w:after="300" w:line="240" w:lineRule="auto"/>
        <w:jc w:val="both"/>
        <w:rPr>
          <w:rFonts w:ascii="Verdana" w:eastAsia="Times New Roman" w:hAnsi="Verdana" w:cs="Arial"/>
          <w:color w:val="000000"/>
          <w:sz w:val="20"/>
          <w:szCs w:val="20"/>
          <w:lang w:eastAsia="fr-FR"/>
        </w:rPr>
      </w:pPr>
      <w:r w:rsidRPr="00FE6CB3">
        <w:rPr>
          <w:rFonts w:ascii="Verdana" w:eastAsia="Times New Roman" w:hAnsi="Verdana" w:cs="Arial"/>
          <w:color w:val="000000"/>
          <w:sz w:val="20"/>
          <w:szCs w:val="20"/>
          <w:lang w:eastAsia="fr-FR"/>
        </w:rPr>
        <w:t>La protection fonctionnelle résultant d’un principe général du droit n’est pas applicable aux différends susceptibles de survenir, dans le cadre du service, entre un agent public et l’un de ses supérieurs hiérarchiques. Toutefois, il en va différemment lorsque les actes du supérieur hiérarchique sont, par leur nature ou leur gravité, insusceptibles de se rattacher à l’exercice normal du pouvoir hiérarchique.</w:t>
      </w:r>
    </w:p>
    <w:p w14:paraId="1B338FE7" w14:textId="77777777" w:rsidR="00FE6CB3" w:rsidRPr="00FE6CB3" w:rsidRDefault="00FE6CB3" w:rsidP="00FE6CB3">
      <w:pPr>
        <w:spacing w:after="300" w:line="240" w:lineRule="auto"/>
        <w:jc w:val="both"/>
        <w:rPr>
          <w:rFonts w:ascii="Verdana" w:eastAsia="Times New Roman" w:hAnsi="Verdana" w:cs="Arial"/>
          <w:color w:val="000000"/>
          <w:sz w:val="20"/>
          <w:szCs w:val="20"/>
          <w:lang w:eastAsia="fr-FR"/>
        </w:rPr>
      </w:pPr>
      <w:r w:rsidRPr="00FE6CB3">
        <w:rPr>
          <w:rFonts w:ascii="Verdana" w:eastAsia="Times New Roman" w:hAnsi="Verdana" w:cs="Arial"/>
          <w:color w:val="000000"/>
          <w:sz w:val="20"/>
          <w:szCs w:val="20"/>
          <w:lang w:eastAsia="fr-FR"/>
        </w:rPr>
        <w:t>De plus, il appartient à un agent public qui soutient avoir été victime d’agissements constitutifs de harcèlement moral de soumettre au juge des éléments de fait susceptibles de faire présumer l’existence d’un tel harcèlement. Il incombe à l’administration de produire, en sens contraire, une argumentation de nature à démontrer que les agissements en cause sont justifiés par des considérations étrangères à tout harcèlement.</w:t>
      </w:r>
    </w:p>
    <w:p w14:paraId="24244B37" w14:textId="77777777" w:rsidR="00FE6CB3" w:rsidRPr="00FE6CB3" w:rsidRDefault="00FE6CB3" w:rsidP="00FE6CB3">
      <w:pPr>
        <w:spacing w:after="300" w:line="240" w:lineRule="auto"/>
        <w:jc w:val="both"/>
        <w:rPr>
          <w:rFonts w:ascii="Verdana" w:eastAsia="Times New Roman" w:hAnsi="Verdana" w:cs="Arial"/>
          <w:color w:val="000000"/>
          <w:sz w:val="20"/>
          <w:szCs w:val="20"/>
          <w:lang w:eastAsia="fr-FR"/>
        </w:rPr>
      </w:pPr>
      <w:r w:rsidRPr="00FE6CB3">
        <w:rPr>
          <w:rFonts w:ascii="Verdana" w:eastAsia="Times New Roman" w:hAnsi="Verdana" w:cs="Arial"/>
          <w:color w:val="000000"/>
          <w:sz w:val="20"/>
          <w:szCs w:val="20"/>
          <w:lang w:eastAsia="fr-FR"/>
        </w:rPr>
        <w:t xml:space="preserve">En l’espèce, le compte rendu de son entretien professionnel annuel a fait apparaître que ses aptitudes pédagogiques et artistiques ont été jugées bonnes tout comme ses relations avec ses interlocuteurs en général, mais qu’elle devait améliorer l’attractivité de sa classe de flûte traversière au niveau régional. Or, si la requérante ne </w:t>
      </w:r>
      <w:proofErr w:type="gramStart"/>
      <w:r w:rsidRPr="00FE6CB3">
        <w:rPr>
          <w:rFonts w:ascii="Verdana" w:eastAsia="Times New Roman" w:hAnsi="Verdana" w:cs="Arial"/>
          <w:color w:val="000000"/>
          <w:sz w:val="20"/>
          <w:szCs w:val="20"/>
          <w:lang w:eastAsia="fr-FR"/>
        </w:rPr>
        <w:t>saurait</w:t>
      </w:r>
      <w:proofErr w:type="gramEnd"/>
      <w:r w:rsidRPr="00FE6CB3">
        <w:rPr>
          <w:rFonts w:ascii="Verdana" w:eastAsia="Times New Roman" w:hAnsi="Verdana" w:cs="Arial"/>
          <w:color w:val="000000"/>
          <w:sz w:val="20"/>
          <w:szCs w:val="20"/>
          <w:lang w:eastAsia="fr-FR"/>
        </w:rPr>
        <w:t xml:space="preserve"> être tenue pour seule responsable de la baisse des effectifs de sa classe, le directeur du conservatoire, en lui demandant de participer à l’amélioration de cette attractivité, n’a pas excédé les limites de l’exercice normal du pouvoir hiérarchique et ne saurait donc justifier la mise en œuvre de la protection fonctionnelle à l’égard de l’intéressée.</w:t>
      </w:r>
    </w:p>
    <w:p w14:paraId="1F663C99" w14:textId="77777777" w:rsidR="00FE6CB3" w:rsidRPr="00FE6CB3" w:rsidRDefault="00FE6CB3" w:rsidP="00FE6CB3">
      <w:pPr>
        <w:spacing w:after="300" w:line="240" w:lineRule="auto"/>
        <w:jc w:val="both"/>
        <w:rPr>
          <w:rFonts w:ascii="Verdana" w:eastAsia="Times New Roman" w:hAnsi="Verdana" w:cs="Arial"/>
          <w:color w:val="000000"/>
          <w:sz w:val="20"/>
          <w:szCs w:val="20"/>
          <w:lang w:eastAsia="fr-FR"/>
        </w:rPr>
      </w:pPr>
      <w:r w:rsidRPr="00FE6CB3">
        <w:rPr>
          <w:rFonts w:ascii="Verdana" w:eastAsia="Times New Roman" w:hAnsi="Verdana" w:cs="Arial"/>
          <w:color w:val="000000"/>
          <w:sz w:val="20"/>
          <w:szCs w:val="20"/>
          <w:lang w:eastAsia="fr-FR"/>
        </w:rPr>
        <w:t>Si la requérante ne saurait être tenue pour seule responsable de la baisse des effectifs de sa classe, la circonstance que le directeur du conservatoire lui ait demandé de participer à l’amélioration de cette attractivité n’apparaît pas excéder les limites de l’exercice normal du pouvoir hiérarchique.</w:t>
      </w:r>
    </w:p>
    <w:p w14:paraId="302F753A" w14:textId="77777777" w:rsidR="00FE6CB3" w:rsidRPr="00FE6CB3" w:rsidRDefault="00FE6CB3" w:rsidP="00FE6CB3">
      <w:pPr>
        <w:spacing w:after="300" w:line="240" w:lineRule="auto"/>
        <w:jc w:val="both"/>
        <w:rPr>
          <w:rFonts w:ascii="Verdana" w:eastAsia="Times New Roman" w:hAnsi="Verdana" w:cs="Arial"/>
          <w:b/>
          <w:bCs/>
          <w:color w:val="000000"/>
          <w:sz w:val="20"/>
          <w:szCs w:val="20"/>
          <w:lang w:eastAsia="fr-FR"/>
        </w:rPr>
      </w:pPr>
      <w:r w:rsidRPr="00FE6CB3">
        <w:rPr>
          <w:rFonts w:ascii="Verdana" w:eastAsia="Times New Roman" w:hAnsi="Verdana" w:cs="Arial"/>
          <w:b/>
          <w:bCs/>
          <w:color w:val="000000"/>
          <w:sz w:val="20"/>
          <w:szCs w:val="20"/>
          <w:lang w:eastAsia="fr-FR"/>
        </w:rPr>
        <w:t>REFERENCES</w:t>
      </w:r>
    </w:p>
    <w:p w14:paraId="27B0FC07" w14:textId="77777777" w:rsidR="00FE6CB3" w:rsidRPr="00FE6CB3" w:rsidRDefault="00FE6CB3" w:rsidP="00FE6CB3">
      <w:pPr>
        <w:spacing w:after="300" w:line="240" w:lineRule="auto"/>
        <w:jc w:val="both"/>
        <w:rPr>
          <w:rFonts w:ascii="Verdana" w:eastAsia="Times New Roman" w:hAnsi="Verdana" w:cs="Arial"/>
          <w:color w:val="000000"/>
          <w:sz w:val="20"/>
          <w:szCs w:val="20"/>
          <w:lang w:eastAsia="fr-FR"/>
        </w:rPr>
      </w:pPr>
      <w:hyperlink r:id="rId5" w:history="1">
        <w:r w:rsidRPr="00FE6CB3">
          <w:rPr>
            <w:rFonts w:ascii="Verdana" w:eastAsia="Times New Roman" w:hAnsi="Verdana" w:cs="Arial"/>
            <w:color w:val="000000"/>
            <w:sz w:val="20"/>
            <w:szCs w:val="20"/>
            <w:u w:val="single"/>
            <w:lang w:eastAsia="fr-FR"/>
          </w:rPr>
          <w:t xml:space="preserve">CAA de Nancy, 8 octobre 2020, </w:t>
        </w:r>
        <w:proofErr w:type="spellStart"/>
        <w:r w:rsidRPr="00FE6CB3">
          <w:rPr>
            <w:rFonts w:ascii="Verdana" w:eastAsia="Times New Roman" w:hAnsi="Verdana" w:cs="Arial"/>
            <w:color w:val="000000"/>
            <w:sz w:val="20"/>
            <w:szCs w:val="20"/>
            <w:u w:val="single"/>
            <w:lang w:eastAsia="fr-FR"/>
          </w:rPr>
          <w:t>req</w:t>
        </w:r>
        <w:proofErr w:type="spellEnd"/>
        <w:r w:rsidRPr="00FE6CB3">
          <w:rPr>
            <w:rFonts w:ascii="Verdana" w:eastAsia="Times New Roman" w:hAnsi="Verdana" w:cs="Arial"/>
            <w:color w:val="000000"/>
            <w:sz w:val="20"/>
            <w:szCs w:val="20"/>
            <w:u w:val="single"/>
            <w:lang w:eastAsia="fr-FR"/>
          </w:rPr>
          <w:t xml:space="preserve">. </w:t>
        </w:r>
        <w:proofErr w:type="gramStart"/>
        <w:r w:rsidRPr="00FE6CB3">
          <w:rPr>
            <w:rFonts w:ascii="Verdana" w:eastAsia="Times New Roman" w:hAnsi="Verdana" w:cs="Arial"/>
            <w:color w:val="000000"/>
            <w:sz w:val="20"/>
            <w:szCs w:val="20"/>
            <w:u w:val="single"/>
            <w:lang w:eastAsia="fr-FR"/>
          </w:rPr>
          <w:t>n</w:t>
        </w:r>
        <w:proofErr w:type="gramEnd"/>
        <w:r w:rsidRPr="00FE6CB3">
          <w:rPr>
            <w:rFonts w:ascii="Verdana" w:eastAsia="Times New Roman" w:hAnsi="Verdana" w:cs="Arial"/>
            <w:color w:val="000000"/>
            <w:sz w:val="20"/>
            <w:szCs w:val="20"/>
            <w:u w:val="single"/>
            <w:lang w:eastAsia="fr-FR"/>
          </w:rPr>
          <w:t>°19DA00356</w:t>
        </w:r>
      </w:hyperlink>
      <w:r w:rsidRPr="00FE6CB3">
        <w:rPr>
          <w:rFonts w:ascii="Verdana" w:eastAsia="Times New Roman" w:hAnsi="Verdana" w:cs="Arial"/>
          <w:color w:val="000000"/>
          <w:sz w:val="20"/>
          <w:szCs w:val="20"/>
          <w:lang w:eastAsia="fr-FR"/>
        </w:rPr>
        <w:t>. </w:t>
      </w:r>
    </w:p>
    <w:p w14:paraId="4BC156BC" w14:textId="77777777" w:rsidR="00FE6CB3" w:rsidRPr="00FE6CB3" w:rsidRDefault="00FE6CB3" w:rsidP="00FE6CB3">
      <w:pPr>
        <w:spacing w:after="300" w:line="240" w:lineRule="auto"/>
        <w:jc w:val="both"/>
        <w:rPr>
          <w:rFonts w:ascii="Arial" w:eastAsia="Times New Roman" w:hAnsi="Arial" w:cs="Arial"/>
          <w:color w:val="232323"/>
          <w:sz w:val="21"/>
          <w:szCs w:val="21"/>
          <w:lang w:eastAsia="fr-FR"/>
        </w:rPr>
      </w:pPr>
      <w:r w:rsidRPr="00FE6CB3">
        <w:rPr>
          <w:rFonts w:ascii="Arial" w:eastAsia="Times New Roman" w:hAnsi="Arial" w:cs="Arial"/>
          <w:color w:val="232323"/>
          <w:sz w:val="21"/>
          <w:szCs w:val="21"/>
          <w:lang w:eastAsia="fr-FR"/>
        </w:rPr>
        <w:t> </w:t>
      </w:r>
    </w:p>
    <w:p w14:paraId="53293AFE" w14:textId="77777777" w:rsidR="00FE6CB3" w:rsidRPr="00FE6CB3" w:rsidRDefault="00FE6CB3" w:rsidP="00FE6CB3">
      <w:pPr>
        <w:spacing w:after="300" w:line="240" w:lineRule="auto"/>
        <w:jc w:val="both"/>
        <w:rPr>
          <w:rFonts w:ascii="Verdana" w:eastAsia="Times New Roman" w:hAnsi="Verdana" w:cs="Arial"/>
          <w:b/>
          <w:bCs/>
          <w:color w:val="000000"/>
          <w:sz w:val="20"/>
          <w:szCs w:val="20"/>
          <w:lang w:eastAsia="fr-FR"/>
        </w:rPr>
      </w:pPr>
      <w:r w:rsidRPr="00FE6CB3">
        <w:rPr>
          <w:rFonts w:ascii="Verdana" w:eastAsia="Times New Roman" w:hAnsi="Verdana" w:cs="Arial"/>
          <w:b/>
          <w:bCs/>
          <w:color w:val="000000"/>
          <w:sz w:val="20"/>
          <w:szCs w:val="20"/>
          <w:lang w:eastAsia="fr-FR"/>
        </w:rPr>
        <w:t>POUR ALLER PLUS LOIN</w:t>
      </w:r>
    </w:p>
    <w:p w14:paraId="6FC91429" w14:textId="77777777" w:rsidR="00FE6CB3" w:rsidRPr="00FE6CB3" w:rsidRDefault="00FE6CB3" w:rsidP="00FE6CB3">
      <w:pPr>
        <w:numPr>
          <w:ilvl w:val="0"/>
          <w:numId w:val="1"/>
        </w:numPr>
        <w:spacing w:after="0" w:line="240" w:lineRule="auto"/>
        <w:ind w:left="1020"/>
        <w:rPr>
          <w:rFonts w:ascii="Verdana" w:eastAsia="Times New Roman" w:hAnsi="Verdana" w:cs="Arial"/>
          <w:color w:val="000000"/>
          <w:sz w:val="20"/>
          <w:szCs w:val="20"/>
          <w:lang w:eastAsia="fr-FR"/>
        </w:rPr>
      </w:pPr>
      <w:hyperlink r:id="rId6" w:history="1">
        <w:r w:rsidRPr="00FE6CB3">
          <w:rPr>
            <w:rFonts w:ascii="Verdana" w:eastAsia="Times New Roman" w:hAnsi="Verdana" w:cs="Arial"/>
            <w:color w:val="000000"/>
            <w:sz w:val="20"/>
            <w:szCs w:val="20"/>
            <w:u w:val="single"/>
            <w:lang w:eastAsia="fr-FR"/>
          </w:rPr>
          <w:t>Séparatismes : la protection fonctionnelle des agents renforcée</w:t>
        </w:r>
      </w:hyperlink>
      <w:r w:rsidRPr="00FE6CB3">
        <w:rPr>
          <w:rFonts w:ascii="Verdana" w:eastAsia="Times New Roman" w:hAnsi="Verdana" w:cs="Arial"/>
          <w:color w:val="000000"/>
          <w:sz w:val="20"/>
          <w:szCs w:val="20"/>
          <w:lang w:eastAsia="fr-FR"/>
        </w:rPr>
        <w:t> </w:t>
      </w:r>
    </w:p>
    <w:p w14:paraId="10176CB2" w14:textId="77777777" w:rsidR="00FE6CB3" w:rsidRPr="00FE6CB3" w:rsidRDefault="00FE6CB3" w:rsidP="00FE6CB3">
      <w:pPr>
        <w:numPr>
          <w:ilvl w:val="0"/>
          <w:numId w:val="1"/>
        </w:numPr>
        <w:spacing w:after="0" w:line="240" w:lineRule="auto"/>
        <w:ind w:left="1020"/>
        <w:rPr>
          <w:rFonts w:ascii="Verdana" w:eastAsia="Times New Roman" w:hAnsi="Verdana" w:cs="Arial"/>
          <w:color w:val="000000"/>
          <w:sz w:val="20"/>
          <w:szCs w:val="20"/>
          <w:lang w:eastAsia="fr-FR"/>
        </w:rPr>
      </w:pPr>
      <w:hyperlink r:id="rId7" w:history="1">
        <w:r w:rsidRPr="00FE6CB3">
          <w:rPr>
            <w:rFonts w:ascii="Verdana" w:eastAsia="Times New Roman" w:hAnsi="Verdana" w:cs="Arial"/>
            <w:color w:val="000000"/>
            <w:sz w:val="20"/>
            <w:szCs w:val="20"/>
            <w:u w:val="single"/>
            <w:lang w:eastAsia="fr-FR"/>
          </w:rPr>
          <w:t>Un guide pédagogique sur les RH pour les maires employeurs</w:t>
        </w:r>
      </w:hyperlink>
    </w:p>
    <w:p w14:paraId="6DB1AF9E" w14:textId="77777777" w:rsidR="00FE6CB3" w:rsidRPr="00FE6CB3" w:rsidRDefault="00FE6CB3" w:rsidP="00FE6CB3">
      <w:pPr>
        <w:numPr>
          <w:ilvl w:val="0"/>
          <w:numId w:val="1"/>
        </w:numPr>
        <w:spacing w:line="240" w:lineRule="auto"/>
        <w:ind w:left="1020"/>
        <w:rPr>
          <w:rFonts w:ascii="Verdana" w:eastAsia="Times New Roman" w:hAnsi="Verdana" w:cs="Arial"/>
          <w:color w:val="000000"/>
          <w:sz w:val="20"/>
          <w:szCs w:val="20"/>
          <w:lang w:eastAsia="fr-FR"/>
        </w:rPr>
      </w:pPr>
      <w:hyperlink r:id="rId8" w:history="1">
        <w:r w:rsidRPr="00FE6CB3">
          <w:rPr>
            <w:rFonts w:ascii="Verdana" w:eastAsia="Times New Roman" w:hAnsi="Verdana" w:cs="Arial"/>
            <w:color w:val="000000"/>
            <w:sz w:val="20"/>
            <w:szCs w:val="20"/>
            <w:u w:val="single"/>
            <w:lang w:eastAsia="fr-FR"/>
          </w:rPr>
          <w:t>Déontologie : les employeurs ont pris le contrôle en douceur</w:t>
        </w:r>
      </w:hyperlink>
      <w:r w:rsidRPr="00FE6CB3">
        <w:rPr>
          <w:rFonts w:ascii="Verdana" w:eastAsia="Times New Roman" w:hAnsi="Verdana" w:cs="Arial"/>
          <w:color w:val="000000"/>
          <w:sz w:val="20"/>
          <w:szCs w:val="20"/>
          <w:lang w:eastAsia="fr-FR"/>
        </w:rPr>
        <w:t> </w:t>
      </w:r>
    </w:p>
    <w:p w14:paraId="54AB4120" w14:textId="22CF8B04" w:rsidR="00FE6CB3" w:rsidRPr="00FE6CB3" w:rsidRDefault="00FE6CB3" w:rsidP="00FE6CB3">
      <w:pPr>
        <w:spacing w:after="0" w:line="240" w:lineRule="auto"/>
        <w:rPr>
          <w:rFonts w:ascii="Verdana" w:eastAsia="Times New Roman" w:hAnsi="Verdana" w:cs="Arial"/>
          <w:color w:val="000000"/>
          <w:sz w:val="20"/>
          <w:szCs w:val="20"/>
          <w:lang w:eastAsia="fr-FR"/>
        </w:rPr>
      </w:pPr>
      <w:r w:rsidRPr="00FE6CB3">
        <w:rPr>
          <w:rFonts w:ascii="Verdana" w:eastAsia="Times New Roman" w:hAnsi="Verdana" w:cs="Arial"/>
          <w:noProof/>
          <w:color w:val="000000"/>
          <w:sz w:val="20"/>
          <w:szCs w:val="20"/>
          <w:lang w:eastAsia="fr-FR"/>
        </w:rPr>
        <w:drawing>
          <wp:inline distT="0" distB="0" distL="0" distR="0" wp14:anchorId="28D8F062" wp14:editId="39AFA812">
            <wp:extent cx="1733550" cy="495300"/>
            <wp:effectExtent l="0" t="0" r="0"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495300"/>
                    </a:xfrm>
                    <a:prstGeom prst="rect">
                      <a:avLst/>
                    </a:prstGeom>
                    <a:noFill/>
                    <a:ln>
                      <a:noFill/>
                    </a:ln>
                  </pic:spPr>
                </pic:pic>
              </a:graphicData>
            </a:graphic>
          </wp:inline>
        </w:drawing>
      </w:r>
    </w:p>
    <w:p w14:paraId="48EE44DD" w14:textId="77777777" w:rsidR="00FE6CB3" w:rsidRPr="00FE6CB3" w:rsidRDefault="00FE6CB3" w:rsidP="00FE6CB3">
      <w:pPr>
        <w:spacing w:after="0" w:line="240" w:lineRule="auto"/>
        <w:rPr>
          <w:rFonts w:ascii="Verdana" w:eastAsia="Times New Roman" w:hAnsi="Verdana" w:cs="Arial"/>
          <w:color w:val="000000"/>
          <w:sz w:val="14"/>
          <w:szCs w:val="14"/>
          <w:lang w:eastAsia="fr-FR"/>
        </w:rPr>
      </w:pPr>
      <w:r w:rsidRPr="00FE6CB3">
        <w:rPr>
          <w:rFonts w:ascii="Verdana" w:eastAsia="Times New Roman" w:hAnsi="Verdana" w:cs="Arial"/>
          <w:b/>
          <w:bCs/>
          <w:color w:val="000000"/>
          <w:sz w:val="18"/>
          <w:szCs w:val="18"/>
          <w:lang w:eastAsia="fr-FR"/>
        </w:rPr>
        <w:t>Adresse de l'article</w:t>
      </w:r>
      <w:r w:rsidRPr="00FE6CB3">
        <w:rPr>
          <w:rFonts w:ascii="Verdana" w:eastAsia="Times New Roman" w:hAnsi="Verdana" w:cs="Arial"/>
          <w:color w:val="000000"/>
          <w:sz w:val="18"/>
          <w:szCs w:val="18"/>
          <w:lang w:eastAsia="fr-FR"/>
        </w:rPr>
        <w:t> https://www.lagazettedescommunes.com/714070/une-professeur-de-flute-nobtient-pas-la-protection-fonctionnelle/</w:t>
      </w:r>
    </w:p>
    <w:p w14:paraId="77D49CC3" w14:textId="77777777" w:rsidR="00FE6CB3" w:rsidRPr="00FE6CB3" w:rsidRDefault="00FE6CB3" w:rsidP="00FE6CB3">
      <w:pPr>
        <w:spacing w:line="240" w:lineRule="auto"/>
        <w:rPr>
          <w:rFonts w:ascii="Verdana" w:eastAsia="Times New Roman" w:hAnsi="Verdana" w:cs="Arial"/>
          <w:color w:val="000000"/>
          <w:sz w:val="14"/>
          <w:szCs w:val="14"/>
          <w:lang w:eastAsia="fr-FR"/>
        </w:rPr>
      </w:pPr>
      <w:r w:rsidRPr="00FE6CB3">
        <w:rPr>
          <w:rFonts w:ascii="Verdana" w:eastAsia="Times New Roman" w:hAnsi="Verdana" w:cs="Arial"/>
          <w:color w:val="000000"/>
          <w:sz w:val="18"/>
          <w:szCs w:val="18"/>
          <w:lang w:eastAsia="fr-FR"/>
        </w:rPr>
        <w:t xml:space="preserve">Sophie </w:t>
      </w:r>
      <w:proofErr w:type="spellStart"/>
      <w:r w:rsidRPr="00FE6CB3">
        <w:rPr>
          <w:rFonts w:ascii="Verdana" w:eastAsia="Times New Roman" w:hAnsi="Verdana" w:cs="Arial"/>
          <w:color w:val="000000"/>
          <w:sz w:val="18"/>
          <w:szCs w:val="18"/>
          <w:lang w:eastAsia="fr-FR"/>
        </w:rPr>
        <w:t>Soykurt</w:t>
      </w:r>
      <w:proofErr w:type="spellEnd"/>
      <w:r w:rsidRPr="00FE6CB3">
        <w:rPr>
          <w:rFonts w:ascii="Verdana" w:eastAsia="Times New Roman" w:hAnsi="Verdana" w:cs="Arial"/>
          <w:color w:val="000000"/>
          <w:sz w:val="18"/>
          <w:szCs w:val="18"/>
          <w:lang w:eastAsia="fr-FR"/>
        </w:rPr>
        <w:t xml:space="preserve"> | </w:t>
      </w:r>
      <w:hyperlink r:id="rId10" w:tooltip="View all posts in France" w:history="1">
        <w:r w:rsidRPr="00FE6CB3">
          <w:rPr>
            <w:rFonts w:ascii="Verdana" w:eastAsia="Times New Roman" w:hAnsi="Verdana" w:cs="Arial"/>
            <w:color w:val="000000"/>
            <w:sz w:val="18"/>
            <w:szCs w:val="18"/>
            <w:u w:val="single"/>
            <w:lang w:eastAsia="fr-FR"/>
          </w:rPr>
          <w:t>France</w:t>
        </w:r>
      </w:hyperlink>
      <w:r w:rsidRPr="00FE6CB3">
        <w:rPr>
          <w:rFonts w:ascii="Verdana" w:eastAsia="Times New Roman" w:hAnsi="Verdana" w:cs="Arial"/>
          <w:color w:val="000000"/>
          <w:sz w:val="18"/>
          <w:szCs w:val="18"/>
          <w:lang w:eastAsia="fr-FR"/>
        </w:rPr>
        <w:t> | </w:t>
      </w:r>
      <w:hyperlink r:id="rId11" w:tooltip="View all posts in Jurisprudence" w:history="1">
        <w:r w:rsidRPr="00FE6CB3">
          <w:rPr>
            <w:rFonts w:ascii="Verdana" w:eastAsia="Times New Roman" w:hAnsi="Verdana" w:cs="Arial"/>
            <w:color w:val="000000"/>
            <w:sz w:val="18"/>
            <w:szCs w:val="18"/>
            <w:u w:val="single"/>
            <w:lang w:eastAsia="fr-FR"/>
          </w:rPr>
          <w:t>Jurisprudence</w:t>
        </w:r>
      </w:hyperlink>
      <w:r w:rsidRPr="00FE6CB3">
        <w:rPr>
          <w:rFonts w:ascii="Verdana" w:eastAsia="Times New Roman" w:hAnsi="Verdana" w:cs="Arial"/>
          <w:color w:val="000000"/>
          <w:sz w:val="18"/>
          <w:szCs w:val="18"/>
          <w:lang w:eastAsia="fr-FR"/>
        </w:rPr>
        <w:t> | </w:t>
      </w:r>
      <w:hyperlink r:id="rId12" w:tooltip="View all posts in Jurisprudence RH" w:history="1">
        <w:r w:rsidRPr="00FE6CB3">
          <w:rPr>
            <w:rFonts w:ascii="Verdana" w:eastAsia="Times New Roman" w:hAnsi="Verdana" w:cs="Arial"/>
            <w:color w:val="000000"/>
            <w:sz w:val="18"/>
            <w:szCs w:val="18"/>
            <w:u w:val="single"/>
            <w:lang w:eastAsia="fr-FR"/>
          </w:rPr>
          <w:t>Jurisprudence RH</w:t>
        </w:r>
      </w:hyperlink>
      <w:r w:rsidRPr="00FE6CB3">
        <w:rPr>
          <w:rFonts w:ascii="Verdana" w:eastAsia="Times New Roman" w:hAnsi="Verdana" w:cs="Arial"/>
          <w:color w:val="000000"/>
          <w:sz w:val="18"/>
          <w:szCs w:val="18"/>
          <w:lang w:eastAsia="fr-FR"/>
        </w:rPr>
        <w:t> | </w:t>
      </w:r>
      <w:hyperlink r:id="rId13" w:tooltip="View all posts in Toute l'actu RH" w:history="1">
        <w:r w:rsidRPr="00FE6CB3">
          <w:rPr>
            <w:rFonts w:ascii="Verdana" w:eastAsia="Times New Roman" w:hAnsi="Verdana" w:cs="Arial"/>
            <w:color w:val="000000"/>
            <w:sz w:val="18"/>
            <w:szCs w:val="18"/>
            <w:u w:val="single"/>
            <w:lang w:eastAsia="fr-FR"/>
          </w:rPr>
          <w:t>Toute l'actu RH</w:t>
        </w:r>
      </w:hyperlink>
      <w:r w:rsidRPr="00FE6CB3">
        <w:rPr>
          <w:rFonts w:ascii="Verdana" w:eastAsia="Times New Roman" w:hAnsi="Verdana" w:cs="Arial"/>
          <w:color w:val="000000"/>
          <w:sz w:val="18"/>
          <w:szCs w:val="18"/>
          <w:lang w:eastAsia="fr-FR"/>
        </w:rPr>
        <w:t> | Publié le 17/12/2020</w:t>
      </w:r>
    </w:p>
    <w:p w14:paraId="27D7E686" w14:textId="77777777" w:rsidR="00ED72E0" w:rsidRDefault="00ED72E0"/>
    <w:sectPr w:rsidR="00ED72E0" w:rsidSect="00FE6CB3">
      <w:pgSz w:w="11906" w:h="16838"/>
      <w:pgMar w:top="357" w:right="1418" w:bottom="28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056C5"/>
    <w:multiLevelType w:val="multilevel"/>
    <w:tmpl w:val="1B86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CB3"/>
    <w:rsid w:val="00106632"/>
    <w:rsid w:val="007E78DE"/>
    <w:rsid w:val="008C375E"/>
    <w:rsid w:val="009F11C3"/>
    <w:rsid w:val="00ED72E0"/>
    <w:rsid w:val="00FE6C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34C9"/>
  <w15:chartTrackingRefBased/>
  <w15:docId w15:val="{7AE4F800-1551-4D6A-BCF9-2564B136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E78DE"/>
    <w:pPr>
      <w:spacing w:after="0" w:line="240" w:lineRule="auto"/>
    </w:pPr>
  </w:style>
  <w:style w:type="paragraph" w:styleId="NormalWeb">
    <w:name w:val="Normal (Web)"/>
    <w:basedOn w:val="Normal"/>
    <w:uiPriority w:val="99"/>
    <w:semiHidden/>
    <w:unhideWhenUsed/>
    <w:rsid w:val="00FE6CB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E6CB3"/>
    <w:rPr>
      <w:b/>
      <w:bCs/>
    </w:rPr>
  </w:style>
  <w:style w:type="character" w:styleId="Lienhypertexte">
    <w:name w:val="Hyperlink"/>
    <w:basedOn w:val="Policepardfaut"/>
    <w:uiPriority w:val="99"/>
    <w:semiHidden/>
    <w:unhideWhenUsed/>
    <w:rsid w:val="00FE6C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172653">
      <w:bodyDiv w:val="1"/>
      <w:marLeft w:val="0"/>
      <w:marRight w:val="0"/>
      <w:marTop w:val="0"/>
      <w:marBottom w:val="0"/>
      <w:divBdr>
        <w:top w:val="none" w:sz="0" w:space="0" w:color="auto"/>
        <w:left w:val="none" w:sz="0" w:space="0" w:color="auto"/>
        <w:bottom w:val="none" w:sz="0" w:space="0" w:color="auto"/>
        <w:right w:val="none" w:sz="0" w:space="0" w:color="auto"/>
      </w:divBdr>
      <w:divsChild>
        <w:div w:id="1528177052">
          <w:marLeft w:val="0"/>
          <w:marRight w:val="0"/>
          <w:marTop w:val="0"/>
          <w:marBottom w:val="375"/>
          <w:divBdr>
            <w:top w:val="none" w:sz="0" w:space="0" w:color="auto"/>
            <w:left w:val="none" w:sz="0" w:space="0" w:color="auto"/>
            <w:bottom w:val="none" w:sz="0" w:space="0" w:color="auto"/>
            <w:right w:val="none" w:sz="0" w:space="0" w:color="auto"/>
          </w:divBdr>
          <w:divsChild>
            <w:div w:id="403452646">
              <w:marLeft w:val="0"/>
              <w:marRight w:val="0"/>
              <w:marTop w:val="0"/>
              <w:marBottom w:val="0"/>
              <w:divBdr>
                <w:top w:val="none" w:sz="0" w:space="0" w:color="auto"/>
                <w:left w:val="none" w:sz="0" w:space="0" w:color="auto"/>
                <w:bottom w:val="none" w:sz="0" w:space="0" w:color="auto"/>
                <w:right w:val="none" w:sz="0" w:space="0" w:color="auto"/>
              </w:divBdr>
            </w:div>
            <w:div w:id="924075608">
              <w:marLeft w:val="0"/>
              <w:marRight w:val="0"/>
              <w:marTop w:val="0"/>
              <w:marBottom w:val="0"/>
              <w:divBdr>
                <w:top w:val="single" w:sz="6" w:space="0" w:color="AAAAAA"/>
                <w:left w:val="single" w:sz="6" w:space="8" w:color="AAAAAA"/>
                <w:bottom w:val="single" w:sz="6" w:space="0" w:color="AAAAAA"/>
                <w:right w:val="single" w:sz="6" w:space="8" w:color="AAAAAA"/>
              </w:divBdr>
              <w:divsChild>
                <w:div w:id="894585415">
                  <w:marLeft w:val="0"/>
                  <w:marRight w:val="0"/>
                  <w:marTop w:val="0"/>
                  <w:marBottom w:val="0"/>
                  <w:divBdr>
                    <w:top w:val="none" w:sz="0" w:space="0" w:color="auto"/>
                    <w:left w:val="none" w:sz="0" w:space="0" w:color="auto"/>
                    <w:bottom w:val="none" w:sz="0" w:space="0" w:color="auto"/>
                    <w:right w:val="none" w:sz="0" w:space="0" w:color="auto"/>
                  </w:divBdr>
                </w:div>
              </w:divsChild>
            </w:div>
            <w:div w:id="2146045772">
              <w:marLeft w:val="0"/>
              <w:marRight w:val="0"/>
              <w:marTop w:val="0"/>
              <w:marBottom w:val="0"/>
              <w:divBdr>
                <w:top w:val="single" w:sz="6" w:space="0" w:color="AAAAAA"/>
                <w:left w:val="single" w:sz="6" w:space="8" w:color="AAAAAA"/>
                <w:bottom w:val="single" w:sz="6" w:space="0" w:color="AAAAAA"/>
                <w:right w:val="single" w:sz="6" w:space="8" w:color="AAAAAA"/>
              </w:divBdr>
              <w:divsChild>
                <w:div w:id="121793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0064">
          <w:marLeft w:val="0"/>
          <w:marRight w:val="0"/>
          <w:marTop w:val="0"/>
          <w:marBottom w:val="375"/>
          <w:divBdr>
            <w:top w:val="none" w:sz="0" w:space="0" w:color="auto"/>
            <w:left w:val="none" w:sz="0" w:space="0" w:color="auto"/>
            <w:bottom w:val="none" w:sz="0" w:space="0" w:color="auto"/>
            <w:right w:val="none" w:sz="0" w:space="0" w:color="auto"/>
          </w:divBdr>
          <w:divsChild>
            <w:div w:id="2140956592">
              <w:marLeft w:val="0"/>
              <w:marRight w:val="0"/>
              <w:marTop w:val="0"/>
              <w:marBottom w:val="0"/>
              <w:divBdr>
                <w:top w:val="none" w:sz="0" w:space="0" w:color="auto"/>
                <w:left w:val="none" w:sz="0" w:space="0" w:color="auto"/>
                <w:bottom w:val="none" w:sz="0" w:space="0" w:color="auto"/>
                <w:right w:val="none" w:sz="0" w:space="0" w:color="auto"/>
              </w:divBdr>
            </w:div>
            <w:div w:id="1807812410">
              <w:marLeft w:val="0"/>
              <w:marRight w:val="0"/>
              <w:marTop w:val="0"/>
              <w:marBottom w:val="0"/>
              <w:divBdr>
                <w:top w:val="none" w:sz="0" w:space="0" w:color="auto"/>
                <w:left w:val="none" w:sz="0" w:space="0" w:color="auto"/>
                <w:bottom w:val="none" w:sz="0" w:space="0" w:color="auto"/>
                <w:right w:val="none" w:sz="0" w:space="0" w:color="auto"/>
              </w:divBdr>
            </w:div>
            <w:div w:id="14978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gazettedescommunes.com/712103/deontologie-les-employeurs-ont-pris-le-controle-en-douceur/?abo=1" TargetMode="External"/><Relationship Id="rId13" Type="http://schemas.openxmlformats.org/officeDocument/2006/relationships/hyperlink" Target="https://www.lagazettedescommunes.com/rubriques/actualite-club-rh/" TargetMode="External"/><Relationship Id="rId3" Type="http://schemas.openxmlformats.org/officeDocument/2006/relationships/settings" Target="settings.xml"/><Relationship Id="rId7" Type="http://schemas.openxmlformats.org/officeDocument/2006/relationships/hyperlink" Target="https://www.lagazettedescommunes.com/713316/un-guide-pedagogique-sur-les-rh-pour-les-maires-employeurs/" TargetMode="External"/><Relationship Id="rId12" Type="http://schemas.openxmlformats.org/officeDocument/2006/relationships/hyperlink" Target="https://www.lagazettedescommunes.com/rubriques/jurisprudence-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gazettedescommunes.com/709205/separatismes-la-protection-fonctionnelle-des-agents-renforcee/?abo=1" TargetMode="External"/><Relationship Id="rId11" Type="http://schemas.openxmlformats.org/officeDocument/2006/relationships/hyperlink" Target="https://www.lagazettedescommunes.com/rubriques/jurisprudence/" TargetMode="External"/><Relationship Id="rId5" Type="http://schemas.openxmlformats.org/officeDocument/2006/relationships/hyperlink" Target="https://www.legifrance.gouv.fr/ceta/id/CETATEXT000042427434?isSuggest=true" TargetMode="External"/><Relationship Id="rId15" Type="http://schemas.openxmlformats.org/officeDocument/2006/relationships/theme" Target="theme/theme1.xml"/><Relationship Id="rId10" Type="http://schemas.openxmlformats.org/officeDocument/2006/relationships/hyperlink" Target="https://www.lagazettedescommunes.com/rubriques/france/"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3440</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FORCE OUVRIERE Services Publics Marne</dc:creator>
  <cp:keywords/>
  <dc:description/>
  <cp:lastModifiedBy>FORCE OUVRIERE Services Publics Marne</cp:lastModifiedBy>
  <cp:revision>1</cp:revision>
  <dcterms:created xsi:type="dcterms:W3CDTF">2020-12-21T09:02:00Z</dcterms:created>
  <dcterms:modified xsi:type="dcterms:W3CDTF">2020-12-21T09:03:00Z</dcterms:modified>
</cp:coreProperties>
</file>