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04" w:rsidRDefault="006F395B" w:rsidP="00EF5904">
      <w:pPr>
        <w:keepNext/>
      </w:pPr>
      <w:r w:rsidRPr="006F395B">
        <w:rPr>
          <w:b/>
          <w:noProof/>
          <w:lang w:eastAsia="fr-FR"/>
        </w:rPr>
        <w:drawing>
          <wp:inline distT="0" distB="0" distL="0" distR="0">
            <wp:extent cx="2407920" cy="1074420"/>
            <wp:effectExtent l="0" t="0" r="0" b="0"/>
            <wp:docPr id="1" name="Image 1" descr="C:\Users\Perso\Documents\logo cgt\filpa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\Documents\logo cgt\filpac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904" w:rsidRPr="00EF5904">
        <w:t xml:space="preserve"> </w:t>
      </w:r>
      <w:r w:rsidR="00660D83">
        <w:tab/>
      </w:r>
      <w:r w:rsidR="00660D83">
        <w:tab/>
      </w:r>
      <w:r w:rsidR="00660D83" w:rsidRPr="00660D83">
        <w:rPr>
          <w:noProof/>
          <w:lang w:eastAsia="fr-FR"/>
        </w:rPr>
        <w:drawing>
          <wp:inline distT="0" distB="0" distL="0" distR="0">
            <wp:extent cx="922020" cy="815340"/>
            <wp:effectExtent l="0" t="0" r="0" b="3810"/>
            <wp:docPr id="2" name="Image 2" descr="C:\Users\Perso\Documents\logo cgt\4hpv5-LOGO_CGT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\Documents\logo cgt\4hpv5-LOGO_CGT 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D83">
        <w:tab/>
      </w:r>
      <w:r w:rsidR="00660D83">
        <w:tab/>
      </w:r>
      <w:r w:rsidR="00660D83">
        <w:tab/>
      </w:r>
      <w:r w:rsidR="00660D83">
        <w:tab/>
      </w:r>
      <w:r w:rsidR="00EF5904" w:rsidRPr="00EF5904">
        <w:t>juillet  2016</w:t>
      </w:r>
    </w:p>
    <w:p w:rsidR="00EF5904" w:rsidRDefault="00EF5904" w:rsidP="00EF5904">
      <w:pPr>
        <w:pStyle w:val="Lgende"/>
        <w:jc w:val="center"/>
      </w:pPr>
    </w:p>
    <w:p w:rsidR="00677806" w:rsidRPr="00CD30EE" w:rsidRDefault="00677806" w:rsidP="00677806">
      <w:pPr>
        <w:jc w:val="center"/>
        <w:rPr>
          <w:b/>
        </w:rPr>
      </w:pPr>
      <w:r w:rsidRPr="00CD30EE">
        <w:rPr>
          <w:b/>
        </w:rPr>
        <w:t>Résumé des conclusions des rapports d’expertise</w:t>
      </w:r>
      <w:r w:rsidR="00DD6E83">
        <w:rPr>
          <w:b/>
        </w:rPr>
        <w:t xml:space="preserve"> SECAFI,</w:t>
      </w:r>
      <w:r w:rsidRPr="00CD30EE">
        <w:rPr>
          <w:b/>
        </w:rPr>
        <w:t xml:space="preserve"> présentés au CE et au CHSCT </w:t>
      </w:r>
    </w:p>
    <w:p w:rsidR="00CD30EE" w:rsidRPr="00BF656E" w:rsidRDefault="00CD30EE" w:rsidP="00CD30EE">
      <w:pPr>
        <w:spacing w:before="360"/>
        <w:rPr>
          <w:bCs/>
          <w:sz w:val="18"/>
          <w:szCs w:val="18"/>
        </w:rPr>
      </w:pPr>
      <w:r w:rsidRPr="00BF656E">
        <w:rPr>
          <w:bCs/>
          <w:sz w:val="18"/>
          <w:szCs w:val="18"/>
        </w:rPr>
        <w:t xml:space="preserve">Les rapports demandés au cabinet </w:t>
      </w:r>
      <w:r w:rsidR="00660D83" w:rsidRPr="00BF656E">
        <w:rPr>
          <w:bCs/>
          <w:sz w:val="18"/>
          <w:szCs w:val="18"/>
        </w:rPr>
        <w:t>SECAFI</w:t>
      </w:r>
      <w:r w:rsidRPr="00BF656E">
        <w:rPr>
          <w:bCs/>
          <w:sz w:val="18"/>
          <w:szCs w:val="18"/>
        </w:rPr>
        <w:t xml:space="preserve"> par le Comité d’Entreprise dans le cadre de la procédure de droit d’alerte</w:t>
      </w:r>
      <w:r w:rsidR="00680E7A">
        <w:rPr>
          <w:bCs/>
          <w:sz w:val="18"/>
          <w:szCs w:val="18"/>
        </w:rPr>
        <w:t>,</w:t>
      </w:r>
      <w:r w:rsidRPr="00BF656E">
        <w:rPr>
          <w:bCs/>
          <w:sz w:val="18"/>
          <w:szCs w:val="18"/>
        </w:rPr>
        <w:t xml:space="preserve"> et par le CHSCT dans le cadre des modifications importantes d’organisation font ressortir les principales conclusions et préconisations suivantes :</w:t>
      </w:r>
    </w:p>
    <w:p w:rsidR="00CD30EE" w:rsidRPr="00BF656E" w:rsidRDefault="00CD30EE" w:rsidP="00CD30EE">
      <w:pPr>
        <w:spacing w:before="360"/>
        <w:rPr>
          <w:b/>
          <w:bCs/>
          <w:sz w:val="18"/>
          <w:szCs w:val="18"/>
        </w:rPr>
      </w:pPr>
      <w:r w:rsidRPr="00BF656E">
        <w:rPr>
          <w:b/>
          <w:bCs/>
          <w:sz w:val="18"/>
          <w:szCs w:val="18"/>
        </w:rPr>
        <w:t>Les difficultés rencontrées par Les Papèteries de Saint-Girons sont de trois ordres :</w:t>
      </w:r>
    </w:p>
    <w:p w:rsidR="00ED3CFB" w:rsidRPr="00BF656E" w:rsidRDefault="00ED3CFB" w:rsidP="00CD30EE">
      <w:pPr>
        <w:spacing w:before="360"/>
        <w:rPr>
          <w:bCs/>
          <w:sz w:val="18"/>
          <w:szCs w:val="18"/>
        </w:rPr>
      </w:pPr>
      <w:r w:rsidRPr="00BF656E">
        <w:rPr>
          <w:bCs/>
          <w:sz w:val="18"/>
          <w:szCs w:val="18"/>
        </w:rPr>
        <w:t>Difficultés qui sont relevées depuis plusieurs années par le  cabinet SECAFI et le comité d’Entreprise !</w:t>
      </w:r>
    </w:p>
    <w:p w:rsidR="00CD30EE" w:rsidRPr="00BF656E" w:rsidRDefault="00CD30EE" w:rsidP="00CD30EE">
      <w:pPr>
        <w:pStyle w:val="Paragraphedeliste"/>
        <w:numPr>
          <w:ilvl w:val="0"/>
          <w:numId w:val="4"/>
        </w:numPr>
        <w:spacing w:after="120" w:line="256" w:lineRule="auto"/>
        <w:ind w:left="714" w:hanging="357"/>
        <w:rPr>
          <w:bCs/>
          <w:sz w:val="18"/>
          <w:szCs w:val="18"/>
        </w:rPr>
      </w:pPr>
      <w:r w:rsidRPr="00BF656E">
        <w:rPr>
          <w:b/>
          <w:bCs/>
          <w:sz w:val="18"/>
          <w:szCs w:val="18"/>
        </w:rPr>
        <w:t>Le marché</w:t>
      </w:r>
      <w:r w:rsidRPr="00BF656E">
        <w:rPr>
          <w:bCs/>
          <w:sz w:val="18"/>
          <w:szCs w:val="18"/>
        </w:rPr>
        <w:t xml:space="preserve"> du papier de la cigarette décline mais les possibilités de développement des papiers minces, spécialité de Saint-Girons, sont très bonnes et offrent au site de réelles possibilités de repositionnement</w:t>
      </w:r>
      <w:r w:rsidR="0039102F" w:rsidRPr="00BF656E">
        <w:rPr>
          <w:bCs/>
          <w:sz w:val="18"/>
          <w:szCs w:val="18"/>
        </w:rPr>
        <w:t>.</w:t>
      </w:r>
    </w:p>
    <w:p w:rsidR="00CD30EE" w:rsidRPr="00BF656E" w:rsidRDefault="00CD30EE" w:rsidP="00CD30EE">
      <w:pPr>
        <w:pStyle w:val="Paragraphedeliste"/>
        <w:numPr>
          <w:ilvl w:val="0"/>
          <w:numId w:val="4"/>
        </w:numPr>
        <w:spacing w:after="120" w:line="256" w:lineRule="auto"/>
        <w:ind w:left="714" w:hanging="357"/>
        <w:rPr>
          <w:bCs/>
          <w:sz w:val="18"/>
          <w:szCs w:val="18"/>
        </w:rPr>
      </w:pPr>
      <w:r w:rsidRPr="00BF656E">
        <w:rPr>
          <w:b/>
          <w:bCs/>
          <w:sz w:val="18"/>
          <w:szCs w:val="18"/>
        </w:rPr>
        <w:t>Le Groupe :</w:t>
      </w:r>
      <w:r w:rsidRPr="00BF656E">
        <w:rPr>
          <w:bCs/>
          <w:sz w:val="18"/>
          <w:szCs w:val="18"/>
        </w:rPr>
        <w:t xml:space="preserve"> les prévisions de vente sont beaucoup trop imprécises et les ventes au Groupe SWM se font à perte</w:t>
      </w:r>
      <w:r w:rsidR="00680E7A">
        <w:rPr>
          <w:bCs/>
          <w:sz w:val="18"/>
          <w:szCs w:val="18"/>
        </w:rPr>
        <w:t>,</w:t>
      </w:r>
      <w:r w:rsidRPr="00BF656E">
        <w:rPr>
          <w:bCs/>
          <w:sz w:val="18"/>
          <w:szCs w:val="18"/>
        </w:rPr>
        <w:t xml:space="preserve"> ce qui explique une bonne partie des mauvais résultats du site</w:t>
      </w:r>
      <w:r w:rsidR="0039102F" w:rsidRPr="00BF656E">
        <w:rPr>
          <w:bCs/>
          <w:sz w:val="18"/>
          <w:szCs w:val="18"/>
        </w:rPr>
        <w:t>.</w:t>
      </w:r>
    </w:p>
    <w:p w:rsidR="00CD30EE" w:rsidRPr="00BF656E" w:rsidRDefault="00CD30EE" w:rsidP="00CD30EE">
      <w:pPr>
        <w:pStyle w:val="Paragraphedeliste"/>
        <w:numPr>
          <w:ilvl w:val="0"/>
          <w:numId w:val="4"/>
        </w:numPr>
        <w:spacing w:after="120" w:line="256" w:lineRule="auto"/>
        <w:ind w:left="714" w:hanging="357"/>
        <w:rPr>
          <w:bCs/>
          <w:sz w:val="18"/>
          <w:szCs w:val="18"/>
        </w:rPr>
      </w:pPr>
      <w:r w:rsidRPr="00BF656E">
        <w:rPr>
          <w:b/>
          <w:bCs/>
          <w:sz w:val="18"/>
          <w:szCs w:val="18"/>
        </w:rPr>
        <w:t>Le site</w:t>
      </w:r>
      <w:r w:rsidRPr="00BF656E">
        <w:rPr>
          <w:bCs/>
          <w:sz w:val="18"/>
          <w:szCs w:val="18"/>
        </w:rPr>
        <w:t> : Il a rencontré des problèmes techniques et les coûts standards n’ont pas pu être respectés</w:t>
      </w:r>
      <w:r w:rsidR="00ED3CFB" w:rsidRPr="00BF656E">
        <w:rPr>
          <w:bCs/>
          <w:sz w:val="18"/>
          <w:szCs w:val="18"/>
        </w:rPr>
        <w:t>.</w:t>
      </w:r>
    </w:p>
    <w:p w:rsidR="00ED3CFB" w:rsidRPr="00BF656E" w:rsidRDefault="00ED3CFB" w:rsidP="00ED3CFB">
      <w:pPr>
        <w:pStyle w:val="Paragraphedeliste"/>
        <w:spacing w:after="120" w:line="256" w:lineRule="auto"/>
        <w:ind w:left="1440"/>
        <w:rPr>
          <w:bCs/>
          <w:sz w:val="18"/>
          <w:szCs w:val="18"/>
        </w:rPr>
      </w:pPr>
      <w:r w:rsidRPr="00BF656E">
        <w:rPr>
          <w:bCs/>
          <w:sz w:val="18"/>
          <w:szCs w:val="18"/>
        </w:rPr>
        <w:t>I</w:t>
      </w:r>
      <w:r w:rsidR="0039102F" w:rsidRPr="00BF656E">
        <w:rPr>
          <w:bCs/>
          <w:sz w:val="18"/>
          <w:szCs w:val="18"/>
        </w:rPr>
        <w:t>nvestissemen</w:t>
      </w:r>
      <w:r w:rsidRPr="00BF656E">
        <w:rPr>
          <w:bCs/>
          <w:sz w:val="18"/>
          <w:szCs w:val="18"/>
        </w:rPr>
        <w:t>ts</w:t>
      </w:r>
      <w:r w:rsidR="0039102F" w:rsidRPr="00BF656E">
        <w:rPr>
          <w:bCs/>
          <w:sz w:val="18"/>
          <w:szCs w:val="18"/>
        </w:rPr>
        <w:t xml:space="preserve"> insuffisants, baisse des effectifs et perte des compétences, manque de formation métier. </w:t>
      </w:r>
      <w:r w:rsidRPr="00BF656E">
        <w:rPr>
          <w:bCs/>
          <w:sz w:val="18"/>
          <w:szCs w:val="18"/>
        </w:rPr>
        <w:t xml:space="preserve"> </w:t>
      </w:r>
    </w:p>
    <w:p w:rsidR="00CD30EE" w:rsidRPr="00BF656E" w:rsidRDefault="00CD30EE" w:rsidP="00CD30EE">
      <w:pPr>
        <w:spacing w:before="360"/>
        <w:rPr>
          <w:b/>
          <w:bCs/>
          <w:sz w:val="18"/>
          <w:szCs w:val="18"/>
        </w:rPr>
      </w:pPr>
      <w:r w:rsidRPr="00BF656E">
        <w:rPr>
          <w:b/>
          <w:bCs/>
          <w:sz w:val="18"/>
          <w:szCs w:val="18"/>
        </w:rPr>
        <w:t>Le plan proposé par la direction avec les départs en pré-retraite est très insuffisant :</w:t>
      </w:r>
    </w:p>
    <w:p w:rsidR="00CD30EE" w:rsidRPr="00BF656E" w:rsidRDefault="00CD30EE" w:rsidP="00165700">
      <w:pPr>
        <w:numPr>
          <w:ilvl w:val="0"/>
          <w:numId w:val="5"/>
        </w:numPr>
        <w:spacing w:line="256" w:lineRule="auto"/>
        <w:jc w:val="both"/>
        <w:rPr>
          <w:sz w:val="18"/>
          <w:szCs w:val="18"/>
        </w:rPr>
      </w:pPr>
      <w:r w:rsidRPr="00BF656E">
        <w:rPr>
          <w:sz w:val="18"/>
          <w:szCs w:val="18"/>
        </w:rPr>
        <w:t>la précipitation des départs a fait perdre des compétences au site</w:t>
      </w:r>
      <w:r w:rsidR="00680E7A">
        <w:rPr>
          <w:sz w:val="18"/>
          <w:szCs w:val="18"/>
        </w:rPr>
        <w:t>,</w:t>
      </w:r>
      <w:r w:rsidRPr="00BF656E">
        <w:rPr>
          <w:sz w:val="18"/>
          <w:szCs w:val="18"/>
        </w:rPr>
        <w:t xml:space="preserve"> et n’a pas permis un transfert suffisant des savoir-faire et des compétences mettant en risque la performance du site</w:t>
      </w:r>
      <w:r w:rsidR="00165700" w:rsidRPr="00BF656E">
        <w:rPr>
          <w:sz w:val="18"/>
          <w:szCs w:val="18"/>
        </w:rPr>
        <w:t>.</w:t>
      </w:r>
    </w:p>
    <w:p w:rsidR="00CD30EE" w:rsidRPr="00BF656E" w:rsidRDefault="00CD30EE" w:rsidP="00165700">
      <w:pPr>
        <w:numPr>
          <w:ilvl w:val="0"/>
          <w:numId w:val="5"/>
        </w:numPr>
        <w:spacing w:line="256" w:lineRule="auto"/>
        <w:jc w:val="both"/>
        <w:rPr>
          <w:sz w:val="18"/>
          <w:szCs w:val="18"/>
        </w:rPr>
      </w:pPr>
      <w:r w:rsidRPr="00BF656E">
        <w:rPr>
          <w:bCs/>
          <w:sz w:val="18"/>
          <w:szCs w:val="18"/>
        </w:rPr>
        <w:t>Le développement de la polyvalence exige un accompagnement, un délai de mise en place et un dispositif de valorisation à construire</w:t>
      </w:r>
      <w:r w:rsidR="00165700" w:rsidRPr="00BF656E">
        <w:rPr>
          <w:bCs/>
          <w:sz w:val="18"/>
          <w:szCs w:val="18"/>
        </w:rPr>
        <w:t>.</w:t>
      </w:r>
    </w:p>
    <w:p w:rsidR="00CD30EE" w:rsidRPr="00BF656E" w:rsidRDefault="00CD30EE" w:rsidP="00165700">
      <w:pPr>
        <w:numPr>
          <w:ilvl w:val="0"/>
          <w:numId w:val="5"/>
        </w:numPr>
        <w:spacing w:line="256" w:lineRule="auto"/>
        <w:jc w:val="both"/>
        <w:rPr>
          <w:bCs/>
          <w:sz w:val="18"/>
          <w:szCs w:val="18"/>
        </w:rPr>
      </w:pPr>
      <w:r w:rsidRPr="00BF656E">
        <w:rPr>
          <w:bCs/>
          <w:sz w:val="18"/>
          <w:szCs w:val="18"/>
        </w:rPr>
        <w:t>Les équilibres vont être très fragiles à maintenir dans un climat de RPS accentués par le contexte ; par ailleurs, le désengagement des partants d’un côté et des restants de l’autre, nécessite de mettre en place des moyens pour remobiliser le collectif de travail</w:t>
      </w:r>
      <w:r w:rsidR="00ED3CFB" w:rsidRPr="00BF656E">
        <w:rPr>
          <w:bCs/>
          <w:sz w:val="18"/>
          <w:szCs w:val="18"/>
        </w:rPr>
        <w:t xml:space="preserve">. </w:t>
      </w:r>
      <w:r w:rsidR="00165700" w:rsidRPr="00BF656E">
        <w:rPr>
          <w:bCs/>
          <w:sz w:val="18"/>
          <w:szCs w:val="18"/>
        </w:rPr>
        <w:t xml:space="preserve"> </w:t>
      </w:r>
      <w:r w:rsidR="00ED3CFB" w:rsidRPr="00BF656E">
        <w:rPr>
          <w:bCs/>
          <w:sz w:val="18"/>
          <w:szCs w:val="18"/>
        </w:rPr>
        <w:t xml:space="preserve">Il faut remettre en place les formations métier. </w:t>
      </w:r>
    </w:p>
    <w:p w:rsidR="00CD30EE" w:rsidRPr="00BF656E" w:rsidRDefault="00CD30EE" w:rsidP="00CD30EE">
      <w:pPr>
        <w:spacing w:before="360"/>
        <w:rPr>
          <w:b/>
          <w:bCs/>
          <w:sz w:val="18"/>
          <w:szCs w:val="18"/>
        </w:rPr>
      </w:pPr>
      <w:r w:rsidRPr="00BF656E">
        <w:rPr>
          <w:b/>
          <w:bCs/>
          <w:sz w:val="18"/>
          <w:szCs w:val="18"/>
        </w:rPr>
        <w:t xml:space="preserve">Dans ce contexte, l’avenir du site et de ses emplois </w:t>
      </w:r>
      <w:r w:rsidR="00680E7A">
        <w:rPr>
          <w:b/>
          <w:bCs/>
          <w:sz w:val="18"/>
          <w:szCs w:val="18"/>
        </w:rPr>
        <w:t>sont</w:t>
      </w:r>
      <w:r w:rsidRPr="00BF656E">
        <w:rPr>
          <w:b/>
          <w:bCs/>
          <w:sz w:val="18"/>
          <w:szCs w:val="18"/>
        </w:rPr>
        <w:t xml:space="preserve"> menacé</w:t>
      </w:r>
      <w:r w:rsidR="00680E7A">
        <w:rPr>
          <w:b/>
          <w:bCs/>
          <w:sz w:val="18"/>
          <w:szCs w:val="18"/>
        </w:rPr>
        <w:t>s</w:t>
      </w:r>
      <w:r w:rsidRPr="00BF656E">
        <w:rPr>
          <w:b/>
          <w:bCs/>
          <w:sz w:val="18"/>
          <w:szCs w:val="18"/>
        </w:rPr>
        <w:t xml:space="preserve"> et appe</w:t>
      </w:r>
      <w:r w:rsidR="00680E7A">
        <w:rPr>
          <w:b/>
          <w:bCs/>
          <w:sz w:val="18"/>
          <w:szCs w:val="18"/>
        </w:rPr>
        <w:t xml:space="preserve">lle une réaction d’urgence. </w:t>
      </w:r>
      <w:r w:rsidRPr="00BF656E">
        <w:rPr>
          <w:b/>
          <w:bCs/>
          <w:sz w:val="18"/>
          <w:szCs w:val="18"/>
        </w:rPr>
        <w:t xml:space="preserve"> Saint-Girons doit devenir un site d’excellence ce qui nécessite la mobilisation de tous les acteurs :</w:t>
      </w:r>
    </w:p>
    <w:p w:rsidR="00CD30EE" w:rsidRPr="00BF656E" w:rsidRDefault="00CD30EE" w:rsidP="00CD30EE">
      <w:pPr>
        <w:numPr>
          <w:ilvl w:val="0"/>
          <w:numId w:val="5"/>
        </w:numPr>
        <w:spacing w:line="256" w:lineRule="auto"/>
        <w:rPr>
          <w:bCs/>
          <w:sz w:val="18"/>
          <w:szCs w:val="18"/>
        </w:rPr>
      </w:pPr>
      <w:r w:rsidRPr="00BF656E">
        <w:rPr>
          <w:bCs/>
          <w:sz w:val="18"/>
          <w:szCs w:val="18"/>
        </w:rPr>
        <w:t>Le Groupe SWM doit montrer sa volonté d’aller dans ce sens :</w:t>
      </w:r>
    </w:p>
    <w:p w:rsidR="00CD30EE" w:rsidRPr="00BF656E" w:rsidRDefault="00CD30EE" w:rsidP="00CD30EE">
      <w:pPr>
        <w:numPr>
          <w:ilvl w:val="1"/>
          <w:numId w:val="5"/>
        </w:numPr>
        <w:spacing w:line="256" w:lineRule="auto"/>
        <w:rPr>
          <w:bCs/>
          <w:sz w:val="18"/>
          <w:szCs w:val="18"/>
        </w:rPr>
      </w:pPr>
      <w:r w:rsidRPr="00BF656E">
        <w:rPr>
          <w:bCs/>
          <w:sz w:val="18"/>
          <w:szCs w:val="18"/>
        </w:rPr>
        <w:t>en résolvant de façon globale – comme le demandent les élus et les experts - et non par petits bouts les problèmes de pérennité du site</w:t>
      </w:r>
      <w:r w:rsidR="00165700" w:rsidRPr="00BF656E">
        <w:rPr>
          <w:bCs/>
          <w:sz w:val="18"/>
          <w:szCs w:val="18"/>
        </w:rPr>
        <w:t>.</w:t>
      </w:r>
    </w:p>
    <w:p w:rsidR="00CD30EE" w:rsidRPr="00BF656E" w:rsidRDefault="00CD30EE" w:rsidP="00CD30EE">
      <w:pPr>
        <w:numPr>
          <w:ilvl w:val="1"/>
          <w:numId w:val="5"/>
        </w:numPr>
        <w:spacing w:line="256" w:lineRule="auto"/>
        <w:rPr>
          <w:bCs/>
          <w:sz w:val="18"/>
          <w:szCs w:val="18"/>
        </w:rPr>
      </w:pPr>
      <w:r w:rsidRPr="00BF656E">
        <w:rPr>
          <w:bCs/>
          <w:sz w:val="18"/>
          <w:szCs w:val="18"/>
        </w:rPr>
        <w:t>par des investissements et en profitant du savoir-faire des partants</w:t>
      </w:r>
      <w:r w:rsidR="00680E7A">
        <w:rPr>
          <w:bCs/>
          <w:sz w:val="18"/>
          <w:szCs w:val="18"/>
        </w:rPr>
        <w:t>,</w:t>
      </w:r>
      <w:r w:rsidRPr="00BF656E">
        <w:rPr>
          <w:bCs/>
          <w:sz w:val="18"/>
          <w:szCs w:val="18"/>
        </w:rPr>
        <w:t xml:space="preserve"> (par des dispositifs de rappels volontaristes sous forme de tutorat)</w:t>
      </w:r>
      <w:r w:rsidR="00680E7A">
        <w:rPr>
          <w:bCs/>
          <w:sz w:val="18"/>
          <w:szCs w:val="18"/>
        </w:rPr>
        <w:t>,</w:t>
      </w:r>
      <w:r w:rsidRPr="00BF656E">
        <w:rPr>
          <w:bCs/>
          <w:sz w:val="18"/>
          <w:szCs w:val="18"/>
        </w:rPr>
        <w:t xml:space="preserve"> pour fiabiliser l’outil industriel et mettre au point de nouveaux produits sur le site dans le domaine des papiers spéciaux ultraminces à base de fibres végétales</w:t>
      </w:r>
      <w:r w:rsidR="00165700" w:rsidRPr="00BF656E">
        <w:rPr>
          <w:bCs/>
          <w:sz w:val="18"/>
          <w:szCs w:val="18"/>
        </w:rPr>
        <w:t>.</w:t>
      </w:r>
    </w:p>
    <w:p w:rsidR="00CD30EE" w:rsidRPr="00BF656E" w:rsidRDefault="00CD30EE" w:rsidP="00165700">
      <w:pPr>
        <w:numPr>
          <w:ilvl w:val="0"/>
          <w:numId w:val="5"/>
        </w:numPr>
        <w:spacing w:line="256" w:lineRule="auto"/>
        <w:jc w:val="both"/>
        <w:rPr>
          <w:bCs/>
          <w:sz w:val="18"/>
          <w:szCs w:val="18"/>
        </w:rPr>
      </w:pPr>
      <w:r w:rsidRPr="00BF656E">
        <w:rPr>
          <w:bCs/>
          <w:sz w:val="18"/>
          <w:szCs w:val="18"/>
        </w:rPr>
        <w:t>Les pouvoirs publics locaux doivent soutenir le site</w:t>
      </w:r>
      <w:r w:rsidR="00165700" w:rsidRPr="00BF656E">
        <w:rPr>
          <w:bCs/>
          <w:sz w:val="18"/>
          <w:szCs w:val="18"/>
        </w:rPr>
        <w:t>,</w:t>
      </w:r>
      <w:r w:rsidRPr="00BF656E">
        <w:rPr>
          <w:bCs/>
          <w:sz w:val="18"/>
          <w:szCs w:val="18"/>
        </w:rPr>
        <w:t xml:space="preserve"> en particulier en résolvant le problème structurel du site induit par la route qui le traverse</w:t>
      </w:r>
      <w:r w:rsidR="00165700" w:rsidRPr="00BF656E">
        <w:rPr>
          <w:bCs/>
          <w:sz w:val="18"/>
          <w:szCs w:val="18"/>
        </w:rPr>
        <w:t>.</w:t>
      </w:r>
    </w:p>
    <w:p w:rsidR="00CD30EE" w:rsidRPr="00BF656E" w:rsidRDefault="00CD30EE" w:rsidP="00165700">
      <w:pPr>
        <w:numPr>
          <w:ilvl w:val="0"/>
          <w:numId w:val="5"/>
        </w:numPr>
        <w:spacing w:line="256" w:lineRule="auto"/>
        <w:jc w:val="both"/>
        <w:rPr>
          <w:bCs/>
          <w:sz w:val="18"/>
          <w:szCs w:val="18"/>
        </w:rPr>
      </w:pPr>
      <w:r w:rsidRPr="00BF656E">
        <w:rPr>
          <w:bCs/>
          <w:sz w:val="18"/>
          <w:szCs w:val="18"/>
        </w:rPr>
        <w:t>Des groupes de travail impliquant les salariés à tous les niveaux doivent être crées</w:t>
      </w:r>
      <w:r w:rsidR="00165700" w:rsidRPr="00BF656E">
        <w:rPr>
          <w:bCs/>
          <w:sz w:val="18"/>
          <w:szCs w:val="18"/>
        </w:rPr>
        <w:t>,</w:t>
      </w:r>
      <w:r w:rsidRPr="00BF656E">
        <w:rPr>
          <w:bCs/>
          <w:sz w:val="18"/>
          <w:szCs w:val="18"/>
        </w:rPr>
        <w:t xml:space="preserve"> pour </w:t>
      </w:r>
      <w:r w:rsidR="000B43D0">
        <w:rPr>
          <w:bCs/>
          <w:sz w:val="18"/>
          <w:szCs w:val="18"/>
        </w:rPr>
        <w:t>améliorer la qualité et le procè</w:t>
      </w:r>
      <w:r w:rsidRPr="00BF656E">
        <w:rPr>
          <w:bCs/>
          <w:sz w:val="18"/>
          <w:szCs w:val="18"/>
        </w:rPr>
        <w:t>s</w:t>
      </w:r>
      <w:r w:rsidR="00BF656E" w:rsidRPr="00BF656E">
        <w:rPr>
          <w:bCs/>
          <w:sz w:val="18"/>
          <w:szCs w:val="18"/>
        </w:rPr>
        <w:t>,</w:t>
      </w:r>
      <w:r w:rsidRPr="00BF656E">
        <w:rPr>
          <w:bCs/>
          <w:sz w:val="18"/>
          <w:szCs w:val="18"/>
        </w:rPr>
        <w:t xml:space="preserve"> et mettre en place un dispositif de polyvalence</w:t>
      </w:r>
      <w:r w:rsidR="00680E7A">
        <w:rPr>
          <w:bCs/>
          <w:sz w:val="18"/>
          <w:szCs w:val="18"/>
        </w:rPr>
        <w:t>,</w:t>
      </w:r>
      <w:r w:rsidRPr="00BF656E">
        <w:rPr>
          <w:bCs/>
          <w:sz w:val="18"/>
          <w:szCs w:val="18"/>
        </w:rPr>
        <w:t xml:space="preserve"> (rendu nécessaire par la Direction du fait du flux tendu sur les effectifs)</w:t>
      </w:r>
      <w:r w:rsidR="00BF656E" w:rsidRPr="00BF656E">
        <w:rPr>
          <w:bCs/>
          <w:sz w:val="18"/>
          <w:szCs w:val="18"/>
        </w:rPr>
        <w:t>,</w:t>
      </w:r>
      <w:r w:rsidRPr="00BF656E">
        <w:rPr>
          <w:bCs/>
          <w:sz w:val="18"/>
          <w:szCs w:val="18"/>
        </w:rPr>
        <w:t xml:space="preserve"> garantissant le développement serein du collectif de travail</w:t>
      </w:r>
      <w:r w:rsidR="00BF656E" w:rsidRPr="00BF656E">
        <w:rPr>
          <w:bCs/>
          <w:sz w:val="18"/>
          <w:szCs w:val="18"/>
        </w:rPr>
        <w:t>.</w:t>
      </w:r>
    </w:p>
    <w:p w:rsidR="00677806" w:rsidRPr="00BF656E" w:rsidRDefault="00677806" w:rsidP="00677806">
      <w:pPr>
        <w:spacing w:before="360"/>
        <w:rPr>
          <w:b/>
          <w:bCs/>
          <w:sz w:val="18"/>
          <w:szCs w:val="18"/>
        </w:rPr>
      </w:pPr>
      <w:r w:rsidRPr="00BF656E">
        <w:rPr>
          <w:b/>
          <w:bCs/>
          <w:sz w:val="18"/>
          <w:szCs w:val="18"/>
        </w:rPr>
        <w:t>Comme prévu par le code du travail, le Comité d’Entreprise a demandé au Conseil d’Administration de répondre au Comité d’Entreprise sur ces propositions</w:t>
      </w:r>
      <w:r w:rsidR="00BF656E" w:rsidRPr="00BF656E">
        <w:rPr>
          <w:b/>
          <w:bCs/>
          <w:sz w:val="18"/>
          <w:szCs w:val="18"/>
        </w:rPr>
        <w:t>.</w:t>
      </w:r>
    </w:p>
    <w:p w:rsidR="00677806" w:rsidRPr="00BF656E" w:rsidRDefault="00677806" w:rsidP="00677806">
      <w:pPr>
        <w:rPr>
          <w:sz w:val="18"/>
          <w:szCs w:val="18"/>
        </w:rPr>
      </w:pPr>
      <w:r w:rsidRPr="00BF656E">
        <w:rPr>
          <w:sz w:val="18"/>
          <w:szCs w:val="18"/>
        </w:rPr>
        <w:t>De plus, le Comité d’Entreprise va organiser une présentation détaillée de ces conclusions et préconisations par les experts à tous les salariés</w:t>
      </w:r>
      <w:r w:rsidR="00680E7A">
        <w:rPr>
          <w:sz w:val="18"/>
          <w:szCs w:val="18"/>
        </w:rPr>
        <w:t>,</w:t>
      </w:r>
      <w:bookmarkStart w:id="0" w:name="_GoBack"/>
      <w:bookmarkEnd w:id="0"/>
      <w:r w:rsidRPr="00BF656E">
        <w:rPr>
          <w:sz w:val="18"/>
          <w:szCs w:val="18"/>
        </w:rPr>
        <w:t xml:space="preserve"> et il va organiser une consultation de tous les salariés sur ces propositions</w:t>
      </w:r>
      <w:r w:rsidR="00BF656E" w:rsidRPr="00BF656E">
        <w:rPr>
          <w:sz w:val="18"/>
          <w:szCs w:val="18"/>
        </w:rPr>
        <w:t>.</w:t>
      </w:r>
    </w:p>
    <w:p w:rsidR="00677806" w:rsidRPr="00BF656E" w:rsidRDefault="00677806" w:rsidP="00677806">
      <w:pPr>
        <w:jc w:val="center"/>
        <w:rPr>
          <w:b/>
          <w:sz w:val="24"/>
          <w:szCs w:val="24"/>
        </w:rPr>
      </w:pPr>
      <w:r w:rsidRPr="00BF656E">
        <w:rPr>
          <w:b/>
          <w:sz w:val="24"/>
          <w:szCs w:val="24"/>
        </w:rPr>
        <w:t>L’avenir de notr</w:t>
      </w:r>
      <w:r w:rsidR="006F395B" w:rsidRPr="00BF656E">
        <w:rPr>
          <w:b/>
          <w:sz w:val="24"/>
          <w:szCs w:val="24"/>
        </w:rPr>
        <w:t>e site et de tous ses emplois sont</w:t>
      </w:r>
      <w:r w:rsidRPr="00BF656E">
        <w:rPr>
          <w:b/>
          <w:sz w:val="24"/>
          <w:szCs w:val="24"/>
        </w:rPr>
        <w:t xml:space="preserve"> en jeu !</w:t>
      </w:r>
    </w:p>
    <w:sectPr w:rsidR="00677806" w:rsidRPr="00BF656E" w:rsidSect="00660D83">
      <w:pgSz w:w="12240" w:h="15840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90B26"/>
    <w:multiLevelType w:val="hybridMultilevel"/>
    <w:tmpl w:val="B54A494E"/>
    <w:lvl w:ilvl="0" w:tplc="50BA7E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17341"/>
    <w:multiLevelType w:val="hybridMultilevel"/>
    <w:tmpl w:val="C7CEC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B729E"/>
    <w:multiLevelType w:val="hybridMultilevel"/>
    <w:tmpl w:val="E1BCA016"/>
    <w:lvl w:ilvl="0" w:tplc="E8301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5A003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C8FE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B07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528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5E96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8439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040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3828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94"/>
    <w:rsid w:val="000B43D0"/>
    <w:rsid w:val="000B7ECF"/>
    <w:rsid w:val="001003CD"/>
    <w:rsid w:val="00165700"/>
    <w:rsid w:val="002732FB"/>
    <w:rsid w:val="0039102F"/>
    <w:rsid w:val="003F49E4"/>
    <w:rsid w:val="00566B7C"/>
    <w:rsid w:val="005C6257"/>
    <w:rsid w:val="00660D83"/>
    <w:rsid w:val="00677806"/>
    <w:rsid w:val="00680E7A"/>
    <w:rsid w:val="00697ECA"/>
    <w:rsid w:val="006C2436"/>
    <w:rsid w:val="006E20B8"/>
    <w:rsid w:val="006F395B"/>
    <w:rsid w:val="0080326C"/>
    <w:rsid w:val="008A7261"/>
    <w:rsid w:val="00A23971"/>
    <w:rsid w:val="00A36A5C"/>
    <w:rsid w:val="00A919BE"/>
    <w:rsid w:val="00AC3D94"/>
    <w:rsid w:val="00B03A9D"/>
    <w:rsid w:val="00BF656E"/>
    <w:rsid w:val="00CD30EE"/>
    <w:rsid w:val="00D84B6E"/>
    <w:rsid w:val="00DD6E83"/>
    <w:rsid w:val="00DD780A"/>
    <w:rsid w:val="00ED3CFB"/>
    <w:rsid w:val="00E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51C43-27B0-49F6-8BD9-4641BC91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7ECF"/>
    <w:pPr>
      <w:ind w:left="720"/>
      <w:contextualSpacing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EF590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6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56E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Daynac</dc:creator>
  <cp:lastModifiedBy>Perso</cp:lastModifiedBy>
  <cp:revision>3</cp:revision>
  <cp:lastPrinted>2016-07-13T08:53:00Z</cp:lastPrinted>
  <dcterms:created xsi:type="dcterms:W3CDTF">2016-07-11T08:11:00Z</dcterms:created>
  <dcterms:modified xsi:type="dcterms:W3CDTF">2016-07-13T08:53:00Z</dcterms:modified>
</cp:coreProperties>
</file>