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413D2" w14:textId="2D60D31B" w:rsidR="002E5246" w:rsidRPr="00205909" w:rsidRDefault="001934A7" w:rsidP="007F1788">
      <w:pPr>
        <w:spacing w:after="0" w:line="240" w:lineRule="auto"/>
        <w:jc w:val="center"/>
        <w:rPr>
          <w:rFonts w:ascii="Garamond" w:hAnsi="Garamond" w:cs="Times New Roman"/>
          <w:b/>
          <w:bCs/>
          <w:smallCaps/>
          <w:sz w:val="28"/>
          <w:szCs w:val="28"/>
        </w:rPr>
      </w:pPr>
      <w:bookmarkStart w:id="0" w:name="_Hlk179993202"/>
      <w:proofErr w:type="spellStart"/>
      <w:r w:rsidRPr="00205909">
        <w:rPr>
          <w:rFonts w:ascii="Garamond" w:hAnsi="Garamond" w:cs="Times New Roman"/>
          <w:b/>
          <w:bCs/>
          <w:i/>
          <w:iCs/>
          <w:smallCaps/>
          <w:sz w:val="28"/>
          <w:szCs w:val="28"/>
        </w:rPr>
        <w:t>l</w:t>
      </w:r>
      <w:r w:rsidR="00882A29" w:rsidRPr="00205909">
        <w:rPr>
          <w:rFonts w:ascii="Garamond" w:hAnsi="Garamond" w:cs="Times New Roman"/>
          <w:b/>
          <w:bCs/>
          <w:i/>
          <w:iCs/>
          <w:smallCaps/>
          <w:sz w:val="28"/>
          <w:szCs w:val="28"/>
        </w:rPr>
        <w:t>awfare</w:t>
      </w:r>
      <w:proofErr w:type="spellEnd"/>
      <w:r w:rsidR="006A0E31" w:rsidRPr="00205909">
        <w:rPr>
          <w:rFonts w:ascii="Garamond" w:hAnsi="Garamond" w:cs="Times New Roman"/>
          <w:b/>
          <w:bCs/>
          <w:smallCaps/>
          <w:sz w:val="28"/>
          <w:szCs w:val="28"/>
        </w:rPr>
        <w:t> </w:t>
      </w:r>
      <w:r w:rsidR="002E5246" w:rsidRPr="00205909">
        <w:rPr>
          <w:rFonts w:ascii="Garamond" w:hAnsi="Garamond" w:cs="Times New Roman"/>
          <w:b/>
          <w:bCs/>
          <w:smallCaps/>
          <w:sz w:val="28"/>
          <w:szCs w:val="28"/>
        </w:rPr>
        <w:t>et contre-</w:t>
      </w:r>
      <w:proofErr w:type="spellStart"/>
      <w:r w:rsidR="002E5246" w:rsidRPr="00205909">
        <w:rPr>
          <w:rFonts w:ascii="Garamond" w:hAnsi="Garamond" w:cs="Times New Roman"/>
          <w:b/>
          <w:bCs/>
          <w:i/>
          <w:iCs/>
          <w:smallCaps/>
          <w:sz w:val="28"/>
          <w:szCs w:val="28"/>
        </w:rPr>
        <w:t>lawfare</w:t>
      </w:r>
      <w:proofErr w:type="spellEnd"/>
      <w:r w:rsidR="007D62B5" w:rsidRPr="00205909">
        <w:rPr>
          <w:rFonts w:ascii="Garamond" w:hAnsi="Garamond" w:cs="Times New Roman"/>
          <w:b/>
          <w:bCs/>
          <w:smallCaps/>
          <w:sz w:val="28"/>
          <w:szCs w:val="28"/>
        </w:rPr>
        <w:t> : la règle de droit comme arme de guerre</w:t>
      </w:r>
    </w:p>
    <w:p w14:paraId="27E8BF79" w14:textId="77777777" w:rsidR="007D62B5" w:rsidRPr="00205909" w:rsidRDefault="007D62B5" w:rsidP="007F1788">
      <w:pPr>
        <w:spacing w:after="0" w:line="240" w:lineRule="auto"/>
        <w:jc w:val="center"/>
        <w:rPr>
          <w:rFonts w:ascii="Garamond" w:hAnsi="Garamond" w:cs="Times New Roman"/>
          <w:b/>
          <w:bCs/>
          <w:smallCaps/>
          <w:sz w:val="24"/>
          <w:szCs w:val="24"/>
        </w:rPr>
      </w:pPr>
    </w:p>
    <w:p w14:paraId="39C3118B" w14:textId="54EE70A5" w:rsidR="007D62B5" w:rsidRPr="00205909" w:rsidRDefault="007D62B5" w:rsidP="007F1788">
      <w:pPr>
        <w:spacing w:after="0" w:line="240" w:lineRule="auto"/>
        <w:jc w:val="center"/>
        <w:rPr>
          <w:rFonts w:ascii="Garamond" w:hAnsi="Garamond" w:cs="Times New Roman"/>
          <w:sz w:val="24"/>
          <w:szCs w:val="24"/>
        </w:rPr>
      </w:pPr>
      <w:r w:rsidRPr="00205909">
        <w:rPr>
          <w:rFonts w:ascii="Garamond" w:hAnsi="Garamond" w:cs="Times New Roman"/>
          <w:sz w:val="24"/>
          <w:szCs w:val="24"/>
        </w:rPr>
        <w:t>D. Mainguy</w:t>
      </w:r>
    </w:p>
    <w:p w14:paraId="56A8C195" w14:textId="444C4F93" w:rsidR="00CF32E1" w:rsidRPr="00205909" w:rsidRDefault="00C4053C" w:rsidP="00C4053C">
      <w:pPr>
        <w:widowControl w:val="0"/>
        <w:spacing w:after="0" w:line="240" w:lineRule="auto"/>
        <w:ind w:right="-1"/>
        <w:jc w:val="center"/>
        <w:rPr>
          <w:rFonts w:ascii="Garamond" w:hAnsi="Garamond" w:cs="Times New Roman"/>
          <w:sz w:val="24"/>
          <w:szCs w:val="24"/>
        </w:rPr>
      </w:pPr>
      <w:bookmarkStart w:id="1" w:name="_Ref130198353"/>
      <w:r w:rsidRPr="00205909">
        <w:rPr>
          <w:rFonts w:ascii="Garamond" w:hAnsi="Garamond" w:cs="Times New Roman"/>
          <w:sz w:val="24"/>
          <w:szCs w:val="24"/>
        </w:rPr>
        <w:t xml:space="preserve">Professeur à l’École de droit de la Sorbonne, Université Paris I Panthéon-Sorbonne (Sorbonne Arbitrage, Clinique Juridique </w:t>
      </w:r>
      <w:proofErr w:type="spellStart"/>
      <w:r w:rsidRPr="00205909">
        <w:rPr>
          <w:rFonts w:ascii="Garamond" w:hAnsi="Garamond" w:cs="Times New Roman"/>
          <w:sz w:val="24"/>
          <w:szCs w:val="24"/>
        </w:rPr>
        <w:t>Lawfare</w:t>
      </w:r>
      <w:proofErr w:type="spellEnd"/>
      <w:r w:rsidRPr="00205909">
        <w:rPr>
          <w:rFonts w:ascii="Garamond" w:hAnsi="Garamond" w:cs="Times New Roman"/>
          <w:sz w:val="24"/>
          <w:szCs w:val="24"/>
        </w:rPr>
        <w:t xml:space="preserve"> de la Sorbonne)</w:t>
      </w:r>
    </w:p>
    <w:p w14:paraId="26DA8D5D" w14:textId="77777777" w:rsidR="006A0E31" w:rsidRPr="00205909" w:rsidRDefault="006A0E31" w:rsidP="007F1788">
      <w:pPr>
        <w:widowControl w:val="0"/>
        <w:spacing w:after="0" w:line="240" w:lineRule="auto"/>
        <w:ind w:right="-1"/>
        <w:jc w:val="both"/>
        <w:rPr>
          <w:rFonts w:ascii="Garamond" w:hAnsi="Garamond" w:cs="Times New Roman"/>
          <w:sz w:val="24"/>
          <w:szCs w:val="24"/>
        </w:rPr>
      </w:pPr>
    </w:p>
    <w:p w14:paraId="52297052" w14:textId="77777777" w:rsidR="00F017DC" w:rsidRPr="00205909" w:rsidRDefault="007F1788" w:rsidP="00F017DC">
      <w:pPr>
        <w:widowControl w:val="0"/>
        <w:numPr>
          <w:ilvl w:val="0"/>
          <w:numId w:val="2"/>
        </w:numPr>
        <w:spacing w:after="0" w:line="240" w:lineRule="auto"/>
        <w:ind w:right="-1"/>
        <w:jc w:val="both"/>
        <w:rPr>
          <w:rFonts w:ascii="Garamond" w:hAnsi="Garamond" w:cs="Times New Roman"/>
          <w:b/>
          <w:bCs/>
          <w:sz w:val="24"/>
          <w:szCs w:val="24"/>
        </w:rPr>
      </w:pPr>
      <w:r w:rsidRPr="00205909">
        <w:rPr>
          <w:rFonts w:ascii="Garamond" w:hAnsi="Garamond" w:cs="Times New Roman"/>
          <w:sz w:val="24"/>
          <w:szCs w:val="24"/>
        </w:rPr>
        <w:t xml:space="preserve">La guerre aux </w:t>
      </w:r>
      <w:r w:rsidR="00324028" w:rsidRPr="00205909">
        <w:rPr>
          <w:rFonts w:ascii="Garamond" w:hAnsi="Garamond" w:cs="Times New Roman"/>
          <w:sz w:val="24"/>
          <w:szCs w:val="24"/>
        </w:rPr>
        <w:t>portes</w:t>
      </w:r>
      <w:r w:rsidRPr="00205909">
        <w:rPr>
          <w:rFonts w:ascii="Garamond" w:hAnsi="Garamond" w:cs="Times New Roman"/>
          <w:sz w:val="24"/>
          <w:szCs w:val="24"/>
        </w:rPr>
        <w:t xml:space="preserve"> de l’Europe, qui menace d’enflammer le monde, </w:t>
      </w:r>
      <w:r w:rsidR="00CA3C5F" w:rsidRPr="00205909">
        <w:rPr>
          <w:rFonts w:ascii="Garamond" w:hAnsi="Garamond" w:cs="Times New Roman"/>
          <w:sz w:val="24"/>
          <w:szCs w:val="24"/>
        </w:rPr>
        <w:t xml:space="preserve">la guerre au Moyen-Orient, celle </w:t>
      </w:r>
      <w:r w:rsidR="002407E9" w:rsidRPr="00205909">
        <w:rPr>
          <w:rFonts w:ascii="Garamond" w:hAnsi="Garamond" w:cs="Times New Roman"/>
          <w:sz w:val="24"/>
          <w:szCs w:val="24"/>
        </w:rPr>
        <w:t xml:space="preserve">qui </w:t>
      </w:r>
      <w:r w:rsidR="00CA3C5F" w:rsidRPr="00205909">
        <w:rPr>
          <w:rFonts w:ascii="Garamond" w:hAnsi="Garamond" w:cs="Times New Roman"/>
          <w:sz w:val="24"/>
          <w:szCs w:val="24"/>
        </w:rPr>
        <w:t xml:space="preserve">couve en </w:t>
      </w:r>
      <w:r w:rsidR="002407E9" w:rsidRPr="00205909">
        <w:rPr>
          <w:rFonts w:ascii="Garamond" w:hAnsi="Garamond" w:cs="Times New Roman"/>
          <w:sz w:val="24"/>
          <w:szCs w:val="24"/>
        </w:rPr>
        <w:t xml:space="preserve">Mer de Chine </w:t>
      </w:r>
      <w:r w:rsidR="001215BF" w:rsidRPr="00205909">
        <w:rPr>
          <w:rFonts w:ascii="Garamond" w:hAnsi="Garamond" w:cs="Times New Roman"/>
          <w:sz w:val="24"/>
          <w:szCs w:val="24"/>
        </w:rPr>
        <w:t>méridionale</w:t>
      </w:r>
      <w:r w:rsidR="002407E9" w:rsidRPr="00205909">
        <w:rPr>
          <w:rFonts w:ascii="Garamond" w:hAnsi="Garamond" w:cs="Times New Roman"/>
          <w:sz w:val="24"/>
          <w:szCs w:val="24"/>
        </w:rPr>
        <w:t>, les conflits en Afrique, dans le Sahel, au Soudan</w:t>
      </w:r>
      <w:r w:rsidR="00CA3C5F" w:rsidRPr="00205909">
        <w:rPr>
          <w:rFonts w:ascii="Garamond" w:hAnsi="Garamond" w:cs="Times New Roman"/>
          <w:sz w:val="24"/>
          <w:szCs w:val="24"/>
        </w:rPr>
        <w:t xml:space="preserve">, sont des </w:t>
      </w:r>
      <w:r w:rsidRPr="00205909">
        <w:rPr>
          <w:rFonts w:ascii="Garamond" w:hAnsi="Garamond" w:cs="Times New Roman"/>
          <w:sz w:val="24"/>
          <w:szCs w:val="24"/>
        </w:rPr>
        <w:t>réalité</w:t>
      </w:r>
      <w:r w:rsidR="00CA3C5F" w:rsidRPr="00205909">
        <w:rPr>
          <w:rFonts w:ascii="Garamond" w:hAnsi="Garamond" w:cs="Times New Roman"/>
          <w:sz w:val="24"/>
          <w:szCs w:val="24"/>
        </w:rPr>
        <w:t>s</w:t>
      </w:r>
      <w:r w:rsidRPr="00205909">
        <w:rPr>
          <w:rFonts w:ascii="Garamond" w:hAnsi="Garamond" w:cs="Times New Roman"/>
          <w:sz w:val="24"/>
          <w:szCs w:val="24"/>
        </w:rPr>
        <w:t xml:space="preserve"> qui</w:t>
      </w:r>
      <w:r w:rsidR="00CA3C5F" w:rsidRPr="00205909">
        <w:rPr>
          <w:rFonts w:ascii="Garamond" w:hAnsi="Garamond" w:cs="Times New Roman"/>
          <w:sz w:val="24"/>
          <w:szCs w:val="24"/>
        </w:rPr>
        <w:t>, ajoutés à bien d’autres conflits en cours ou latents, en Afrique, en Amérique centrale, en Asie, etc.,</w:t>
      </w:r>
      <w:r w:rsidRPr="00205909">
        <w:rPr>
          <w:rFonts w:ascii="Garamond" w:hAnsi="Garamond" w:cs="Times New Roman"/>
          <w:sz w:val="24"/>
          <w:szCs w:val="24"/>
        </w:rPr>
        <w:t xml:space="preserve"> condui</w:t>
      </w:r>
      <w:r w:rsidR="00CA3C5F" w:rsidRPr="00205909">
        <w:rPr>
          <w:rFonts w:ascii="Garamond" w:hAnsi="Garamond" w:cs="Times New Roman"/>
          <w:sz w:val="24"/>
          <w:szCs w:val="24"/>
        </w:rPr>
        <w:t>sen</w:t>
      </w:r>
      <w:r w:rsidRPr="00205909">
        <w:rPr>
          <w:rFonts w:ascii="Garamond" w:hAnsi="Garamond" w:cs="Times New Roman"/>
          <w:sz w:val="24"/>
          <w:szCs w:val="24"/>
        </w:rPr>
        <w:t xml:space="preserve">t à divers types de réactions juridiques : loi de programmation militaire en hausse, programmes de production dans une « économie de guerre » en construction, </w:t>
      </w:r>
      <w:r w:rsidR="00324028" w:rsidRPr="00205909">
        <w:rPr>
          <w:rFonts w:ascii="Garamond" w:hAnsi="Garamond" w:cs="Times New Roman"/>
          <w:sz w:val="24"/>
          <w:szCs w:val="24"/>
        </w:rPr>
        <w:t xml:space="preserve">division du monde en au moins deux camps, </w:t>
      </w:r>
      <w:r w:rsidRPr="00205909">
        <w:rPr>
          <w:rFonts w:ascii="Garamond" w:hAnsi="Garamond" w:cs="Times New Roman"/>
          <w:sz w:val="24"/>
          <w:szCs w:val="24"/>
        </w:rPr>
        <w:t>resserrement des rangs dans chaque camp, contestation générale des règles internationales et, bien entendu, mobilisation plus ou moins de bonne foi des règles du droit international humanitaire</w:t>
      </w:r>
      <w:r w:rsidRPr="00205909">
        <w:rPr>
          <w:rStyle w:val="Appelnotedebasdep"/>
          <w:rFonts w:ascii="Garamond" w:hAnsi="Garamond" w:cs="Times New Roman"/>
          <w:sz w:val="24"/>
          <w:szCs w:val="24"/>
        </w:rPr>
        <w:footnoteReference w:id="1"/>
      </w:r>
      <w:r w:rsidRPr="00205909">
        <w:rPr>
          <w:rFonts w:ascii="Garamond" w:hAnsi="Garamond" w:cs="Times New Roman"/>
          <w:sz w:val="24"/>
          <w:szCs w:val="24"/>
        </w:rPr>
        <w:t>, etc.</w:t>
      </w:r>
    </w:p>
    <w:p w14:paraId="5C523321" w14:textId="58806ED9" w:rsidR="00F017DC" w:rsidRPr="00205909" w:rsidRDefault="007F1788" w:rsidP="00F017DC">
      <w:pPr>
        <w:widowControl w:val="0"/>
        <w:spacing w:after="0" w:line="240" w:lineRule="auto"/>
        <w:ind w:left="454" w:right="-1"/>
        <w:jc w:val="both"/>
        <w:rPr>
          <w:rFonts w:ascii="Garamond" w:hAnsi="Garamond" w:cs="Times New Roman"/>
          <w:b/>
          <w:bCs/>
          <w:sz w:val="24"/>
          <w:szCs w:val="24"/>
        </w:rPr>
      </w:pPr>
      <w:r w:rsidRPr="00205909">
        <w:rPr>
          <w:rFonts w:ascii="Garamond" w:hAnsi="Garamond" w:cs="Times New Roman"/>
          <w:sz w:val="24"/>
          <w:szCs w:val="24"/>
        </w:rPr>
        <w:t xml:space="preserve"> </w:t>
      </w:r>
    </w:p>
    <w:p w14:paraId="56E1A720" w14:textId="259EE8B5" w:rsidR="00CA3C5F" w:rsidRPr="00205909" w:rsidRDefault="007F1788" w:rsidP="00F017DC">
      <w:pPr>
        <w:widowControl w:val="0"/>
        <w:numPr>
          <w:ilvl w:val="0"/>
          <w:numId w:val="2"/>
        </w:numPr>
        <w:spacing w:after="0" w:line="240" w:lineRule="auto"/>
        <w:ind w:right="-1"/>
        <w:jc w:val="both"/>
        <w:rPr>
          <w:rFonts w:ascii="Garamond" w:hAnsi="Garamond" w:cs="Times New Roman"/>
          <w:b/>
          <w:bCs/>
          <w:sz w:val="24"/>
          <w:szCs w:val="24"/>
        </w:rPr>
      </w:pPr>
      <w:r w:rsidRPr="00205909">
        <w:rPr>
          <w:rFonts w:ascii="Garamond" w:hAnsi="Garamond" w:cs="Times New Roman"/>
          <w:sz w:val="24"/>
          <w:szCs w:val="24"/>
        </w:rPr>
        <w:t xml:space="preserve">La </w:t>
      </w:r>
      <w:r w:rsidR="00CA3C5F" w:rsidRPr="00205909">
        <w:rPr>
          <w:rFonts w:ascii="Garamond" w:hAnsi="Garamond" w:cs="Times New Roman"/>
          <w:sz w:val="24"/>
          <w:szCs w:val="24"/>
        </w:rPr>
        <w:t xml:space="preserve">représentation de la « guerre », </w:t>
      </w:r>
      <w:r w:rsidR="001215BF" w:rsidRPr="00205909">
        <w:rPr>
          <w:rFonts w:ascii="Garamond" w:hAnsi="Garamond" w:cs="Times New Roman"/>
          <w:sz w:val="24"/>
          <w:szCs w:val="24"/>
        </w:rPr>
        <w:t xml:space="preserve">pour </w:t>
      </w:r>
      <w:r w:rsidR="00CA3C5F" w:rsidRPr="00205909">
        <w:rPr>
          <w:rFonts w:ascii="Garamond" w:hAnsi="Garamond" w:cs="Times New Roman"/>
          <w:sz w:val="24"/>
          <w:szCs w:val="24"/>
        </w:rPr>
        <w:t>la plupart des esprits</w:t>
      </w:r>
      <w:r w:rsidR="001215BF" w:rsidRPr="00205909">
        <w:rPr>
          <w:rFonts w:ascii="Garamond" w:hAnsi="Garamond" w:cs="Times New Roman"/>
          <w:sz w:val="24"/>
          <w:szCs w:val="24"/>
        </w:rPr>
        <w:t>,</w:t>
      </w:r>
      <w:r w:rsidR="00CA3C5F" w:rsidRPr="00205909">
        <w:rPr>
          <w:rFonts w:ascii="Garamond" w:hAnsi="Garamond" w:cs="Times New Roman"/>
          <w:sz w:val="24"/>
          <w:szCs w:val="24"/>
        </w:rPr>
        <w:t xml:space="preserve"> correspond à ce type d’exemple, la </w:t>
      </w:r>
      <w:r w:rsidRPr="00205909">
        <w:rPr>
          <w:rFonts w:ascii="Garamond" w:hAnsi="Garamond" w:cs="Times New Roman"/>
          <w:sz w:val="24"/>
          <w:szCs w:val="24"/>
        </w:rPr>
        <w:t xml:space="preserve">conflictualité des relations </w:t>
      </w:r>
      <w:r w:rsidR="00324028" w:rsidRPr="00205909">
        <w:rPr>
          <w:rFonts w:ascii="Garamond" w:hAnsi="Garamond" w:cs="Times New Roman"/>
          <w:sz w:val="24"/>
          <w:szCs w:val="24"/>
        </w:rPr>
        <w:t>entre Etats</w:t>
      </w:r>
      <w:r w:rsidR="00CA3C5F" w:rsidRPr="00205909">
        <w:rPr>
          <w:rFonts w:ascii="Garamond" w:hAnsi="Garamond" w:cs="Times New Roman"/>
          <w:sz w:val="24"/>
          <w:szCs w:val="24"/>
        </w:rPr>
        <w:t>. Elle masque une autre réalité, celle</w:t>
      </w:r>
      <w:r w:rsidR="00324028" w:rsidRPr="00205909">
        <w:rPr>
          <w:rFonts w:ascii="Garamond" w:hAnsi="Garamond" w:cs="Times New Roman"/>
          <w:sz w:val="24"/>
          <w:szCs w:val="24"/>
        </w:rPr>
        <w:t xml:space="preserve"> </w:t>
      </w:r>
      <w:r w:rsidR="00CA3C5F" w:rsidRPr="00205909">
        <w:rPr>
          <w:rFonts w:ascii="Garamond" w:hAnsi="Garamond" w:cs="Times New Roman"/>
          <w:sz w:val="24"/>
          <w:szCs w:val="24"/>
        </w:rPr>
        <w:t xml:space="preserve">existant </w:t>
      </w:r>
      <w:r w:rsidR="00324028" w:rsidRPr="00205909">
        <w:rPr>
          <w:rFonts w:ascii="Garamond" w:hAnsi="Garamond" w:cs="Times New Roman"/>
          <w:sz w:val="24"/>
          <w:szCs w:val="24"/>
        </w:rPr>
        <w:t>entre ressortissants et entités de ces Etats</w:t>
      </w:r>
      <w:r w:rsidR="00CA3C5F" w:rsidRPr="00205909">
        <w:rPr>
          <w:rFonts w:ascii="Garamond" w:hAnsi="Garamond" w:cs="Times New Roman"/>
          <w:sz w:val="24"/>
          <w:szCs w:val="24"/>
        </w:rPr>
        <w:t xml:space="preserve">, ou contre des Etats, qui prennent des formes </w:t>
      </w:r>
      <w:r w:rsidRPr="00205909">
        <w:rPr>
          <w:rFonts w:ascii="Garamond" w:hAnsi="Garamond" w:cs="Times New Roman"/>
          <w:sz w:val="24"/>
          <w:szCs w:val="24"/>
        </w:rPr>
        <w:t xml:space="preserve">diverses </w:t>
      </w:r>
      <w:r w:rsidR="00CA3C5F" w:rsidRPr="00205909">
        <w:rPr>
          <w:rFonts w:ascii="Garamond" w:hAnsi="Garamond" w:cs="Times New Roman"/>
          <w:sz w:val="24"/>
          <w:szCs w:val="24"/>
        </w:rPr>
        <w:t>parfois discrètes quoi que beaucoup plus présentes, cyberattaques, cyber espionnage, campagnes de manipulations de l’information, ponctions massives de données, « guerre économique, etc</w:t>
      </w:r>
      <w:r w:rsidRPr="00205909">
        <w:rPr>
          <w:rFonts w:ascii="Garamond" w:hAnsi="Garamond" w:cs="Times New Roman"/>
          <w:sz w:val="24"/>
          <w:szCs w:val="24"/>
        </w:rPr>
        <w:t xml:space="preserve">. </w:t>
      </w:r>
    </w:p>
    <w:p w14:paraId="1B1BB4B6" w14:textId="48EBB38C" w:rsidR="00CA3C5F" w:rsidRPr="00205909" w:rsidRDefault="007F1788" w:rsidP="00CA3C5F">
      <w:pPr>
        <w:widowControl w:val="0"/>
        <w:spacing w:after="0" w:line="240" w:lineRule="auto"/>
        <w:ind w:right="-1" w:firstLine="454"/>
        <w:jc w:val="both"/>
        <w:rPr>
          <w:rFonts w:ascii="Garamond" w:hAnsi="Garamond" w:cs="Times New Roman"/>
          <w:sz w:val="24"/>
          <w:szCs w:val="24"/>
        </w:rPr>
      </w:pPr>
      <w:r w:rsidRPr="00205909">
        <w:rPr>
          <w:rFonts w:ascii="Garamond" w:hAnsi="Garamond" w:cs="Times New Roman"/>
          <w:sz w:val="24"/>
          <w:szCs w:val="24"/>
        </w:rPr>
        <w:t xml:space="preserve">Le terme « conflictualité » élargit </w:t>
      </w:r>
      <w:r w:rsidR="00CA3C5F" w:rsidRPr="00205909">
        <w:rPr>
          <w:rFonts w:ascii="Garamond" w:hAnsi="Garamond" w:cs="Times New Roman"/>
          <w:sz w:val="24"/>
          <w:szCs w:val="24"/>
        </w:rPr>
        <w:t xml:space="preserve">ainsi </w:t>
      </w:r>
      <w:r w:rsidR="00324028" w:rsidRPr="00205909">
        <w:rPr>
          <w:rFonts w:ascii="Garamond" w:hAnsi="Garamond" w:cs="Times New Roman"/>
          <w:sz w:val="24"/>
          <w:szCs w:val="24"/>
        </w:rPr>
        <w:t>l</w:t>
      </w:r>
      <w:r w:rsidRPr="00205909">
        <w:rPr>
          <w:rFonts w:ascii="Garamond" w:hAnsi="Garamond" w:cs="Times New Roman"/>
          <w:sz w:val="24"/>
          <w:szCs w:val="24"/>
        </w:rPr>
        <w:t xml:space="preserve">e spectre étroit </w:t>
      </w:r>
      <w:r w:rsidR="00324028" w:rsidRPr="00205909">
        <w:rPr>
          <w:rFonts w:ascii="Garamond" w:hAnsi="Garamond" w:cs="Times New Roman"/>
          <w:sz w:val="24"/>
          <w:szCs w:val="24"/>
        </w:rPr>
        <w:t xml:space="preserve">offert par le terme, plus classique, </w:t>
      </w:r>
      <w:r w:rsidRPr="00205909">
        <w:rPr>
          <w:rFonts w:ascii="Garamond" w:hAnsi="Garamond" w:cs="Times New Roman"/>
          <w:sz w:val="24"/>
          <w:szCs w:val="24"/>
        </w:rPr>
        <w:t>de « guerre », le conflit armé au sens du droit des conflits armés, à tout une série de situations juridiques agressives dans lesquels les intérêts fondamentaux d’un Etat sont en jeu. Les</w:t>
      </w:r>
      <w:r w:rsidR="00CA3C5F" w:rsidRPr="00205909">
        <w:rPr>
          <w:rFonts w:ascii="Garamond" w:hAnsi="Garamond" w:cs="Times New Roman"/>
          <w:sz w:val="24"/>
          <w:szCs w:val="24"/>
        </w:rPr>
        <w:t xml:space="preserve"> différents</w:t>
      </w:r>
      <w:r w:rsidRPr="00205909">
        <w:rPr>
          <w:rFonts w:ascii="Garamond" w:hAnsi="Garamond" w:cs="Times New Roman"/>
          <w:sz w:val="24"/>
          <w:szCs w:val="24"/>
        </w:rPr>
        <w:t xml:space="preserve"> « temps de la guerre »</w:t>
      </w:r>
      <w:r w:rsidRPr="00205909">
        <w:rPr>
          <w:rStyle w:val="Appelnotedebasdep"/>
          <w:rFonts w:ascii="Garamond" w:hAnsi="Garamond" w:cs="Times New Roman"/>
          <w:sz w:val="24"/>
          <w:szCs w:val="24"/>
        </w:rPr>
        <w:footnoteReference w:id="2"/>
      </w:r>
      <w:r w:rsidRPr="00205909">
        <w:rPr>
          <w:rFonts w:ascii="Garamond" w:hAnsi="Garamond" w:cs="Times New Roman"/>
          <w:sz w:val="24"/>
          <w:szCs w:val="24"/>
        </w:rPr>
        <w:t>, de la « compétition » et son lot de règles à vocation extraterritoriales parfois très agressives</w:t>
      </w:r>
      <w:r w:rsidRPr="00205909">
        <w:rPr>
          <w:rStyle w:val="Appelnotedebasdep"/>
          <w:rFonts w:ascii="Garamond" w:hAnsi="Garamond" w:cs="Times New Roman"/>
          <w:sz w:val="24"/>
          <w:szCs w:val="24"/>
        </w:rPr>
        <w:footnoteReference w:id="3"/>
      </w:r>
      <w:r w:rsidRPr="00205909">
        <w:rPr>
          <w:rFonts w:ascii="Garamond" w:hAnsi="Garamond" w:cs="Times New Roman"/>
          <w:sz w:val="24"/>
          <w:szCs w:val="24"/>
        </w:rPr>
        <w:t xml:space="preserve">, à la « contestation », impliquant des opérations d’ingérence, des sanctions économiques et des contre-mesures, jusqu’à « l’affrontement » qui déclenche l’application </w:t>
      </w:r>
      <w:r w:rsidR="00425FD6">
        <w:rPr>
          <w:rFonts w:ascii="Garamond" w:hAnsi="Garamond" w:cs="Times New Roman"/>
          <w:sz w:val="24"/>
          <w:szCs w:val="24"/>
        </w:rPr>
        <w:t xml:space="preserve">supplémentaire et radicale </w:t>
      </w:r>
      <w:r w:rsidRPr="00205909">
        <w:rPr>
          <w:rFonts w:ascii="Garamond" w:hAnsi="Garamond" w:cs="Times New Roman"/>
          <w:sz w:val="24"/>
          <w:szCs w:val="24"/>
        </w:rPr>
        <w:t>des règles du droit des conflits armés</w:t>
      </w:r>
      <w:r w:rsidR="00425FD6">
        <w:rPr>
          <w:rFonts w:ascii="Garamond" w:hAnsi="Garamond" w:cs="Times New Roman"/>
          <w:sz w:val="24"/>
          <w:szCs w:val="24"/>
        </w:rPr>
        <w:t>,</w:t>
      </w:r>
      <w:r w:rsidR="00CA3C5F" w:rsidRPr="00205909">
        <w:rPr>
          <w:rFonts w:ascii="Garamond" w:hAnsi="Garamond" w:cs="Times New Roman"/>
          <w:sz w:val="24"/>
          <w:szCs w:val="24"/>
        </w:rPr>
        <w:t xml:space="preserve"> sont autant de temporalités de logiques de conflictualités. Or, le dernier</w:t>
      </w:r>
      <w:r w:rsidR="00425FD6">
        <w:rPr>
          <w:rFonts w:ascii="Garamond" w:hAnsi="Garamond" w:cs="Times New Roman"/>
          <w:sz w:val="24"/>
          <w:szCs w:val="24"/>
        </w:rPr>
        <w:t xml:space="preserve"> temps</w:t>
      </w:r>
      <w:r w:rsidR="00CA3C5F" w:rsidRPr="00205909">
        <w:rPr>
          <w:rFonts w:ascii="Garamond" w:hAnsi="Garamond" w:cs="Times New Roman"/>
          <w:sz w:val="24"/>
          <w:szCs w:val="24"/>
        </w:rPr>
        <w:t xml:space="preserve">, celui de l’affrontement, qui emporte la mise en œuvre de règles aux enjeux gigantesques mais finalement peu jugées, sont beaucoup plus rares que les hypothèses du temps de la contestation </w:t>
      </w:r>
      <w:r w:rsidR="00425FD6">
        <w:rPr>
          <w:rFonts w:ascii="Garamond" w:hAnsi="Garamond" w:cs="Times New Roman"/>
          <w:sz w:val="24"/>
          <w:szCs w:val="24"/>
        </w:rPr>
        <w:t xml:space="preserve">ou plus encore que </w:t>
      </w:r>
      <w:r w:rsidR="00CA3C5F" w:rsidRPr="00205909">
        <w:rPr>
          <w:rFonts w:ascii="Garamond" w:hAnsi="Garamond" w:cs="Times New Roman"/>
          <w:sz w:val="24"/>
          <w:szCs w:val="24"/>
        </w:rPr>
        <w:t>celles du temps de la compétition</w:t>
      </w:r>
      <w:r w:rsidRPr="00205909">
        <w:rPr>
          <w:rFonts w:ascii="Garamond" w:hAnsi="Garamond" w:cs="Times New Roman"/>
          <w:sz w:val="24"/>
          <w:szCs w:val="24"/>
        </w:rPr>
        <w:t xml:space="preserve">. </w:t>
      </w:r>
    </w:p>
    <w:p w14:paraId="15508C8C" w14:textId="354FB182" w:rsidR="001215BF" w:rsidRPr="00205909" w:rsidRDefault="00CA3C5F" w:rsidP="00CA3C5F">
      <w:pPr>
        <w:widowControl w:val="0"/>
        <w:spacing w:after="0" w:line="240" w:lineRule="auto"/>
        <w:ind w:right="-1" w:firstLine="454"/>
        <w:jc w:val="both"/>
        <w:rPr>
          <w:rFonts w:ascii="Garamond" w:hAnsi="Garamond" w:cs="Times New Roman"/>
          <w:sz w:val="24"/>
          <w:szCs w:val="24"/>
        </w:rPr>
      </w:pPr>
      <w:r w:rsidRPr="00205909">
        <w:rPr>
          <w:rFonts w:ascii="Garamond" w:hAnsi="Garamond" w:cs="Times New Roman"/>
          <w:sz w:val="24"/>
          <w:szCs w:val="24"/>
        </w:rPr>
        <w:t>Encore</w:t>
      </w:r>
      <w:r w:rsidR="001215BF" w:rsidRPr="00205909">
        <w:rPr>
          <w:rFonts w:ascii="Garamond" w:hAnsi="Garamond" w:cs="Times New Roman"/>
          <w:sz w:val="24"/>
          <w:szCs w:val="24"/>
        </w:rPr>
        <w:t>,</w:t>
      </w:r>
      <w:r w:rsidRPr="00205909">
        <w:rPr>
          <w:rFonts w:ascii="Garamond" w:hAnsi="Garamond" w:cs="Times New Roman"/>
          <w:sz w:val="24"/>
          <w:szCs w:val="24"/>
        </w:rPr>
        <w:t xml:space="preserve"> la comparaison entre ces temps de conflictualité est difficile. La compétition suppose une compétition </w:t>
      </w:r>
      <w:r w:rsidRPr="00205909">
        <w:rPr>
          <w:rFonts w:ascii="Garamond" w:hAnsi="Garamond" w:cs="Times New Roman"/>
          <w:i/>
          <w:iCs/>
          <w:sz w:val="24"/>
          <w:szCs w:val="24"/>
        </w:rPr>
        <w:t>loyale</w:t>
      </w:r>
      <w:r w:rsidRPr="00205909">
        <w:rPr>
          <w:rFonts w:ascii="Garamond" w:hAnsi="Garamond" w:cs="Times New Roman"/>
          <w:sz w:val="24"/>
          <w:szCs w:val="24"/>
        </w:rPr>
        <w:t>, « </w:t>
      </w:r>
      <w:proofErr w:type="spellStart"/>
      <w:r w:rsidRPr="00205909">
        <w:rPr>
          <w:rFonts w:ascii="Garamond" w:hAnsi="Garamond" w:cs="Times New Roman"/>
          <w:i/>
          <w:iCs/>
          <w:sz w:val="24"/>
          <w:szCs w:val="24"/>
        </w:rPr>
        <w:t>fair</w:t>
      </w:r>
      <w:proofErr w:type="spellEnd"/>
      <w:r w:rsidRPr="00205909">
        <w:rPr>
          <w:rFonts w:ascii="Garamond" w:hAnsi="Garamond" w:cs="Times New Roman"/>
          <w:i/>
          <w:iCs/>
          <w:sz w:val="24"/>
          <w:szCs w:val="24"/>
        </w:rPr>
        <w:t xml:space="preserve"> </w:t>
      </w:r>
      <w:proofErr w:type="spellStart"/>
      <w:r w:rsidRPr="00205909">
        <w:rPr>
          <w:rFonts w:ascii="Garamond" w:hAnsi="Garamond" w:cs="Times New Roman"/>
          <w:i/>
          <w:iCs/>
          <w:sz w:val="24"/>
          <w:szCs w:val="24"/>
        </w:rPr>
        <w:t>competition</w:t>
      </w:r>
      <w:proofErr w:type="spellEnd"/>
      <w:r w:rsidRPr="00205909">
        <w:rPr>
          <w:rFonts w:ascii="Garamond" w:hAnsi="Garamond" w:cs="Times New Roman"/>
          <w:i/>
          <w:iCs/>
          <w:sz w:val="24"/>
          <w:szCs w:val="24"/>
        </w:rPr>
        <w:t> »</w:t>
      </w:r>
      <w:r w:rsidRPr="00205909">
        <w:rPr>
          <w:rFonts w:ascii="Garamond" w:hAnsi="Garamond" w:cs="Times New Roman"/>
          <w:sz w:val="24"/>
          <w:szCs w:val="24"/>
        </w:rPr>
        <w:t xml:space="preserve">, qui suppose qu’elle s’effectue entre compétiteurs respectant les mêmes règles, </w:t>
      </w:r>
      <w:r w:rsidR="00425FD6">
        <w:rPr>
          <w:rFonts w:ascii="Garamond" w:hAnsi="Garamond" w:cs="Times New Roman"/>
          <w:sz w:val="24"/>
          <w:szCs w:val="24"/>
        </w:rPr>
        <w:t xml:space="preserve">et donc, </w:t>
      </w:r>
      <w:r w:rsidRPr="00205909">
        <w:rPr>
          <w:rFonts w:ascii="Garamond" w:hAnsi="Garamond" w:cs="Times New Roman"/>
          <w:sz w:val="24"/>
          <w:szCs w:val="24"/>
        </w:rPr>
        <w:t>gros</w:t>
      </w:r>
      <w:r w:rsidR="00425FD6">
        <w:rPr>
          <w:rFonts w:ascii="Garamond" w:hAnsi="Garamond" w:cs="Times New Roman"/>
          <w:sz w:val="24"/>
          <w:szCs w:val="24"/>
        </w:rPr>
        <w:t>sièrement,</w:t>
      </w:r>
      <w:r w:rsidRPr="00205909">
        <w:rPr>
          <w:rFonts w:ascii="Garamond" w:hAnsi="Garamond" w:cs="Times New Roman"/>
          <w:sz w:val="24"/>
          <w:szCs w:val="24"/>
        </w:rPr>
        <w:t xml:space="preserve"> entre démocraties libérales. La contestation est presque systématiquement l’œuvre d’acteurs </w:t>
      </w:r>
      <w:r w:rsidRPr="00205909">
        <w:rPr>
          <w:rFonts w:ascii="Garamond" w:hAnsi="Garamond" w:cs="Times New Roman"/>
          <w:i/>
          <w:iCs/>
          <w:sz w:val="24"/>
          <w:szCs w:val="24"/>
        </w:rPr>
        <w:t>déloyaux,</w:t>
      </w:r>
      <w:r w:rsidRPr="00205909">
        <w:rPr>
          <w:rFonts w:ascii="Garamond" w:hAnsi="Garamond" w:cs="Times New Roman"/>
          <w:sz w:val="24"/>
          <w:szCs w:val="24"/>
        </w:rPr>
        <w:t xml:space="preserve"> qui peuvent être des entités </w:t>
      </w:r>
      <w:r w:rsidR="00425FD6">
        <w:rPr>
          <w:rFonts w:ascii="Garamond" w:hAnsi="Garamond" w:cs="Times New Roman"/>
          <w:sz w:val="24"/>
          <w:szCs w:val="24"/>
        </w:rPr>
        <w:t xml:space="preserve">tricheuses </w:t>
      </w:r>
      <w:r w:rsidRPr="00205909">
        <w:rPr>
          <w:rFonts w:ascii="Garamond" w:hAnsi="Garamond" w:cs="Times New Roman"/>
          <w:sz w:val="24"/>
          <w:szCs w:val="24"/>
        </w:rPr>
        <w:t>ressortissant de démocratie</w:t>
      </w:r>
      <w:r w:rsidR="00425FD6">
        <w:rPr>
          <w:rFonts w:ascii="Garamond" w:hAnsi="Garamond" w:cs="Times New Roman"/>
          <w:sz w:val="24"/>
          <w:szCs w:val="24"/>
        </w:rPr>
        <w:t>s</w:t>
      </w:r>
      <w:r w:rsidRPr="00205909">
        <w:rPr>
          <w:rFonts w:ascii="Garamond" w:hAnsi="Garamond" w:cs="Times New Roman"/>
          <w:sz w:val="24"/>
          <w:szCs w:val="24"/>
        </w:rPr>
        <w:t xml:space="preserve"> libérales ou d’Etats </w:t>
      </w:r>
      <w:proofErr w:type="spellStart"/>
      <w:r w:rsidRPr="00205909">
        <w:rPr>
          <w:rFonts w:ascii="Garamond" w:hAnsi="Garamond" w:cs="Times New Roman"/>
          <w:sz w:val="24"/>
          <w:szCs w:val="24"/>
        </w:rPr>
        <w:t>i</w:t>
      </w:r>
      <w:r w:rsidR="00425FD6">
        <w:rPr>
          <w:rFonts w:ascii="Garamond" w:hAnsi="Garamond" w:cs="Times New Roman"/>
          <w:sz w:val="24"/>
          <w:szCs w:val="24"/>
        </w:rPr>
        <w:t>l</w:t>
      </w:r>
      <w:r w:rsidRPr="00205909">
        <w:rPr>
          <w:rFonts w:ascii="Garamond" w:hAnsi="Garamond" w:cs="Times New Roman"/>
          <w:sz w:val="24"/>
          <w:szCs w:val="24"/>
        </w:rPr>
        <w:t>libéraux</w:t>
      </w:r>
      <w:proofErr w:type="spellEnd"/>
      <w:r w:rsidRPr="00205909">
        <w:rPr>
          <w:rFonts w:ascii="Garamond" w:hAnsi="Garamond" w:cs="Times New Roman"/>
          <w:sz w:val="24"/>
          <w:szCs w:val="24"/>
        </w:rPr>
        <w:t xml:space="preserve"> ou totalitaires ou de leurs ressortissants</w:t>
      </w:r>
      <w:r w:rsidR="00425FD6">
        <w:rPr>
          <w:rFonts w:ascii="Garamond" w:hAnsi="Garamond" w:cs="Times New Roman"/>
          <w:sz w:val="24"/>
          <w:szCs w:val="24"/>
        </w:rPr>
        <w:t> :</w:t>
      </w:r>
      <w:r w:rsidRPr="00205909">
        <w:rPr>
          <w:rFonts w:ascii="Garamond" w:hAnsi="Garamond" w:cs="Times New Roman"/>
          <w:sz w:val="24"/>
          <w:szCs w:val="24"/>
        </w:rPr>
        <w:t xml:space="preserve"> </w:t>
      </w:r>
      <w:r w:rsidR="00425FD6">
        <w:rPr>
          <w:rFonts w:ascii="Garamond" w:hAnsi="Garamond" w:cs="Times New Roman"/>
          <w:sz w:val="24"/>
          <w:szCs w:val="24"/>
        </w:rPr>
        <w:t xml:space="preserve">ces derniers </w:t>
      </w:r>
      <w:r w:rsidRPr="00205909">
        <w:rPr>
          <w:rFonts w:ascii="Garamond" w:hAnsi="Garamond" w:cs="Times New Roman"/>
          <w:sz w:val="24"/>
          <w:szCs w:val="24"/>
        </w:rPr>
        <w:t>se moquent ou dénoncent les règles du droit international, public ou privé</w:t>
      </w:r>
      <w:r w:rsidRPr="00205909">
        <w:rPr>
          <w:rFonts w:ascii="Garamond" w:hAnsi="Garamond" w:cs="Times New Roman"/>
          <w:i/>
          <w:iCs/>
          <w:sz w:val="24"/>
          <w:szCs w:val="24"/>
        </w:rPr>
        <w:t xml:space="preserve">. </w:t>
      </w:r>
      <w:r w:rsidRPr="00205909">
        <w:rPr>
          <w:rFonts w:ascii="Garamond" w:hAnsi="Garamond" w:cs="Times New Roman"/>
          <w:sz w:val="24"/>
          <w:szCs w:val="24"/>
        </w:rPr>
        <w:t xml:space="preserve">Le temps de </w:t>
      </w:r>
      <w:r w:rsidRPr="00205909">
        <w:rPr>
          <w:rFonts w:ascii="Garamond" w:hAnsi="Garamond" w:cs="Times New Roman"/>
          <w:sz w:val="24"/>
          <w:szCs w:val="24"/>
        </w:rPr>
        <w:lastRenderedPageBreak/>
        <w:t>l’affrontement, enfin, est toujours provoqué par un acteur déloyal</w:t>
      </w:r>
      <w:r w:rsidR="00425FD6">
        <w:rPr>
          <w:rFonts w:ascii="Garamond" w:hAnsi="Garamond" w:cs="Times New Roman"/>
          <w:sz w:val="24"/>
          <w:szCs w:val="24"/>
        </w:rPr>
        <w:t>, étatique, quasi-étatique ou privé,</w:t>
      </w:r>
      <w:r w:rsidRPr="00205909">
        <w:rPr>
          <w:rFonts w:ascii="Garamond" w:hAnsi="Garamond" w:cs="Times New Roman"/>
          <w:sz w:val="24"/>
          <w:szCs w:val="24"/>
        </w:rPr>
        <w:t xml:space="preserve"> qui conteste de surcroît le droit international. </w:t>
      </w:r>
      <w:r w:rsidR="007F1788" w:rsidRPr="00205909">
        <w:rPr>
          <w:rFonts w:ascii="Garamond" w:hAnsi="Garamond" w:cs="Times New Roman"/>
          <w:sz w:val="24"/>
          <w:szCs w:val="24"/>
        </w:rPr>
        <w:t>Cet</w:t>
      </w:r>
      <w:r w:rsidRPr="00205909">
        <w:rPr>
          <w:rFonts w:ascii="Garamond" w:hAnsi="Garamond" w:cs="Times New Roman"/>
          <w:sz w:val="24"/>
          <w:szCs w:val="24"/>
        </w:rPr>
        <w:t xml:space="preserve">te diversité montre que les règles de droit applicable </w:t>
      </w:r>
      <w:r w:rsidR="00425FD6">
        <w:rPr>
          <w:rFonts w:ascii="Garamond" w:hAnsi="Garamond" w:cs="Times New Roman"/>
          <w:sz w:val="24"/>
          <w:szCs w:val="24"/>
        </w:rPr>
        <w:t xml:space="preserve">à ces difficultés </w:t>
      </w:r>
      <w:r w:rsidRPr="00205909">
        <w:rPr>
          <w:rFonts w:ascii="Garamond" w:hAnsi="Garamond" w:cs="Times New Roman"/>
          <w:sz w:val="24"/>
          <w:szCs w:val="24"/>
        </w:rPr>
        <w:t>doivent être appréciée</w:t>
      </w:r>
      <w:r w:rsidR="00425FD6">
        <w:rPr>
          <w:rFonts w:ascii="Garamond" w:hAnsi="Garamond" w:cs="Times New Roman"/>
          <w:sz w:val="24"/>
          <w:szCs w:val="24"/>
        </w:rPr>
        <w:t>s</w:t>
      </w:r>
      <w:r w:rsidRPr="00205909">
        <w:rPr>
          <w:rFonts w:ascii="Garamond" w:hAnsi="Garamond" w:cs="Times New Roman"/>
          <w:sz w:val="24"/>
          <w:szCs w:val="24"/>
        </w:rPr>
        <w:t xml:space="preserve"> et sans doute posée</w:t>
      </w:r>
      <w:r w:rsidR="00425FD6">
        <w:rPr>
          <w:rFonts w:ascii="Garamond" w:hAnsi="Garamond" w:cs="Times New Roman"/>
          <w:sz w:val="24"/>
          <w:szCs w:val="24"/>
        </w:rPr>
        <w:t>s</w:t>
      </w:r>
      <w:r w:rsidRPr="00205909">
        <w:rPr>
          <w:rFonts w:ascii="Garamond" w:hAnsi="Garamond" w:cs="Times New Roman"/>
          <w:sz w:val="24"/>
          <w:szCs w:val="24"/>
        </w:rPr>
        <w:t xml:space="preserve"> à l’aune de ces différences. Elle </w:t>
      </w:r>
      <w:r w:rsidR="007F1788" w:rsidRPr="00205909">
        <w:rPr>
          <w:rFonts w:ascii="Garamond" w:hAnsi="Garamond" w:cs="Times New Roman"/>
          <w:sz w:val="24"/>
          <w:szCs w:val="24"/>
        </w:rPr>
        <w:t xml:space="preserve">montre </w:t>
      </w:r>
      <w:r w:rsidRPr="00205909">
        <w:rPr>
          <w:rFonts w:ascii="Garamond" w:hAnsi="Garamond" w:cs="Times New Roman"/>
          <w:sz w:val="24"/>
          <w:szCs w:val="24"/>
        </w:rPr>
        <w:t xml:space="preserve">aussi </w:t>
      </w:r>
      <w:r w:rsidR="007F1788" w:rsidRPr="00205909">
        <w:rPr>
          <w:rFonts w:ascii="Garamond" w:hAnsi="Garamond" w:cs="Times New Roman"/>
          <w:sz w:val="24"/>
          <w:szCs w:val="24"/>
        </w:rPr>
        <w:t>qu’un apaisement général dans le monde</w:t>
      </w:r>
      <w:r w:rsidRPr="00205909">
        <w:rPr>
          <w:rFonts w:ascii="Garamond" w:hAnsi="Garamond" w:cs="Times New Roman"/>
          <w:sz w:val="24"/>
          <w:szCs w:val="24"/>
        </w:rPr>
        <w:t>, y compris par la transformation magique de tous les Etats en démocraties libérales respectant les principes de l’Etat de droit et du droit international</w:t>
      </w:r>
      <w:r w:rsidR="007F1788" w:rsidRPr="00205909">
        <w:rPr>
          <w:rFonts w:ascii="Garamond" w:hAnsi="Garamond" w:cs="Times New Roman"/>
          <w:sz w:val="24"/>
          <w:szCs w:val="24"/>
        </w:rPr>
        <w:t xml:space="preserve"> ne réduirait en rien l’idée de conflictualité, au sens large, </w:t>
      </w:r>
      <w:r w:rsidRPr="00205909">
        <w:rPr>
          <w:rFonts w:ascii="Garamond" w:hAnsi="Garamond" w:cs="Times New Roman"/>
          <w:sz w:val="24"/>
          <w:szCs w:val="24"/>
        </w:rPr>
        <w:t>au moins au temps de la compétition, c’est-</w:t>
      </w:r>
      <w:r w:rsidR="001215BF" w:rsidRPr="00205909">
        <w:rPr>
          <w:rFonts w:ascii="Garamond" w:hAnsi="Garamond" w:cs="Times New Roman"/>
          <w:sz w:val="24"/>
          <w:szCs w:val="24"/>
        </w:rPr>
        <w:t>à-</w:t>
      </w:r>
      <w:r w:rsidRPr="00205909">
        <w:rPr>
          <w:rFonts w:ascii="Garamond" w:hAnsi="Garamond" w:cs="Times New Roman"/>
          <w:sz w:val="24"/>
          <w:szCs w:val="24"/>
        </w:rPr>
        <w:t xml:space="preserve">dire des formes </w:t>
      </w:r>
      <w:r w:rsidR="007F1788" w:rsidRPr="00205909">
        <w:rPr>
          <w:rFonts w:ascii="Garamond" w:hAnsi="Garamond" w:cs="Times New Roman"/>
          <w:sz w:val="24"/>
          <w:szCs w:val="24"/>
        </w:rPr>
        <w:t>diffuses, « atypiques »</w:t>
      </w:r>
      <w:r w:rsidRPr="00205909">
        <w:rPr>
          <w:rFonts w:ascii="Garamond" w:hAnsi="Garamond" w:cs="Times New Roman"/>
          <w:sz w:val="24"/>
          <w:szCs w:val="24"/>
        </w:rPr>
        <w:t>, de conflictualité</w:t>
      </w:r>
      <w:r w:rsidR="001215BF" w:rsidRPr="00205909">
        <w:rPr>
          <w:rFonts w:ascii="Garamond" w:hAnsi="Garamond" w:cs="Times New Roman"/>
          <w:sz w:val="24"/>
          <w:szCs w:val="24"/>
        </w:rPr>
        <w:t>, plus ou moins assumée</w:t>
      </w:r>
      <w:r w:rsidR="00425FD6">
        <w:rPr>
          <w:rFonts w:ascii="Garamond" w:hAnsi="Garamond" w:cs="Times New Roman"/>
          <w:sz w:val="24"/>
          <w:szCs w:val="24"/>
        </w:rPr>
        <w:t>s</w:t>
      </w:r>
      <w:r w:rsidR="001215BF" w:rsidRPr="00205909">
        <w:rPr>
          <w:rFonts w:ascii="Garamond" w:hAnsi="Garamond" w:cs="Times New Roman"/>
          <w:sz w:val="24"/>
          <w:szCs w:val="24"/>
        </w:rPr>
        <w:t xml:space="preserve"> par ailleurs</w:t>
      </w:r>
      <w:r w:rsidR="007F1788" w:rsidRPr="00205909">
        <w:rPr>
          <w:rFonts w:ascii="Garamond" w:hAnsi="Garamond" w:cs="Times New Roman"/>
          <w:sz w:val="24"/>
          <w:szCs w:val="24"/>
        </w:rPr>
        <w:t>.</w:t>
      </w:r>
      <w:r w:rsidR="001215BF" w:rsidRPr="00205909">
        <w:rPr>
          <w:rFonts w:ascii="Garamond" w:hAnsi="Garamond" w:cs="Times New Roman"/>
          <w:sz w:val="24"/>
          <w:szCs w:val="24"/>
        </w:rPr>
        <w:t xml:space="preserve"> Par exemple la Russie, la Chine, l’Iran et bien d’autres entités se considèrent comme « en guerre », avec toutes les limites du terme, avec la France, les pays de l’OTAN, etc., </w:t>
      </w:r>
      <w:r w:rsidR="00425FD6">
        <w:rPr>
          <w:rFonts w:ascii="Garamond" w:hAnsi="Garamond" w:cs="Times New Roman"/>
          <w:sz w:val="24"/>
          <w:szCs w:val="24"/>
        </w:rPr>
        <w:t xml:space="preserve">situation de guerre « à bas bruit », ou « sous le seuil de la guerre (armée) » </w:t>
      </w:r>
      <w:r w:rsidR="001215BF" w:rsidRPr="00205909">
        <w:rPr>
          <w:rFonts w:ascii="Garamond" w:hAnsi="Garamond" w:cs="Times New Roman"/>
          <w:sz w:val="24"/>
          <w:szCs w:val="24"/>
        </w:rPr>
        <w:t xml:space="preserve">qui se manifeste par des actions d’espionnage, d’ingérence, de manipulation d l’information, des actions clandestines, etc.,  tandis que la France par exemple ne se considère pas en guerre avec ces pays, notamment parce que la signification des concepts de guerre ou de conflictualité ne sont pas partagés mais aussi parce qu’une distinction nette </w:t>
      </w:r>
      <w:r w:rsidR="00425FD6">
        <w:rPr>
          <w:rFonts w:ascii="Garamond" w:hAnsi="Garamond" w:cs="Times New Roman"/>
          <w:sz w:val="24"/>
          <w:szCs w:val="24"/>
        </w:rPr>
        <w:t xml:space="preserve">y </w:t>
      </w:r>
      <w:r w:rsidR="001215BF" w:rsidRPr="00205909">
        <w:rPr>
          <w:rFonts w:ascii="Garamond" w:hAnsi="Garamond" w:cs="Times New Roman"/>
          <w:sz w:val="24"/>
          <w:szCs w:val="24"/>
        </w:rPr>
        <w:t xml:space="preserve">est posée entre les actions et moyens des Etats et ceux des entités privées. </w:t>
      </w:r>
    </w:p>
    <w:p w14:paraId="1F508512" w14:textId="77777777" w:rsidR="001215BF" w:rsidRPr="00205909" w:rsidRDefault="001215BF" w:rsidP="00CA3C5F">
      <w:pPr>
        <w:widowControl w:val="0"/>
        <w:spacing w:after="0" w:line="240" w:lineRule="auto"/>
        <w:ind w:right="-1" w:firstLine="454"/>
        <w:jc w:val="both"/>
        <w:rPr>
          <w:rFonts w:ascii="Garamond" w:hAnsi="Garamond" w:cs="Times New Roman"/>
          <w:sz w:val="24"/>
          <w:szCs w:val="24"/>
        </w:rPr>
      </w:pPr>
    </w:p>
    <w:p w14:paraId="76CDF1FA" w14:textId="39326C34" w:rsidR="001215BF" w:rsidRPr="00205909" w:rsidRDefault="001215BF" w:rsidP="001215BF">
      <w:pPr>
        <w:pStyle w:val="numerodeparagraphe"/>
        <w:spacing w:before="0"/>
        <w:rPr>
          <w:rFonts w:ascii="Garamond" w:hAnsi="Garamond"/>
          <w:b/>
          <w:bCs/>
          <w:sz w:val="24"/>
          <w:szCs w:val="24"/>
        </w:rPr>
      </w:pPr>
      <w:r w:rsidRPr="00205909">
        <w:rPr>
          <w:rFonts w:ascii="Garamond" w:hAnsi="Garamond"/>
          <w:sz w:val="24"/>
          <w:szCs w:val="24"/>
        </w:rPr>
        <w:t xml:space="preserve">C’est en ce sens qu’intervient le concept, mou, de </w:t>
      </w:r>
      <w:proofErr w:type="spellStart"/>
      <w:r w:rsidRPr="00205909">
        <w:rPr>
          <w:rFonts w:ascii="Garamond" w:hAnsi="Garamond"/>
          <w:i/>
          <w:iCs/>
          <w:sz w:val="24"/>
          <w:szCs w:val="24"/>
        </w:rPr>
        <w:t>lawfare</w:t>
      </w:r>
      <w:proofErr w:type="spellEnd"/>
      <w:r w:rsidRPr="00205909">
        <w:rPr>
          <w:rFonts w:ascii="Garamond" w:hAnsi="Garamond"/>
          <w:sz w:val="24"/>
          <w:szCs w:val="24"/>
        </w:rPr>
        <w:t>, notion originale, souvent non-juridique, dont il convient</w:t>
      </w:r>
      <w:r w:rsidR="00F017DC" w:rsidRPr="00205909">
        <w:rPr>
          <w:rFonts w:ascii="Garamond" w:hAnsi="Garamond"/>
          <w:sz w:val="24"/>
          <w:szCs w:val="24"/>
        </w:rPr>
        <w:t xml:space="preserve"> – sans masquer le fait qu’il est impossible ici de proposer une analyse exhaustive de la question –</w:t>
      </w:r>
      <w:r w:rsidRPr="00205909">
        <w:rPr>
          <w:rFonts w:ascii="Garamond" w:hAnsi="Garamond"/>
          <w:sz w:val="24"/>
          <w:szCs w:val="24"/>
        </w:rPr>
        <w:t xml:space="preserve"> dans un premier temps d’expliciter la logique qui préside à une tentative, peut-être vaine d’ailleurs, de parvenir, sinon à en circonscrire les contours, du moins proposer une méthode d’analyse (I.). Dès lors, il s’agira, au regard de la conception généralement retenue du </w:t>
      </w:r>
      <w:proofErr w:type="spellStart"/>
      <w:r w:rsidRPr="00205909">
        <w:rPr>
          <w:rFonts w:ascii="Garamond" w:hAnsi="Garamond"/>
          <w:i/>
          <w:iCs/>
          <w:sz w:val="24"/>
          <w:szCs w:val="24"/>
        </w:rPr>
        <w:t>lawfare</w:t>
      </w:r>
      <w:proofErr w:type="spellEnd"/>
      <w:r w:rsidRPr="00205909">
        <w:rPr>
          <w:rFonts w:ascii="Garamond" w:hAnsi="Garamond"/>
          <w:sz w:val="24"/>
          <w:szCs w:val="24"/>
        </w:rPr>
        <w:t xml:space="preserve">, notamment dans ses dimensions de </w:t>
      </w:r>
      <w:r w:rsidRPr="00205909">
        <w:rPr>
          <w:rFonts w:ascii="Garamond" w:hAnsi="Garamond"/>
          <w:i/>
          <w:iCs/>
          <w:sz w:val="24"/>
          <w:szCs w:val="24"/>
        </w:rPr>
        <w:t xml:space="preserve">compliance et </w:t>
      </w:r>
      <w:proofErr w:type="spellStart"/>
      <w:r w:rsidRPr="00205909">
        <w:rPr>
          <w:rFonts w:ascii="Garamond" w:hAnsi="Garamond"/>
          <w:i/>
          <w:iCs/>
          <w:sz w:val="24"/>
          <w:szCs w:val="24"/>
        </w:rPr>
        <w:t>political</w:t>
      </w:r>
      <w:proofErr w:type="spellEnd"/>
      <w:r w:rsidRPr="00205909">
        <w:rPr>
          <w:rFonts w:ascii="Garamond" w:hAnsi="Garamond"/>
          <w:i/>
          <w:iCs/>
          <w:sz w:val="24"/>
          <w:szCs w:val="24"/>
        </w:rPr>
        <w:t xml:space="preserve"> </w:t>
      </w:r>
      <w:proofErr w:type="spellStart"/>
      <w:r w:rsidRPr="00205909">
        <w:rPr>
          <w:rFonts w:ascii="Garamond" w:hAnsi="Garamond"/>
          <w:i/>
          <w:iCs/>
          <w:sz w:val="24"/>
          <w:szCs w:val="24"/>
        </w:rPr>
        <w:t>lawfare</w:t>
      </w:r>
      <w:proofErr w:type="spellEnd"/>
      <w:r w:rsidRPr="00205909">
        <w:rPr>
          <w:rFonts w:ascii="Garamond" w:hAnsi="Garamond"/>
          <w:i/>
          <w:iCs/>
          <w:sz w:val="24"/>
          <w:szCs w:val="24"/>
        </w:rPr>
        <w:t xml:space="preserve">¸ </w:t>
      </w:r>
      <w:r w:rsidRPr="00205909">
        <w:rPr>
          <w:rFonts w:ascii="Garamond" w:hAnsi="Garamond"/>
          <w:sz w:val="24"/>
          <w:szCs w:val="24"/>
        </w:rPr>
        <w:t>tellement</w:t>
      </w:r>
      <w:r w:rsidRPr="00205909">
        <w:rPr>
          <w:rFonts w:ascii="Garamond" w:hAnsi="Garamond"/>
          <w:i/>
          <w:iCs/>
          <w:sz w:val="24"/>
          <w:szCs w:val="24"/>
        </w:rPr>
        <w:t xml:space="preserve"> </w:t>
      </w:r>
      <w:r w:rsidRPr="00205909">
        <w:rPr>
          <w:rFonts w:ascii="Garamond" w:hAnsi="Garamond"/>
          <w:sz w:val="24"/>
          <w:szCs w:val="24"/>
        </w:rPr>
        <w:t>présentes, mais si peu juridiques qu’il convient de s’en expliquer (II.), de considérer qu’est juridiquement pertinente la question de l’</w:t>
      </w:r>
      <w:proofErr w:type="spellStart"/>
      <w:r w:rsidRPr="00205909">
        <w:rPr>
          <w:rFonts w:ascii="Garamond" w:hAnsi="Garamond"/>
          <w:i/>
          <w:iCs/>
          <w:sz w:val="24"/>
          <w:szCs w:val="24"/>
        </w:rPr>
        <w:t>intrumental</w:t>
      </w:r>
      <w:proofErr w:type="spellEnd"/>
      <w:r w:rsidRPr="00205909">
        <w:rPr>
          <w:rFonts w:ascii="Garamond" w:hAnsi="Garamond"/>
          <w:i/>
          <w:iCs/>
          <w:sz w:val="24"/>
          <w:szCs w:val="24"/>
        </w:rPr>
        <w:t xml:space="preserve"> </w:t>
      </w:r>
      <w:proofErr w:type="spellStart"/>
      <w:r w:rsidRPr="00205909">
        <w:rPr>
          <w:rFonts w:ascii="Garamond" w:hAnsi="Garamond"/>
          <w:i/>
          <w:iCs/>
          <w:sz w:val="24"/>
          <w:szCs w:val="24"/>
        </w:rPr>
        <w:t>lawfare</w:t>
      </w:r>
      <w:proofErr w:type="spellEnd"/>
      <w:r w:rsidRPr="00205909">
        <w:rPr>
          <w:rFonts w:ascii="Garamond" w:hAnsi="Garamond"/>
          <w:sz w:val="24"/>
          <w:szCs w:val="24"/>
        </w:rPr>
        <w:t xml:space="preserve">, c’est-à-dire de la masse de règles qui, de manière directe ou indirecte, forte ou faible, efficace ou non, et qu’il ne sera évidemment pas possible d’inventorier précisément, sinon par des exemples, constituent autant d’outils, français, européens ou étrangers, existants, à optimiser ou à créer, qui s’inscrivent véritablement dans le développement d’une stratégie du </w:t>
      </w:r>
      <w:proofErr w:type="spellStart"/>
      <w:r w:rsidRPr="00205909">
        <w:rPr>
          <w:rFonts w:ascii="Garamond" w:hAnsi="Garamond"/>
          <w:i/>
          <w:iCs/>
          <w:sz w:val="24"/>
          <w:szCs w:val="24"/>
        </w:rPr>
        <w:t>lawfare</w:t>
      </w:r>
      <w:proofErr w:type="spellEnd"/>
      <w:r w:rsidRPr="00205909">
        <w:rPr>
          <w:rFonts w:ascii="Garamond" w:hAnsi="Garamond"/>
          <w:sz w:val="24"/>
          <w:szCs w:val="24"/>
        </w:rPr>
        <w:t xml:space="preserve"> (III.).</w:t>
      </w:r>
    </w:p>
    <w:p w14:paraId="7D245B42" w14:textId="77777777" w:rsidR="001215BF" w:rsidRPr="00205909" w:rsidRDefault="001215BF" w:rsidP="00CA3C5F">
      <w:pPr>
        <w:widowControl w:val="0"/>
        <w:spacing w:after="0" w:line="240" w:lineRule="auto"/>
        <w:ind w:right="-1" w:firstLine="454"/>
        <w:jc w:val="both"/>
        <w:rPr>
          <w:rFonts w:ascii="Garamond" w:hAnsi="Garamond" w:cs="Times New Roman"/>
          <w:b/>
          <w:bCs/>
          <w:sz w:val="24"/>
          <w:szCs w:val="24"/>
        </w:rPr>
      </w:pPr>
    </w:p>
    <w:p w14:paraId="2D5B620B" w14:textId="5C7479B5" w:rsidR="001215BF" w:rsidRPr="00205909" w:rsidRDefault="001215BF" w:rsidP="00CA3C5F">
      <w:pPr>
        <w:widowControl w:val="0"/>
        <w:spacing w:after="0" w:line="240" w:lineRule="auto"/>
        <w:ind w:right="-1" w:firstLine="454"/>
        <w:jc w:val="both"/>
        <w:rPr>
          <w:rFonts w:ascii="Garamond" w:hAnsi="Garamond" w:cs="Times New Roman"/>
          <w:b/>
          <w:bCs/>
          <w:i/>
          <w:iCs/>
          <w:smallCaps/>
          <w:sz w:val="24"/>
          <w:szCs w:val="24"/>
        </w:rPr>
      </w:pPr>
      <w:r w:rsidRPr="00205909">
        <w:rPr>
          <w:rFonts w:ascii="Garamond" w:hAnsi="Garamond" w:cs="Times New Roman"/>
          <w:b/>
          <w:bCs/>
          <w:smallCaps/>
          <w:sz w:val="24"/>
          <w:szCs w:val="24"/>
        </w:rPr>
        <w:t>I. Proposition d’un</w:t>
      </w:r>
      <w:r w:rsidR="00455649" w:rsidRPr="00205909">
        <w:rPr>
          <w:rFonts w:ascii="Garamond" w:hAnsi="Garamond" w:cs="Times New Roman"/>
          <w:b/>
          <w:bCs/>
          <w:smallCaps/>
          <w:sz w:val="24"/>
          <w:szCs w:val="24"/>
        </w:rPr>
        <w:t>e</w:t>
      </w:r>
      <w:r w:rsidRPr="00205909">
        <w:rPr>
          <w:rFonts w:ascii="Garamond" w:hAnsi="Garamond" w:cs="Times New Roman"/>
          <w:b/>
          <w:bCs/>
          <w:smallCaps/>
          <w:sz w:val="24"/>
          <w:szCs w:val="24"/>
        </w:rPr>
        <w:t xml:space="preserve"> méthode d’analyse du </w:t>
      </w:r>
      <w:proofErr w:type="spellStart"/>
      <w:r w:rsidRPr="00205909">
        <w:rPr>
          <w:rFonts w:ascii="Garamond" w:hAnsi="Garamond" w:cs="Times New Roman"/>
          <w:b/>
          <w:bCs/>
          <w:i/>
          <w:iCs/>
          <w:smallCaps/>
          <w:sz w:val="24"/>
          <w:szCs w:val="24"/>
        </w:rPr>
        <w:t>lawfare</w:t>
      </w:r>
      <w:proofErr w:type="spellEnd"/>
    </w:p>
    <w:p w14:paraId="062A1E0C" w14:textId="77777777" w:rsidR="00CA3C5F" w:rsidRPr="00205909" w:rsidRDefault="00CA3C5F" w:rsidP="00DE3431">
      <w:pPr>
        <w:widowControl w:val="0"/>
        <w:spacing w:after="0" w:line="240" w:lineRule="auto"/>
        <w:ind w:right="-1" w:firstLine="454"/>
        <w:jc w:val="both"/>
        <w:rPr>
          <w:rFonts w:ascii="Garamond" w:hAnsi="Garamond" w:cs="Times New Roman"/>
          <w:sz w:val="24"/>
          <w:szCs w:val="24"/>
        </w:rPr>
      </w:pPr>
    </w:p>
    <w:p w14:paraId="674AAF18" w14:textId="221A9AF0" w:rsidR="00CA3C5F" w:rsidRPr="00205909" w:rsidRDefault="00DE3431" w:rsidP="00CA3C5F">
      <w:pPr>
        <w:widowControl w:val="0"/>
        <w:numPr>
          <w:ilvl w:val="0"/>
          <w:numId w:val="2"/>
        </w:numPr>
        <w:spacing w:after="0" w:line="240" w:lineRule="auto"/>
        <w:ind w:right="-1"/>
        <w:jc w:val="both"/>
        <w:rPr>
          <w:rFonts w:ascii="Garamond" w:hAnsi="Garamond" w:cs="Times New Roman"/>
          <w:b/>
          <w:bCs/>
          <w:sz w:val="24"/>
          <w:szCs w:val="24"/>
        </w:rPr>
      </w:pPr>
      <w:r w:rsidRPr="00205909">
        <w:rPr>
          <w:rFonts w:ascii="Garamond" w:hAnsi="Garamond" w:cs="Times New Roman"/>
          <w:sz w:val="24"/>
          <w:szCs w:val="24"/>
        </w:rPr>
        <w:t xml:space="preserve">Si on admet donc </w:t>
      </w:r>
      <w:r w:rsidR="00CA3C5F" w:rsidRPr="00205909">
        <w:rPr>
          <w:rFonts w:ascii="Garamond" w:hAnsi="Garamond" w:cs="Times New Roman"/>
          <w:sz w:val="24"/>
          <w:szCs w:val="24"/>
        </w:rPr>
        <w:t>la distinction entre ces temps de conflictualité</w:t>
      </w:r>
      <w:r w:rsidR="00F017DC" w:rsidRPr="00205909">
        <w:rPr>
          <w:rFonts w:ascii="Garamond" w:hAnsi="Garamond" w:cs="Times New Roman"/>
          <w:sz w:val="24"/>
          <w:szCs w:val="24"/>
        </w:rPr>
        <w:t>, de la « </w:t>
      </w:r>
      <w:proofErr w:type="spellStart"/>
      <w:r w:rsidR="00F017DC" w:rsidRPr="00205909">
        <w:rPr>
          <w:rFonts w:ascii="Garamond" w:hAnsi="Garamond" w:cs="Times New Roman"/>
          <w:i/>
          <w:iCs/>
          <w:sz w:val="24"/>
          <w:szCs w:val="24"/>
        </w:rPr>
        <w:t>competition</w:t>
      </w:r>
      <w:proofErr w:type="spellEnd"/>
      <w:r w:rsidR="00F017DC" w:rsidRPr="00205909">
        <w:rPr>
          <w:rFonts w:ascii="Garamond" w:hAnsi="Garamond" w:cs="Times New Roman"/>
          <w:i/>
          <w:iCs/>
          <w:sz w:val="24"/>
          <w:szCs w:val="24"/>
        </w:rPr>
        <w:t> »</w:t>
      </w:r>
      <w:r w:rsidR="00F017DC" w:rsidRPr="00205909">
        <w:rPr>
          <w:rFonts w:ascii="Garamond" w:hAnsi="Garamond" w:cs="Times New Roman"/>
          <w:sz w:val="24"/>
          <w:szCs w:val="24"/>
        </w:rPr>
        <w:t xml:space="preserve"> à celui de </w:t>
      </w:r>
      <w:r w:rsidR="00F017DC" w:rsidRPr="00205909">
        <w:rPr>
          <w:rFonts w:ascii="Garamond" w:hAnsi="Garamond" w:cs="Times New Roman"/>
          <w:i/>
          <w:iCs/>
          <w:sz w:val="24"/>
          <w:szCs w:val="24"/>
        </w:rPr>
        <w:t>« l’affrontement »</w:t>
      </w:r>
      <w:r w:rsidR="00CA3C5F" w:rsidRPr="00205909">
        <w:rPr>
          <w:rFonts w:ascii="Garamond" w:hAnsi="Garamond" w:cs="Times New Roman"/>
          <w:sz w:val="24"/>
          <w:szCs w:val="24"/>
        </w:rPr>
        <w:t xml:space="preserve">, et le fait que ce concept </w:t>
      </w:r>
      <w:r w:rsidR="002A6914">
        <w:rPr>
          <w:rFonts w:ascii="Garamond" w:hAnsi="Garamond" w:cs="Times New Roman"/>
          <w:sz w:val="24"/>
          <w:szCs w:val="24"/>
        </w:rPr>
        <w:t xml:space="preserve">de </w:t>
      </w:r>
      <w:proofErr w:type="spellStart"/>
      <w:r w:rsidR="002A6914">
        <w:rPr>
          <w:rFonts w:ascii="Garamond" w:hAnsi="Garamond" w:cs="Times New Roman"/>
          <w:i/>
          <w:iCs/>
          <w:sz w:val="24"/>
          <w:szCs w:val="24"/>
        </w:rPr>
        <w:t>lawfare</w:t>
      </w:r>
      <w:proofErr w:type="spellEnd"/>
      <w:r w:rsidR="002A6914">
        <w:rPr>
          <w:rFonts w:ascii="Garamond" w:hAnsi="Garamond" w:cs="Times New Roman"/>
          <w:i/>
          <w:iCs/>
          <w:sz w:val="24"/>
          <w:szCs w:val="24"/>
        </w:rPr>
        <w:t xml:space="preserve"> </w:t>
      </w:r>
      <w:r w:rsidRPr="00205909">
        <w:rPr>
          <w:rFonts w:ascii="Garamond" w:hAnsi="Garamond" w:cs="Times New Roman"/>
          <w:sz w:val="24"/>
          <w:szCs w:val="24"/>
        </w:rPr>
        <w:t xml:space="preserve">s’étend à des formes non-militaires et non-armés, il en résulte que deux logiques se conjuguent. </w:t>
      </w:r>
    </w:p>
    <w:p w14:paraId="3B8C7DC1" w14:textId="6D21740D" w:rsidR="00CA3C5F" w:rsidRPr="00205909" w:rsidRDefault="00DE3431" w:rsidP="00CA3C5F">
      <w:pPr>
        <w:widowControl w:val="0"/>
        <w:spacing w:after="0" w:line="240" w:lineRule="auto"/>
        <w:ind w:right="-1" w:firstLine="454"/>
        <w:jc w:val="both"/>
        <w:rPr>
          <w:rFonts w:ascii="Garamond" w:hAnsi="Garamond" w:cs="Times New Roman"/>
          <w:sz w:val="24"/>
          <w:szCs w:val="24"/>
        </w:rPr>
      </w:pPr>
      <w:r w:rsidRPr="00205909">
        <w:rPr>
          <w:rFonts w:ascii="Garamond" w:hAnsi="Garamond" w:cs="Times New Roman"/>
          <w:sz w:val="24"/>
          <w:szCs w:val="24"/>
        </w:rPr>
        <w:t xml:space="preserve">La </w:t>
      </w:r>
      <w:r w:rsidRPr="00205909">
        <w:rPr>
          <w:rFonts w:ascii="Garamond" w:hAnsi="Garamond" w:cs="Times New Roman"/>
          <w:i/>
          <w:iCs/>
          <w:sz w:val="24"/>
          <w:szCs w:val="24"/>
        </w:rPr>
        <w:t>conduite de la guerre</w:t>
      </w:r>
      <w:r w:rsidR="00CA3C5F" w:rsidRPr="00205909">
        <w:rPr>
          <w:rFonts w:ascii="Garamond" w:hAnsi="Garamond" w:cs="Times New Roman"/>
          <w:sz w:val="24"/>
          <w:szCs w:val="24"/>
        </w:rPr>
        <w:t>,</w:t>
      </w:r>
      <w:r w:rsidRPr="00205909">
        <w:rPr>
          <w:rFonts w:ascii="Garamond" w:hAnsi="Garamond" w:cs="Times New Roman"/>
          <w:sz w:val="24"/>
          <w:szCs w:val="24"/>
        </w:rPr>
        <w:t xml:space="preserve"> au sens militaire </w:t>
      </w:r>
      <w:r w:rsidR="00CA3C5F" w:rsidRPr="00205909">
        <w:rPr>
          <w:rFonts w:ascii="Garamond" w:hAnsi="Garamond" w:cs="Times New Roman"/>
          <w:sz w:val="24"/>
          <w:szCs w:val="24"/>
        </w:rPr>
        <w:t xml:space="preserve">de ces termes, en France par exemple, </w:t>
      </w:r>
      <w:r w:rsidRPr="00205909">
        <w:rPr>
          <w:rFonts w:ascii="Garamond" w:hAnsi="Garamond" w:cs="Times New Roman"/>
          <w:sz w:val="24"/>
          <w:szCs w:val="24"/>
        </w:rPr>
        <w:t xml:space="preserve">crée un lien puissant entre le Président de la République, constitutionnellement chef des armées, les chefs militaires, dont le Chef d’Etat-Major des Armées (CEMA), et les militaires, marins, aviateurs, gendarmes, lien fait de composantes complexes où se mêlent le sens de l’engagement, le respect de la discipline et de la hiérarchie, le sens des responsabilité, celui de l’effort et celui du sacrifice, l’idée même de pouvoir donner la mort ou la recevoir, </w:t>
      </w:r>
      <w:r w:rsidR="002A6914">
        <w:rPr>
          <w:rFonts w:ascii="Garamond" w:hAnsi="Garamond" w:cs="Times New Roman"/>
          <w:sz w:val="24"/>
          <w:szCs w:val="24"/>
        </w:rPr>
        <w:t xml:space="preserve">la disponibilité, </w:t>
      </w:r>
      <w:r w:rsidRPr="00205909">
        <w:rPr>
          <w:rFonts w:ascii="Garamond" w:hAnsi="Garamond" w:cs="Times New Roman"/>
          <w:sz w:val="24"/>
          <w:szCs w:val="24"/>
        </w:rPr>
        <w:t xml:space="preserve">les formations et entraînements permanents dans ses spécialités de manière coordonnée, etc., qui font des armées françaises l’une des meilleures du monde, qualitativement au moins. </w:t>
      </w:r>
    </w:p>
    <w:p w14:paraId="21E619A0" w14:textId="6F95F8A0" w:rsidR="00CA3C5F" w:rsidRPr="00205909" w:rsidRDefault="00DE3431" w:rsidP="00CA3C5F">
      <w:pPr>
        <w:widowControl w:val="0"/>
        <w:spacing w:after="0" w:line="240" w:lineRule="auto"/>
        <w:ind w:right="-1" w:firstLine="454"/>
        <w:jc w:val="both"/>
        <w:rPr>
          <w:rFonts w:ascii="Garamond" w:hAnsi="Garamond" w:cs="Times New Roman"/>
          <w:sz w:val="24"/>
          <w:szCs w:val="24"/>
        </w:rPr>
      </w:pPr>
      <w:r w:rsidRPr="00205909">
        <w:rPr>
          <w:rFonts w:ascii="Garamond" w:hAnsi="Garamond" w:cs="Times New Roman"/>
          <w:sz w:val="24"/>
          <w:szCs w:val="24"/>
        </w:rPr>
        <w:t xml:space="preserve">La </w:t>
      </w:r>
      <w:r w:rsidRPr="00205909">
        <w:rPr>
          <w:rFonts w:ascii="Garamond" w:hAnsi="Garamond" w:cs="Times New Roman"/>
          <w:i/>
          <w:iCs/>
          <w:sz w:val="24"/>
          <w:szCs w:val="24"/>
        </w:rPr>
        <w:t>conduite des formes de guerre atypique</w:t>
      </w:r>
      <w:r w:rsidRPr="00205909">
        <w:rPr>
          <w:rFonts w:ascii="Garamond" w:hAnsi="Garamond" w:cs="Times New Roman"/>
          <w:sz w:val="24"/>
          <w:szCs w:val="24"/>
        </w:rPr>
        <w:t>, non-armées et non-militaires</w:t>
      </w:r>
      <w:r w:rsidR="00CA3C5F" w:rsidRPr="00205909">
        <w:rPr>
          <w:rFonts w:ascii="Garamond" w:hAnsi="Garamond" w:cs="Times New Roman"/>
          <w:sz w:val="24"/>
          <w:szCs w:val="24"/>
        </w:rPr>
        <w:t>,</w:t>
      </w:r>
      <w:r w:rsidRPr="00205909">
        <w:rPr>
          <w:rFonts w:ascii="Garamond" w:hAnsi="Garamond" w:cs="Times New Roman"/>
          <w:sz w:val="24"/>
          <w:szCs w:val="24"/>
        </w:rPr>
        <w:t xml:space="preserve"> concerne </w:t>
      </w:r>
      <w:r w:rsidR="00CA3C5F" w:rsidRPr="00205909">
        <w:rPr>
          <w:rFonts w:ascii="Garamond" w:hAnsi="Garamond" w:cs="Times New Roman"/>
          <w:sz w:val="24"/>
          <w:szCs w:val="24"/>
        </w:rPr>
        <w:t xml:space="preserve">en revanche </w:t>
      </w:r>
      <w:r w:rsidRPr="00205909">
        <w:rPr>
          <w:rFonts w:ascii="Garamond" w:hAnsi="Garamond" w:cs="Times New Roman"/>
          <w:sz w:val="24"/>
          <w:szCs w:val="24"/>
        </w:rPr>
        <w:t xml:space="preserve">l’ensemble des citoyens (dont les militaires d’ailleurs), où ces valeurs sont saisies de manière extrêmement variée, voire totalement absente parfois selon que l’on est fonctionnaire d’Etat ou des collectivités territoriales, magistrat, universitaire, chef d’entreprise, cadre, salarié ou ouvrier, </w:t>
      </w:r>
      <w:r w:rsidR="002A6914">
        <w:rPr>
          <w:rFonts w:ascii="Garamond" w:hAnsi="Garamond" w:cs="Times New Roman"/>
          <w:sz w:val="24"/>
          <w:szCs w:val="24"/>
        </w:rPr>
        <w:t xml:space="preserve">agriculteur, </w:t>
      </w:r>
      <w:r w:rsidRPr="00205909">
        <w:rPr>
          <w:rFonts w:ascii="Garamond" w:hAnsi="Garamond" w:cs="Times New Roman"/>
          <w:sz w:val="24"/>
          <w:szCs w:val="24"/>
        </w:rPr>
        <w:t xml:space="preserve">professionnel libéral, commerçant, artiste, artisan, etc. </w:t>
      </w:r>
    </w:p>
    <w:p w14:paraId="6174C65D" w14:textId="10C5A604" w:rsidR="00DE3431" w:rsidRPr="00205909" w:rsidRDefault="00DE3431" w:rsidP="00CA3C5F">
      <w:pPr>
        <w:widowControl w:val="0"/>
        <w:spacing w:after="0" w:line="240" w:lineRule="auto"/>
        <w:ind w:right="-1" w:firstLine="454"/>
        <w:jc w:val="both"/>
        <w:rPr>
          <w:rFonts w:ascii="Garamond" w:hAnsi="Garamond" w:cs="Times New Roman"/>
          <w:b/>
          <w:bCs/>
          <w:sz w:val="24"/>
          <w:szCs w:val="24"/>
        </w:rPr>
      </w:pPr>
      <w:r w:rsidRPr="00205909">
        <w:rPr>
          <w:rFonts w:ascii="Garamond" w:hAnsi="Garamond" w:cs="Times New Roman"/>
          <w:sz w:val="24"/>
          <w:szCs w:val="24"/>
        </w:rPr>
        <w:t xml:space="preserve">La promotion des libertés publiques, dans un Etat de droit, emporte </w:t>
      </w:r>
      <w:r w:rsidR="00CA3C5F" w:rsidRPr="00205909">
        <w:rPr>
          <w:rFonts w:ascii="Garamond" w:hAnsi="Garamond" w:cs="Times New Roman"/>
          <w:sz w:val="24"/>
          <w:szCs w:val="24"/>
        </w:rPr>
        <w:t xml:space="preserve">celle de </w:t>
      </w:r>
      <w:r w:rsidRPr="00205909">
        <w:rPr>
          <w:rFonts w:ascii="Garamond" w:hAnsi="Garamond" w:cs="Times New Roman"/>
          <w:sz w:val="24"/>
          <w:szCs w:val="24"/>
        </w:rPr>
        <w:t>la liberté d’opinion, d’expression, d’action</w:t>
      </w:r>
      <w:r w:rsidR="00CA3C5F" w:rsidRPr="00205909">
        <w:rPr>
          <w:rFonts w:ascii="Garamond" w:hAnsi="Garamond" w:cs="Times New Roman"/>
          <w:sz w:val="24"/>
          <w:szCs w:val="24"/>
        </w:rPr>
        <w:t>,</w:t>
      </w:r>
      <w:r w:rsidRPr="00205909">
        <w:rPr>
          <w:rFonts w:ascii="Garamond" w:hAnsi="Garamond" w:cs="Times New Roman"/>
          <w:sz w:val="24"/>
          <w:szCs w:val="24"/>
        </w:rPr>
        <w:t xml:space="preserve"> dont certains développements </w:t>
      </w:r>
      <w:r w:rsidR="00CA3C5F" w:rsidRPr="00205909">
        <w:rPr>
          <w:rFonts w:ascii="Garamond" w:hAnsi="Garamond" w:cs="Times New Roman"/>
          <w:sz w:val="24"/>
          <w:szCs w:val="24"/>
        </w:rPr>
        <w:t xml:space="preserve">tels qu’ils se réalisent dans la population non-militaire </w:t>
      </w:r>
      <w:r w:rsidRPr="00205909">
        <w:rPr>
          <w:rFonts w:ascii="Garamond" w:hAnsi="Garamond" w:cs="Times New Roman"/>
          <w:sz w:val="24"/>
          <w:szCs w:val="24"/>
        </w:rPr>
        <w:t>seraient considérés, militairement</w:t>
      </w:r>
      <w:r w:rsidR="00CA3C5F" w:rsidRPr="00205909">
        <w:rPr>
          <w:rFonts w:ascii="Garamond" w:hAnsi="Garamond" w:cs="Times New Roman"/>
          <w:sz w:val="24"/>
          <w:szCs w:val="24"/>
        </w:rPr>
        <w:t>,</w:t>
      </w:r>
      <w:r w:rsidRPr="00205909">
        <w:rPr>
          <w:rFonts w:ascii="Garamond" w:hAnsi="Garamond" w:cs="Times New Roman"/>
          <w:sz w:val="24"/>
          <w:szCs w:val="24"/>
        </w:rPr>
        <w:t xml:space="preserve"> comme des fautes disciplinaires, des rebellions, des désertions, voire des trahisons.</w:t>
      </w:r>
      <w:r w:rsidR="007F3E9A" w:rsidRPr="00205909">
        <w:rPr>
          <w:rFonts w:ascii="Garamond" w:hAnsi="Garamond" w:cs="Times New Roman"/>
          <w:sz w:val="24"/>
          <w:szCs w:val="24"/>
        </w:rPr>
        <w:t xml:space="preserve"> </w:t>
      </w:r>
    </w:p>
    <w:p w14:paraId="211FF55B" w14:textId="77777777" w:rsidR="008A717F" w:rsidRPr="00205909" w:rsidRDefault="00DE3431" w:rsidP="00DE3431">
      <w:pPr>
        <w:widowControl w:val="0"/>
        <w:spacing w:after="0" w:line="240" w:lineRule="auto"/>
        <w:ind w:right="-1" w:firstLine="454"/>
        <w:jc w:val="both"/>
        <w:rPr>
          <w:rFonts w:ascii="Garamond" w:hAnsi="Garamond" w:cs="Times New Roman"/>
          <w:sz w:val="24"/>
          <w:szCs w:val="24"/>
        </w:rPr>
      </w:pPr>
      <w:r w:rsidRPr="00205909">
        <w:rPr>
          <w:rFonts w:ascii="Garamond" w:hAnsi="Garamond" w:cs="Times New Roman"/>
          <w:sz w:val="24"/>
          <w:szCs w:val="24"/>
        </w:rPr>
        <w:t xml:space="preserve">C’est </w:t>
      </w:r>
      <w:r w:rsidR="007F3E9A" w:rsidRPr="00205909">
        <w:rPr>
          <w:rFonts w:ascii="Garamond" w:hAnsi="Garamond" w:cs="Times New Roman"/>
          <w:sz w:val="24"/>
          <w:szCs w:val="24"/>
        </w:rPr>
        <w:t>dans ces failles, irréductibles, que se nichent diverses formes d’agression don</w:t>
      </w:r>
      <w:r w:rsidR="008A717F" w:rsidRPr="00205909">
        <w:rPr>
          <w:rFonts w:ascii="Garamond" w:hAnsi="Garamond" w:cs="Times New Roman"/>
          <w:sz w:val="24"/>
          <w:szCs w:val="24"/>
        </w:rPr>
        <w:t>t</w:t>
      </w:r>
      <w:r w:rsidR="007F3E9A" w:rsidRPr="00205909">
        <w:rPr>
          <w:rFonts w:ascii="Garamond" w:hAnsi="Garamond" w:cs="Times New Roman"/>
          <w:sz w:val="24"/>
          <w:szCs w:val="24"/>
        </w:rPr>
        <w:t xml:space="preserve"> celui d’</w:t>
      </w:r>
      <w:r w:rsidR="007F3E9A" w:rsidRPr="00205909">
        <w:rPr>
          <w:rFonts w:ascii="Garamond" w:hAnsi="Garamond" w:cs="Times New Roman"/>
          <w:i/>
          <w:iCs/>
          <w:sz w:val="24"/>
          <w:szCs w:val="24"/>
        </w:rPr>
        <w:t>ingérence</w:t>
      </w:r>
      <w:r w:rsidR="007F3E9A" w:rsidRPr="00205909">
        <w:rPr>
          <w:rFonts w:ascii="Garamond" w:hAnsi="Garamond" w:cs="Times New Roman"/>
          <w:sz w:val="24"/>
          <w:szCs w:val="24"/>
        </w:rPr>
        <w:t xml:space="preserve">, terme devenu d’actualité majeure </w:t>
      </w:r>
      <w:r w:rsidR="008A717F" w:rsidRPr="00205909">
        <w:rPr>
          <w:rFonts w:ascii="Garamond" w:hAnsi="Garamond" w:cs="Times New Roman"/>
          <w:sz w:val="24"/>
          <w:szCs w:val="24"/>
        </w:rPr>
        <w:t>qui</w:t>
      </w:r>
      <w:r w:rsidR="007F3E9A" w:rsidRPr="00205909">
        <w:rPr>
          <w:rFonts w:ascii="Garamond" w:hAnsi="Garamond" w:cs="Times New Roman"/>
          <w:sz w:val="24"/>
          <w:szCs w:val="24"/>
        </w:rPr>
        <w:t xml:space="preserve"> couvre, grossièrement, tous les cas qui ne sont ni des cas d’espionnage, trahison, intelligence avec une puissance étrangère, etc., pénalement sanctionnés par les règles spécifiques des articles 410-1 et suivants du Code pénal. </w:t>
      </w:r>
    </w:p>
    <w:p w14:paraId="56289078" w14:textId="77777777" w:rsidR="001215BF" w:rsidRPr="00205909" w:rsidRDefault="007F3E9A" w:rsidP="001215BF">
      <w:pPr>
        <w:widowControl w:val="0"/>
        <w:spacing w:after="0" w:line="240" w:lineRule="auto"/>
        <w:ind w:right="-1" w:firstLine="454"/>
        <w:jc w:val="both"/>
        <w:rPr>
          <w:rFonts w:ascii="Garamond" w:hAnsi="Garamond" w:cs="Times New Roman"/>
          <w:i/>
          <w:iCs/>
          <w:sz w:val="24"/>
          <w:szCs w:val="24"/>
        </w:rPr>
      </w:pPr>
      <w:r w:rsidRPr="00205909">
        <w:rPr>
          <w:rFonts w:ascii="Garamond" w:hAnsi="Garamond" w:cs="Times New Roman"/>
          <w:sz w:val="24"/>
          <w:szCs w:val="24"/>
        </w:rPr>
        <w:t xml:space="preserve">C’est </w:t>
      </w:r>
      <w:r w:rsidR="00DE3431" w:rsidRPr="00205909">
        <w:rPr>
          <w:rFonts w:ascii="Garamond" w:hAnsi="Garamond" w:cs="Times New Roman"/>
          <w:sz w:val="24"/>
          <w:szCs w:val="24"/>
        </w:rPr>
        <w:t xml:space="preserve">donc dans un état d’esprit </w:t>
      </w:r>
      <w:r w:rsidRPr="00205909">
        <w:rPr>
          <w:rFonts w:ascii="Garamond" w:hAnsi="Garamond" w:cs="Times New Roman"/>
          <w:sz w:val="24"/>
          <w:szCs w:val="24"/>
        </w:rPr>
        <w:t xml:space="preserve">spécifique </w:t>
      </w:r>
      <w:r w:rsidR="00DE3431" w:rsidRPr="00205909">
        <w:rPr>
          <w:rFonts w:ascii="Garamond" w:hAnsi="Garamond" w:cs="Times New Roman"/>
          <w:sz w:val="24"/>
          <w:szCs w:val="24"/>
        </w:rPr>
        <w:t xml:space="preserve">dans lequel les idées de sensibilisation, responsabilisation, résilience, préparation, investissements, etc., </w:t>
      </w:r>
      <w:r w:rsidRPr="00205909">
        <w:rPr>
          <w:rFonts w:ascii="Garamond" w:hAnsi="Garamond" w:cs="Times New Roman"/>
          <w:sz w:val="24"/>
          <w:szCs w:val="24"/>
        </w:rPr>
        <w:t xml:space="preserve">peuvent être partagées, ou non, que s’inscrit l’hypothèse de la conduite de la guerre non-militaire et non-armée c’est-à-dire une forme générale de </w:t>
      </w:r>
      <w:proofErr w:type="spellStart"/>
      <w:r w:rsidRPr="00205909">
        <w:rPr>
          <w:rFonts w:ascii="Garamond" w:hAnsi="Garamond" w:cs="Times New Roman"/>
          <w:i/>
          <w:iCs/>
          <w:sz w:val="24"/>
          <w:szCs w:val="24"/>
        </w:rPr>
        <w:t>lawfare</w:t>
      </w:r>
      <w:proofErr w:type="spellEnd"/>
      <w:r w:rsidRPr="00205909">
        <w:rPr>
          <w:rFonts w:ascii="Garamond" w:hAnsi="Garamond" w:cs="Times New Roman"/>
          <w:i/>
          <w:iCs/>
          <w:sz w:val="24"/>
          <w:szCs w:val="24"/>
        </w:rPr>
        <w:t>.</w:t>
      </w:r>
    </w:p>
    <w:p w14:paraId="10E42754" w14:textId="77777777" w:rsidR="001215BF" w:rsidRPr="00205909" w:rsidRDefault="001215BF" w:rsidP="001215BF">
      <w:pPr>
        <w:widowControl w:val="0"/>
        <w:spacing w:after="0" w:line="240" w:lineRule="auto"/>
        <w:ind w:right="-1" w:firstLine="454"/>
        <w:jc w:val="both"/>
        <w:rPr>
          <w:rFonts w:ascii="Garamond" w:hAnsi="Garamond" w:cs="Times New Roman"/>
          <w:i/>
          <w:iCs/>
          <w:sz w:val="24"/>
          <w:szCs w:val="24"/>
        </w:rPr>
      </w:pPr>
    </w:p>
    <w:p w14:paraId="1109E3DF" w14:textId="28E0636B" w:rsidR="001215BF" w:rsidRPr="00205909" w:rsidRDefault="001215BF" w:rsidP="001215BF">
      <w:pPr>
        <w:widowControl w:val="0"/>
        <w:numPr>
          <w:ilvl w:val="0"/>
          <w:numId w:val="2"/>
        </w:numPr>
        <w:spacing w:after="0" w:line="240" w:lineRule="auto"/>
        <w:ind w:right="-1"/>
        <w:jc w:val="both"/>
        <w:rPr>
          <w:rFonts w:ascii="Garamond" w:hAnsi="Garamond" w:cs="Times New Roman"/>
          <w:b/>
          <w:bCs/>
          <w:sz w:val="24"/>
          <w:szCs w:val="24"/>
        </w:rPr>
      </w:pPr>
      <w:r w:rsidRPr="00205909">
        <w:rPr>
          <w:rFonts w:ascii="Garamond" w:hAnsi="Garamond" w:cs="Times New Roman"/>
          <w:sz w:val="24"/>
          <w:szCs w:val="24"/>
        </w:rPr>
        <w:t xml:space="preserve">Le pari fait ici consiste à comparer les moyens à disposition d’une entité étatique et privée pour défendre leurs intérêts et de mixer les méthodes. </w:t>
      </w:r>
    </w:p>
    <w:p w14:paraId="4377944A" w14:textId="77528B5D" w:rsidR="001215BF" w:rsidRPr="00205909" w:rsidRDefault="001215BF" w:rsidP="001215BF">
      <w:pPr>
        <w:widowControl w:val="0"/>
        <w:spacing w:after="0" w:line="240" w:lineRule="auto"/>
        <w:ind w:right="-1" w:firstLine="454"/>
        <w:jc w:val="both"/>
        <w:rPr>
          <w:rFonts w:ascii="Garamond" w:hAnsi="Garamond" w:cs="Times New Roman"/>
          <w:sz w:val="24"/>
          <w:szCs w:val="24"/>
        </w:rPr>
      </w:pPr>
      <w:r w:rsidRPr="00205909">
        <w:rPr>
          <w:rFonts w:ascii="Garamond" w:hAnsi="Garamond" w:cs="Times New Roman"/>
          <w:sz w:val="24"/>
          <w:szCs w:val="24"/>
        </w:rPr>
        <w:t xml:space="preserve">Ainsi, les moyens à la disposition d’un Etat sont, en fait et en droit, très limités : les moyens diplomatiques (bons offices, médiation, etc.) </w:t>
      </w:r>
      <w:r w:rsidR="00F017DC" w:rsidRPr="00205909">
        <w:rPr>
          <w:rFonts w:ascii="Garamond" w:hAnsi="Garamond" w:cs="Times New Roman"/>
          <w:sz w:val="24"/>
          <w:szCs w:val="24"/>
        </w:rPr>
        <w:t>qui s</w:t>
      </w:r>
      <w:r w:rsidR="001F7EB5">
        <w:rPr>
          <w:rFonts w:ascii="Garamond" w:hAnsi="Garamond" w:cs="Times New Roman"/>
          <w:sz w:val="24"/>
          <w:szCs w:val="24"/>
        </w:rPr>
        <w:t>on</w:t>
      </w:r>
      <w:r w:rsidR="00F017DC" w:rsidRPr="00205909">
        <w:rPr>
          <w:rFonts w:ascii="Garamond" w:hAnsi="Garamond" w:cs="Times New Roman"/>
          <w:sz w:val="24"/>
          <w:szCs w:val="24"/>
        </w:rPr>
        <w:t xml:space="preserve">t équivalent à ne rien faire ou à peu près et </w:t>
      </w:r>
      <w:r w:rsidRPr="00205909">
        <w:rPr>
          <w:rFonts w:ascii="Garamond" w:hAnsi="Garamond" w:cs="Times New Roman"/>
          <w:sz w:val="24"/>
          <w:szCs w:val="24"/>
        </w:rPr>
        <w:t>sans effet face à une entité autoritaire et décidée, ou l’utilisation de la force armée, sans alternative</w:t>
      </w:r>
      <w:r w:rsidR="00F017DC" w:rsidRPr="00205909">
        <w:rPr>
          <w:rFonts w:ascii="Garamond" w:hAnsi="Garamond" w:cs="Times New Roman"/>
          <w:sz w:val="24"/>
          <w:szCs w:val="24"/>
        </w:rPr>
        <w:t xml:space="preserve"> </w:t>
      </w:r>
      <w:r w:rsidR="00A13E94" w:rsidRPr="00205909">
        <w:rPr>
          <w:rFonts w:ascii="Garamond" w:hAnsi="Garamond" w:cs="Times New Roman"/>
          <w:sz w:val="24"/>
          <w:szCs w:val="24"/>
        </w:rPr>
        <w:t xml:space="preserve">véritablement </w:t>
      </w:r>
      <w:r w:rsidR="00F017DC" w:rsidRPr="00205909">
        <w:rPr>
          <w:rFonts w:ascii="Garamond" w:hAnsi="Garamond" w:cs="Times New Roman"/>
          <w:sz w:val="24"/>
          <w:szCs w:val="24"/>
        </w:rPr>
        <w:t>utile</w:t>
      </w:r>
      <w:r w:rsidRPr="00205909">
        <w:rPr>
          <w:rFonts w:ascii="Garamond" w:hAnsi="Garamond" w:cs="Times New Roman"/>
          <w:sz w:val="24"/>
          <w:szCs w:val="24"/>
        </w:rPr>
        <w:t xml:space="preserve">. </w:t>
      </w:r>
    </w:p>
    <w:p w14:paraId="5D80B026" w14:textId="337D7009" w:rsidR="001215BF" w:rsidRPr="00205909" w:rsidRDefault="001215BF" w:rsidP="001215BF">
      <w:pPr>
        <w:widowControl w:val="0"/>
        <w:spacing w:after="0" w:line="240" w:lineRule="auto"/>
        <w:ind w:right="-1" w:firstLine="454"/>
        <w:jc w:val="both"/>
        <w:rPr>
          <w:rFonts w:ascii="Garamond" w:hAnsi="Garamond" w:cs="Times New Roman"/>
          <w:sz w:val="24"/>
          <w:szCs w:val="24"/>
        </w:rPr>
      </w:pPr>
      <w:r w:rsidRPr="00205909">
        <w:rPr>
          <w:rFonts w:ascii="Garamond" w:hAnsi="Garamond" w:cs="Times New Roman"/>
          <w:sz w:val="24"/>
          <w:szCs w:val="24"/>
        </w:rPr>
        <w:t xml:space="preserve">Les moyens à la disposition d’une entité privée sont inversement considérables : puisqu’il ne lui est pas possible (dans un Etat de droit) de recouvrer une dette par l’utilisation de la force armée, elle dispose de moyens diversifiés et souvent très efficaces pour y parvenir : optimisation contractuelle, procédure civile et arbitrale, </w:t>
      </w:r>
      <w:r w:rsidR="001F7EB5">
        <w:rPr>
          <w:rFonts w:ascii="Garamond" w:hAnsi="Garamond" w:cs="Times New Roman"/>
          <w:sz w:val="24"/>
          <w:szCs w:val="24"/>
        </w:rPr>
        <w:t xml:space="preserve">techniques d’exécution, </w:t>
      </w:r>
      <w:r w:rsidRPr="00205909">
        <w:rPr>
          <w:rFonts w:ascii="Garamond" w:hAnsi="Garamond" w:cs="Times New Roman"/>
          <w:sz w:val="24"/>
          <w:szCs w:val="24"/>
        </w:rPr>
        <w:t xml:space="preserve">etc. </w:t>
      </w:r>
    </w:p>
    <w:p w14:paraId="7ED7C5A4" w14:textId="3F2839F1" w:rsidR="001215BF" w:rsidRPr="00205909" w:rsidRDefault="001215BF" w:rsidP="001215BF">
      <w:pPr>
        <w:widowControl w:val="0"/>
        <w:spacing w:after="0" w:line="240" w:lineRule="auto"/>
        <w:ind w:right="-1" w:firstLine="454"/>
        <w:jc w:val="both"/>
        <w:rPr>
          <w:rFonts w:ascii="Garamond" w:hAnsi="Garamond" w:cs="Times New Roman"/>
          <w:sz w:val="24"/>
          <w:szCs w:val="24"/>
        </w:rPr>
      </w:pPr>
      <w:r w:rsidRPr="00205909">
        <w:rPr>
          <w:rFonts w:ascii="Garamond" w:hAnsi="Garamond" w:cs="Times New Roman"/>
          <w:sz w:val="24"/>
          <w:szCs w:val="24"/>
        </w:rPr>
        <w:t>Le pari consiste à considérer que l’utilisation de la force armée met en œuvre une méthode</w:t>
      </w:r>
      <w:r w:rsidR="001F7EB5">
        <w:rPr>
          <w:rFonts w:ascii="Garamond" w:hAnsi="Garamond" w:cs="Times New Roman"/>
          <w:sz w:val="24"/>
          <w:szCs w:val="24"/>
        </w:rPr>
        <w:t xml:space="preserve"> scientifique, rationnelle et largement enseignée dans les armées</w:t>
      </w:r>
      <w:r w:rsidRPr="00205909">
        <w:rPr>
          <w:rFonts w:ascii="Garamond" w:hAnsi="Garamond" w:cs="Times New Roman"/>
          <w:sz w:val="24"/>
          <w:szCs w:val="24"/>
        </w:rPr>
        <w:t xml:space="preserve">, la stratégie et la tactique militaires, qui est parfaitement transposable à la défense des intérêts d’une entité privée de quelque importance. La stratégie d’une telle entité consiste à définir ses « effets finaux recherchés » en fonction de ses moyens, et les moyens tactiques consistent à utiliser de la meilleure manière les diverses ressources de management, </w:t>
      </w:r>
      <w:r w:rsidR="001F7EB5">
        <w:rPr>
          <w:rFonts w:ascii="Garamond" w:hAnsi="Garamond" w:cs="Times New Roman"/>
          <w:sz w:val="24"/>
          <w:szCs w:val="24"/>
        </w:rPr>
        <w:t xml:space="preserve">de technique </w:t>
      </w:r>
      <w:r w:rsidRPr="00205909">
        <w:rPr>
          <w:rFonts w:ascii="Garamond" w:hAnsi="Garamond" w:cs="Times New Roman"/>
          <w:sz w:val="24"/>
          <w:szCs w:val="24"/>
        </w:rPr>
        <w:t>juridique</w:t>
      </w:r>
      <w:r w:rsidR="001F7EB5">
        <w:rPr>
          <w:rFonts w:ascii="Garamond" w:hAnsi="Garamond" w:cs="Times New Roman"/>
          <w:sz w:val="24"/>
          <w:szCs w:val="24"/>
        </w:rPr>
        <w:t>, contractuelle</w:t>
      </w:r>
      <w:r w:rsidRPr="00205909">
        <w:rPr>
          <w:rFonts w:ascii="Garamond" w:hAnsi="Garamond" w:cs="Times New Roman"/>
          <w:sz w:val="24"/>
          <w:szCs w:val="24"/>
        </w:rPr>
        <w:t>, processuelle</w:t>
      </w:r>
      <w:r w:rsidR="001F7EB5">
        <w:rPr>
          <w:rFonts w:ascii="Garamond" w:hAnsi="Garamond" w:cs="Times New Roman"/>
          <w:sz w:val="24"/>
          <w:szCs w:val="24"/>
        </w:rPr>
        <w:t>, sociétaire, etc.</w:t>
      </w:r>
      <w:r w:rsidRPr="00205909">
        <w:rPr>
          <w:rFonts w:ascii="Garamond" w:hAnsi="Garamond" w:cs="Times New Roman"/>
          <w:sz w:val="24"/>
          <w:szCs w:val="24"/>
        </w:rPr>
        <w:t xml:space="preserve">, </w:t>
      </w:r>
      <w:r w:rsidR="001F7EB5">
        <w:rPr>
          <w:rFonts w:ascii="Garamond" w:hAnsi="Garamond" w:cs="Times New Roman"/>
          <w:sz w:val="24"/>
          <w:szCs w:val="24"/>
        </w:rPr>
        <w:t xml:space="preserve">afin d’assurer </w:t>
      </w:r>
      <w:r w:rsidRPr="00205909">
        <w:rPr>
          <w:rFonts w:ascii="Garamond" w:hAnsi="Garamond" w:cs="Times New Roman"/>
          <w:sz w:val="24"/>
          <w:szCs w:val="24"/>
        </w:rPr>
        <w:t>dans son domaine, les missions qu</w:t>
      </w:r>
      <w:r w:rsidR="001F7EB5">
        <w:rPr>
          <w:rFonts w:ascii="Garamond" w:hAnsi="Garamond" w:cs="Times New Roman"/>
          <w:sz w:val="24"/>
          <w:szCs w:val="24"/>
        </w:rPr>
        <w:t xml:space="preserve">’elle s’est </w:t>
      </w:r>
      <w:r w:rsidRPr="00205909">
        <w:rPr>
          <w:rFonts w:ascii="Garamond" w:hAnsi="Garamond" w:cs="Times New Roman"/>
          <w:sz w:val="24"/>
          <w:szCs w:val="24"/>
        </w:rPr>
        <w:t xml:space="preserve">assignées. </w:t>
      </w:r>
    </w:p>
    <w:p w14:paraId="28DB53F2" w14:textId="7584053F" w:rsidR="001215BF" w:rsidRPr="00205909" w:rsidRDefault="001215BF" w:rsidP="001215BF">
      <w:pPr>
        <w:widowControl w:val="0"/>
        <w:spacing w:after="0" w:line="240" w:lineRule="auto"/>
        <w:ind w:right="-1" w:firstLine="454"/>
        <w:jc w:val="both"/>
        <w:rPr>
          <w:rFonts w:ascii="Garamond" w:hAnsi="Garamond" w:cs="Times New Roman"/>
          <w:sz w:val="24"/>
          <w:szCs w:val="24"/>
        </w:rPr>
      </w:pPr>
      <w:r w:rsidRPr="00205909">
        <w:rPr>
          <w:rFonts w:ascii="Garamond" w:hAnsi="Garamond" w:cs="Times New Roman"/>
          <w:sz w:val="24"/>
          <w:szCs w:val="24"/>
        </w:rPr>
        <w:t xml:space="preserve">Inversement et en retour, ces techniques méthodes, inventivité, ici des juristes, </w:t>
      </w:r>
      <w:r w:rsidR="0012126A">
        <w:rPr>
          <w:rFonts w:ascii="Garamond" w:hAnsi="Garamond" w:cs="Times New Roman"/>
          <w:i/>
          <w:iCs/>
          <w:sz w:val="24"/>
          <w:szCs w:val="24"/>
        </w:rPr>
        <w:t>dans la pratique de la conduite des litiges privés d’affaires</w:t>
      </w:r>
      <w:r w:rsidR="0012126A">
        <w:rPr>
          <w:rFonts w:ascii="Garamond" w:hAnsi="Garamond" w:cs="Times New Roman"/>
          <w:sz w:val="24"/>
          <w:szCs w:val="24"/>
        </w:rPr>
        <w:t xml:space="preserve">, </w:t>
      </w:r>
      <w:r w:rsidRPr="00205909">
        <w:rPr>
          <w:rFonts w:ascii="Garamond" w:hAnsi="Garamond" w:cs="Times New Roman"/>
          <w:sz w:val="24"/>
          <w:szCs w:val="24"/>
        </w:rPr>
        <w:t xml:space="preserve">peuvent parfaitement être utilisées par les entités étatiques, et notamment par les autorités diplomatiques et militaires pour accompagner leurs actions ou pallier le vide existant entre </w:t>
      </w:r>
      <w:r w:rsidR="0012126A">
        <w:rPr>
          <w:rFonts w:ascii="Garamond" w:hAnsi="Garamond" w:cs="Times New Roman"/>
          <w:sz w:val="24"/>
          <w:szCs w:val="24"/>
        </w:rPr>
        <w:t xml:space="preserve">les deux alternatives radicales que sont </w:t>
      </w:r>
      <w:r w:rsidRPr="00205909">
        <w:rPr>
          <w:rFonts w:ascii="Garamond" w:hAnsi="Garamond" w:cs="Times New Roman"/>
          <w:sz w:val="24"/>
          <w:szCs w:val="24"/>
        </w:rPr>
        <w:t xml:space="preserve">ne rien faire ou faire la guerre. </w:t>
      </w:r>
    </w:p>
    <w:p w14:paraId="4659FBCC" w14:textId="77777777" w:rsidR="008A717F" w:rsidRPr="00205909" w:rsidRDefault="008A717F" w:rsidP="00DE3431">
      <w:pPr>
        <w:widowControl w:val="0"/>
        <w:spacing w:after="0" w:line="240" w:lineRule="auto"/>
        <w:ind w:right="-1" w:firstLine="454"/>
        <w:jc w:val="both"/>
        <w:rPr>
          <w:rFonts w:ascii="Garamond" w:hAnsi="Garamond" w:cs="Times New Roman"/>
          <w:b/>
          <w:bCs/>
          <w:i/>
          <w:iCs/>
          <w:sz w:val="24"/>
          <w:szCs w:val="24"/>
        </w:rPr>
      </w:pPr>
    </w:p>
    <w:p w14:paraId="3814B89B" w14:textId="58A2C935" w:rsidR="00697BEE" w:rsidRPr="00205909" w:rsidRDefault="007F1788" w:rsidP="007F1788">
      <w:pPr>
        <w:widowControl w:val="0"/>
        <w:numPr>
          <w:ilvl w:val="0"/>
          <w:numId w:val="2"/>
        </w:numPr>
        <w:spacing w:after="0" w:line="240" w:lineRule="auto"/>
        <w:ind w:right="-1"/>
        <w:jc w:val="both"/>
        <w:rPr>
          <w:rFonts w:ascii="Garamond" w:hAnsi="Garamond" w:cs="Times New Roman"/>
          <w:b/>
          <w:bCs/>
          <w:sz w:val="24"/>
          <w:szCs w:val="24"/>
        </w:rPr>
      </w:pPr>
      <w:r w:rsidRPr="00205909">
        <w:rPr>
          <w:rFonts w:ascii="Garamond" w:hAnsi="Garamond" w:cs="Times New Roman"/>
          <w:sz w:val="24"/>
          <w:szCs w:val="24"/>
        </w:rPr>
        <w:t xml:space="preserve">Il n’est pas tout à fait certain que les démocraties libérales, telle que la France ou </w:t>
      </w:r>
      <w:r w:rsidR="0012126A">
        <w:rPr>
          <w:rFonts w:ascii="Garamond" w:hAnsi="Garamond" w:cs="Times New Roman"/>
          <w:sz w:val="24"/>
          <w:szCs w:val="24"/>
        </w:rPr>
        <w:t xml:space="preserve">les Etats membres de </w:t>
      </w:r>
      <w:r w:rsidRPr="00205909">
        <w:rPr>
          <w:rFonts w:ascii="Garamond" w:hAnsi="Garamond" w:cs="Times New Roman"/>
          <w:sz w:val="24"/>
          <w:szCs w:val="24"/>
        </w:rPr>
        <w:t xml:space="preserve">l’Union européenne, soient prêtes à saisir les différentes dimensions agressives de </w:t>
      </w:r>
      <w:r w:rsidR="0012126A">
        <w:rPr>
          <w:rFonts w:ascii="Garamond" w:hAnsi="Garamond" w:cs="Times New Roman"/>
          <w:sz w:val="24"/>
          <w:szCs w:val="24"/>
        </w:rPr>
        <w:t>leur</w:t>
      </w:r>
      <w:r w:rsidRPr="00205909">
        <w:rPr>
          <w:rFonts w:ascii="Garamond" w:hAnsi="Garamond" w:cs="Times New Roman"/>
          <w:sz w:val="24"/>
          <w:szCs w:val="24"/>
        </w:rPr>
        <w:t>s adversaires. Il n’y a en effet aucun exemple de conflit armé déclenché entre démocraties ni même déclenché par une démocratie sans une provocation préalable </w:t>
      </w:r>
      <w:r w:rsidR="0012126A">
        <w:rPr>
          <w:rFonts w:ascii="Garamond" w:hAnsi="Garamond" w:cs="Times New Roman"/>
          <w:sz w:val="24"/>
          <w:szCs w:val="24"/>
        </w:rPr>
        <w:t xml:space="preserve">(éventuellement surestimée d’ailleurs) </w:t>
      </w:r>
      <w:r w:rsidRPr="00205909">
        <w:rPr>
          <w:rFonts w:ascii="Garamond" w:hAnsi="Garamond" w:cs="Times New Roman"/>
          <w:sz w:val="24"/>
          <w:szCs w:val="24"/>
        </w:rPr>
        <w:t xml:space="preserve">: les </w:t>
      </w:r>
      <w:r w:rsidR="007F3E9A" w:rsidRPr="00205909">
        <w:rPr>
          <w:rFonts w:ascii="Garamond" w:hAnsi="Garamond" w:cs="Times New Roman"/>
          <w:sz w:val="24"/>
          <w:szCs w:val="24"/>
        </w:rPr>
        <w:t xml:space="preserve">actions menées par une telle démocratie libérale </w:t>
      </w:r>
      <w:r w:rsidRPr="00205909">
        <w:rPr>
          <w:rFonts w:ascii="Garamond" w:hAnsi="Garamond" w:cs="Times New Roman"/>
          <w:sz w:val="24"/>
          <w:szCs w:val="24"/>
        </w:rPr>
        <w:t>peuvent aller jusqu’au temps de la contestation, parfois dans une zone grise « sous le seuil de la guerre », mais pa</w:t>
      </w:r>
      <w:r w:rsidR="007F3E9A" w:rsidRPr="00205909">
        <w:rPr>
          <w:rFonts w:ascii="Garamond" w:hAnsi="Garamond" w:cs="Times New Roman"/>
          <w:sz w:val="24"/>
          <w:szCs w:val="24"/>
        </w:rPr>
        <w:t>s</w:t>
      </w:r>
      <w:r w:rsidRPr="00205909">
        <w:rPr>
          <w:rFonts w:ascii="Garamond" w:hAnsi="Garamond" w:cs="Times New Roman"/>
          <w:sz w:val="24"/>
          <w:szCs w:val="24"/>
        </w:rPr>
        <w:t xml:space="preserve"> au-delà</w:t>
      </w:r>
      <w:r w:rsidR="007F3E9A" w:rsidRPr="00205909">
        <w:rPr>
          <w:rFonts w:ascii="Garamond" w:hAnsi="Garamond" w:cs="Times New Roman"/>
          <w:sz w:val="24"/>
          <w:szCs w:val="24"/>
        </w:rPr>
        <w:t>, ou alors de manière non</w:t>
      </w:r>
      <w:r w:rsidR="0012126A">
        <w:rPr>
          <w:rFonts w:ascii="Garamond" w:hAnsi="Garamond" w:cs="Times New Roman"/>
          <w:sz w:val="24"/>
          <w:szCs w:val="24"/>
        </w:rPr>
        <w:t>-</w:t>
      </w:r>
      <w:r w:rsidR="007F3E9A" w:rsidRPr="00205909">
        <w:rPr>
          <w:rFonts w:ascii="Garamond" w:hAnsi="Garamond" w:cs="Times New Roman"/>
          <w:sz w:val="24"/>
          <w:szCs w:val="24"/>
        </w:rPr>
        <w:t>attribuable et non</w:t>
      </w:r>
      <w:r w:rsidR="0012126A">
        <w:rPr>
          <w:rFonts w:ascii="Garamond" w:hAnsi="Garamond" w:cs="Times New Roman"/>
          <w:sz w:val="24"/>
          <w:szCs w:val="24"/>
        </w:rPr>
        <w:t>-</w:t>
      </w:r>
      <w:proofErr w:type="spellStart"/>
      <w:r w:rsidR="007F3E9A" w:rsidRPr="00205909">
        <w:rPr>
          <w:rFonts w:ascii="Garamond" w:hAnsi="Garamond" w:cs="Times New Roman"/>
          <w:sz w:val="24"/>
          <w:szCs w:val="24"/>
        </w:rPr>
        <w:t>revendicable</w:t>
      </w:r>
      <w:proofErr w:type="spellEnd"/>
      <w:r w:rsidR="00697BEE" w:rsidRPr="00205909">
        <w:rPr>
          <w:rFonts w:ascii="Garamond" w:hAnsi="Garamond" w:cs="Times New Roman"/>
          <w:sz w:val="24"/>
          <w:szCs w:val="24"/>
        </w:rPr>
        <w:t>, c’est-à-dire clandestine</w:t>
      </w:r>
      <w:r w:rsidRPr="00205909">
        <w:rPr>
          <w:rFonts w:ascii="Garamond" w:hAnsi="Garamond" w:cs="Times New Roman"/>
          <w:sz w:val="24"/>
          <w:szCs w:val="24"/>
        </w:rPr>
        <w:t xml:space="preserve">. </w:t>
      </w:r>
    </w:p>
    <w:p w14:paraId="5256ADE7" w14:textId="20D0D017" w:rsidR="007F1788" w:rsidRPr="00205909" w:rsidRDefault="007F1788" w:rsidP="00697BEE">
      <w:pPr>
        <w:widowControl w:val="0"/>
        <w:spacing w:after="0" w:line="240" w:lineRule="auto"/>
        <w:ind w:right="-1" w:firstLine="454"/>
        <w:jc w:val="both"/>
        <w:rPr>
          <w:rFonts w:ascii="Garamond" w:hAnsi="Garamond" w:cs="Times New Roman"/>
          <w:b/>
          <w:bCs/>
          <w:sz w:val="24"/>
          <w:szCs w:val="24"/>
        </w:rPr>
      </w:pPr>
      <w:r w:rsidRPr="00205909">
        <w:rPr>
          <w:rFonts w:ascii="Garamond" w:hAnsi="Garamond" w:cs="Times New Roman"/>
          <w:sz w:val="24"/>
          <w:szCs w:val="24"/>
        </w:rPr>
        <w:t>En revanche, les Etats autoritaires, qui sont en quelque sorte en état de guerre permanente</w:t>
      </w:r>
      <w:r w:rsidR="00697BEE" w:rsidRPr="00205909">
        <w:rPr>
          <w:rFonts w:ascii="Garamond" w:hAnsi="Garamond" w:cs="Times New Roman"/>
          <w:sz w:val="24"/>
          <w:szCs w:val="24"/>
        </w:rPr>
        <w:t>, contre les autres Etats et leurs propres ressortissants</w:t>
      </w:r>
      <w:r w:rsidRPr="00205909">
        <w:rPr>
          <w:rFonts w:ascii="Garamond" w:hAnsi="Garamond" w:cs="Times New Roman"/>
          <w:sz w:val="24"/>
          <w:szCs w:val="24"/>
        </w:rPr>
        <w:t xml:space="preserve">, </w:t>
      </w:r>
      <w:r w:rsidR="0012126A">
        <w:rPr>
          <w:rFonts w:ascii="Garamond" w:hAnsi="Garamond" w:cs="Times New Roman"/>
          <w:sz w:val="24"/>
          <w:szCs w:val="24"/>
        </w:rPr>
        <w:t xml:space="preserve">dans une logique paranoïaque proportionnelle de celle de leurs dirigeants, </w:t>
      </w:r>
      <w:r w:rsidRPr="00205909">
        <w:rPr>
          <w:rFonts w:ascii="Garamond" w:hAnsi="Garamond" w:cs="Times New Roman"/>
          <w:sz w:val="24"/>
          <w:szCs w:val="24"/>
        </w:rPr>
        <w:t>utilisent tous les moyens possibles, y compris armés, pour faire valoir leurs points de vue : espionnage, arrestations arbitraires</w:t>
      </w:r>
      <w:r w:rsidR="00697BEE" w:rsidRPr="00205909">
        <w:rPr>
          <w:rFonts w:ascii="Garamond" w:hAnsi="Garamond" w:cs="Times New Roman"/>
          <w:sz w:val="24"/>
          <w:szCs w:val="24"/>
        </w:rPr>
        <w:t xml:space="preserve"> d’opposants ou</w:t>
      </w:r>
      <w:r w:rsidRPr="00205909">
        <w:rPr>
          <w:rFonts w:ascii="Garamond" w:hAnsi="Garamond" w:cs="Times New Roman"/>
          <w:sz w:val="24"/>
          <w:szCs w:val="24"/>
        </w:rPr>
        <w:t xml:space="preserve"> de ressortissants de leurs adversaires, mesures de « confiscation » de biens étrangers, campagnes de manipulation, cyberattaques, ingérences diverses, utilisation de relais internes par autant d’ « idiots utiles »</w:t>
      </w:r>
      <w:r w:rsidR="00C378D1" w:rsidRPr="00205909">
        <w:rPr>
          <w:rFonts w:ascii="Garamond" w:hAnsi="Garamond" w:cs="Times New Roman"/>
          <w:sz w:val="24"/>
          <w:szCs w:val="24"/>
        </w:rPr>
        <w:t xml:space="preserve"> ou complices </w:t>
      </w:r>
      <w:r w:rsidR="00525781" w:rsidRPr="00205909">
        <w:rPr>
          <w:rFonts w:ascii="Garamond" w:hAnsi="Garamond" w:cs="Times New Roman"/>
          <w:sz w:val="24"/>
          <w:szCs w:val="24"/>
        </w:rPr>
        <w:t xml:space="preserve">directs ou </w:t>
      </w:r>
      <w:r w:rsidR="00C378D1" w:rsidRPr="00205909">
        <w:rPr>
          <w:rFonts w:ascii="Garamond" w:hAnsi="Garamond" w:cs="Times New Roman"/>
          <w:sz w:val="24"/>
          <w:szCs w:val="24"/>
        </w:rPr>
        <w:t>indirects</w:t>
      </w:r>
      <w:r w:rsidRPr="00205909">
        <w:rPr>
          <w:rFonts w:ascii="Garamond" w:hAnsi="Garamond" w:cs="Times New Roman"/>
          <w:sz w:val="24"/>
          <w:szCs w:val="24"/>
        </w:rPr>
        <w:t xml:space="preserve">, etc. </w:t>
      </w:r>
    </w:p>
    <w:p w14:paraId="7E6F9EFD" w14:textId="4D7AC1AC" w:rsidR="00324028" w:rsidRPr="00205909" w:rsidRDefault="0012126A" w:rsidP="00324028">
      <w:pPr>
        <w:widowControl w:val="0"/>
        <w:spacing w:after="0" w:line="240" w:lineRule="auto"/>
        <w:ind w:right="-1" w:firstLine="454"/>
        <w:jc w:val="both"/>
        <w:rPr>
          <w:rFonts w:ascii="Garamond" w:hAnsi="Garamond" w:cs="Times New Roman"/>
          <w:b/>
          <w:bCs/>
          <w:sz w:val="24"/>
          <w:szCs w:val="24"/>
        </w:rPr>
      </w:pPr>
      <w:r>
        <w:rPr>
          <w:rFonts w:ascii="Garamond" w:hAnsi="Garamond" w:cs="Times New Roman"/>
          <w:sz w:val="24"/>
          <w:szCs w:val="24"/>
        </w:rPr>
        <w:t>Sans doute, parce que l</w:t>
      </w:r>
      <w:r w:rsidR="00324028" w:rsidRPr="00205909">
        <w:rPr>
          <w:rFonts w:ascii="Garamond" w:hAnsi="Garamond" w:cs="Times New Roman"/>
          <w:sz w:val="24"/>
          <w:szCs w:val="24"/>
        </w:rPr>
        <w:t xml:space="preserve">es règles de droit de ces démocraties </w:t>
      </w:r>
      <w:r w:rsidR="00697BEE" w:rsidRPr="00205909">
        <w:rPr>
          <w:rFonts w:ascii="Garamond" w:hAnsi="Garamond" w:cs="Times New Roman"/>
          <w:sz w:val="24"/>
          <w:szCs w:val="24"/>
        </w:rPr>
        <w:t xml:space="preserve">libérales </w:t>
      </w:r>
      <w:r w:rsidR="00324028" w:rsidRPr="00205909">
        <w:rPr>
          <w:rFonts w:ascii="Garamond" w:hAnsi="Garamond" w:cs="Times New Roman"/>
          <w:sz w:val="24"/>
          <w:szCs w:val="24"/>
        </w:rPr>
        <w:t>ne couvrent pas parfaitement tous les champs visés par ces situations</w:t>
      </w:r>
      <w:r>
        <w:rPr>
          <w:rFonts w:ascii="Garamond" w:hAnsi="Garamond" w:cs="Times New Roman"/>
          <w:sz w:val="24"/>
          <w:szCs w:val="24"/>
        </w:rPr>
        <w:t>,</w:t>
      </w:r>
      <w:r w:rsidR="00324028" w:rsidRPr="00205909">
        <w:rPr>
          <w:rFonts w:ascii="Garamond" w:hAnsi="Garamond" w:cs="Times New Roman"/>
          <w:sz w:val="24"/>
          <w:szCs w:val="24"/>
        </w:rPr>
        <w:t xml:space="preserve"> </w:t>
      </w:r>
      <w:r w:rsidR="00525781" w:rsidRPr="00205909">
        <w:rPr>
          <w:rFonts w:ascii="Garamond" w:hAnsi="Garamond" w:cs="Times New Roman"/>
          <w:sz w:val="24"/>
          <w:szCs w:val="24"/>
        </w:rPr>
        <w:t xml:space="preserve">le </w:t>
      </w:r>
      <w:r w:rsidR="00324028" w:rsidRPr="00205909">
        <w:rPr>
          <w:rFonts w:ascii="Garamond" w:hAnsi="Garamond" w:cs="Times New Roman"/>
          <w:sz w:val="24"/>
          <w:szCs w:val="24"/>
        </w:rPr>
        <w:t>terme spécifique</w:t>
      </w:r>
      <w:r w:rsidR="00525781" w:rsidRPr="00205909">
        <w:rPr>
          <w:rFonts w:ascii="Garamond" w:hAnsi="Garamond" w:cs="Times New Roman"/>
          <w:sz w:val="24"/>
          <w:szCs w:val="24"/>
        </w:rPr>
        <w:t xml:space="preserve"> de </w:t>
      </w:r>
      <w:proofErr w:type="spellStart"/>
      <w:r w:rsidR="00525781" w:rsidRPr="00205909">
        <w:rPr>
          <w:rFonts w:ascii="Garamond" w:hAnsi="Garamond" w:cs="Times New Roman"/>
          <w:i/>
          <w:iCs/>
          <w:sz w:val="24"/>
          <w:szCs w:val="24"/>
        </w:rPr>
        <w:t>lawfare</w:t>
      </w:r>
      <w:proofErr w:type="spellEnd"/>
      <w:r w:rsidR="00525781" w:rsidRPr="00205909">
        <w:rPr>
          <w:rFonts w:ascii="Garamond" w:hAnsi="Garamond" w:cs="Times New Roman"/>
          <w:i/>
          <w:iCs/>
          <w:sz w:val="24"/>
          <w:szCs w:val="24"/>
        </w:rPr>
        <w:t xml:space="preserve"> </w:t>
      </w:r>
      <w:r w:rsidR="00525781" w:rsidRPr="00205909">
        <w:rPr>
          <w:rFonts w:ascii="Garamond" w:hAnsi="Garamond" w:cs="Times New Roman"/>
          <w:sz w:val="24"/>
          <w:szCs w:val="24"/>
        </w:rPr>
        <w:t>est souvent</w:t>
      </w:r>
      <w:r w:rsidR="00324028" w:rsidRPr="00205909">
        <w:rPr>
          <w:rFonts w:ascii="Garamond" w:hAnsi="Garamond" w:cs="Times New Roman"/>
          <w:sz w:val="24"/>
          <w:szCs w:val="24"/>
        </w:rPr>
        <w:t xml:space="preserve"> utilisé pour identifier ces situations juridiques complexes</w:t>
      </w:r>
      <w:r w:rsidR="00525781" w:rsidRPr="00205909">
        <w:rPr>
          <w:rFonts w:ascii="Garamond" w:hAnsi="Garamond" w:cs="Times New Roman"/>
          <w:sz w:val="24"/>
          <w:szCs w:val="24"/>
        </w:rPr>
        <w:t xml:space="preserve"> et </w:t>
      </w:r>
      <w:r>
        <w:rPr>
          <w:rFonts w:ascii="Garamond" w:hAnsi="Garamond" w:cs="Times New Roman"/>
          <w:sz w:val="24"/>
          <w:szCs w:val="24"/>
        </w:rPr>
        <w:t xml:space="preserve">éventuellement </w:t>
      </w:r>
      <w:r w:rsidR="00525781" w:rsidRPr="00205909">
        <w:rPr>
          <w:rFonts w:ascii="Garamond" w:hAnsi="Garamond" w:cs="Times New Roman"/>
          <w:sz w:val="24"/>
          <w:szCs w:val="24"/>
        </w:rPr>
        <w:t>leur traitement</w:t>
      </w:r>
      <w:r w:rsidR="00324028" w:rsidRPr="00205909">
        <w:rPr>
          <w:rFonts w:ascii="Garamond" w:hAnsi="Garamond" w:cs="Times New Roman"/>
          <w:i/>
          <w:iCs/>
          <w:sz w:val="24"/>
          <w:szCs w:val="24"/>
        </w:rPr>
        <w:t>.</w:t>
      </w:r>
    </w:p>
    <w:p w14:paraId="56F729E0" w14:textId="77777777" w:rsidR="002876B2" w:rsidRPr="00205909" w:rsidRDefault="002876B2" w:rsidP="002876B2">
      <w:pPr>
        <w:widowControl w:val="0"/>
        <w:spacing w:after="0" w:line="240" w:lineRule="auto"/>
        <w:ind w:left="454" w:right="-1"/>
        <w:jc w:val="both"/>
        <w:rPr>
          <w:rFonts w:ascii="Garamond" w:hAnsi="Garamond" w:cs="Times New Roman"/>
          <w:sz w:val="24"/>
          <w:szCs w:val="24"/>
        </w:rPr>
      </w:pPr>
    </w:p>
    <w:p w14:paraId="4087F53D" w14:textId="5C5F235F" w:rsidR="007F1788" w:rsidRPr="00205909" w:rsidRDefault="007F1788" w:rsidP="00324028">
      <w:pPr>
        <w:widowControl w:val="0"/>
        <w:numPr>
          <w:ilvl w:val="0"/>
          <w:numId w:val="2"/>
        </w:numPr>
        <w:spacing w:after="0" w:line="240" w:lineRule="auto"/>
        <w:ind w:right="-1"/>
        <w:jc w:val="both"/>
        <w:rPr>
          <w:rFonts w:ascii="Garamond" w:hAnsi="Garamond" w:cs="Times New Roman"/>
          <w:sz w:val="24"/>
          <w:szCs w:val="24"/>
        </w:rPr>
      </w:pPr>
      <w:r w:rsidRPr="00205909">
        <w:rPr>
          <w:rFonts w:ascii="Garamond" w:hAnsi="Garamond" w:cs="Times New Roman"/>
          <w:sz w:val="24"/>
          <w:szCs w:val="24"/>
        </w:rPr>
        <w:t>La notion de « </w:t>
      </w:r>
      <w:proofErr w:type="spellStart"/>
      <w:r w:rsidRPr="00205909">
        <w:rPr>
          <w:rFonts w:ascii="Garamond" w:hAnsi="Garamond" w:cs="Times New Roman"/>
          <w:i/>
          <w:iCs/>
          <w:sz w:val="24"/>
          <w:szCs w:val="24"/>
        </w:rPr>
        <w:t>lawfare</w:t>
      </w:r>
      <w:proofErr w:type="spellEnd"/>
      <w:r w:rsidRPr="00205909">
        <w:rPr>
          <w:rFonts w:ascii="Garamond" w:hAnsi="Garamond" w:cs="Times New Roman"/>
          <w:sz w:val="24"/>
          <w:szCs w:val="24"/>
        </w:rPr>
        <w:t xml:space="preserve"> », contraction (en anglais) des termes </w:t>
      </w:r>
      <w:proofErr w:type="spellStart"/>
      <w:r w:rsidRPr="00205909">
        <w:rPr>
          <w:rFonts w:ascii="Garamond" w:hAnsi="Garamond" w:cs="Times New Roman"/>
          <w:i/>
          <w:iCs/>
          <w:sz w:val="24"/>
          <w:szCs w:val="24"/>
        </w:rPr>
        <w:t>law</w:t>
      </w:r>
      <w:proofErr w:type="spellEnd"/>
      <w:r w:rsidRPr="00205909">
        <w:rPr>
          <w:rFonts w:ascii="Garamond" w:hAnsi="Garamond" w:cs="Times New Roman"/>
          <w:i/>
          <w:iCs/>
          <w:sz w:val="24"/>
          <w:szCs w:val="24"/>
        </w:rPr>
        <w:t xml:space="preserve"> </w:t>
      </w:r>
      <w:r w:rsidRPr="00205909">
        <w:rPr>
          <w:rFonts w:ascii="Garamond" w:hAnsi="Garamond" w:cs="Times New Roman"/>
          <w:sz w:val="24"/>
          <w:szCs w:val="24"/>
        </w:rPr>
        <w:t xml:space="preserve">et </w:t>
      </w:r>
      <w:proofErr w:type="spellStart"/>
      <w:r w:rsidRPr="00205909">
        <w:rPr>
          <w:rFonts w:ascii="Garamond" w:hAnsi="Garamond" w:cs="Times New Roman"/>
          <w:i/>
          <w:iCs/>
          <w:sz w:val="24"/>
          <w:szCs w:val="24"/>
        </w:rPr>
        <w:t>warfare</w:t>
      </w:r>
      <w:proofErr w:type="spellEnd"/>
      <w:r w:rsidRPr="00205909">
        <w:rPr>
          <w:rFonts w:ascii="Garamond" w:hAnsi="Garamond" w:cs="Times New Roman"/>
          <w:i/>
          <w:iCs/>
          <w:sz w:val="24"/>
          <w:szCs w:val="24"/>
        </w:rPr>
        <w:t>,</w:t>
      </w:r>
      <w:r w:rsidRPr="00205909">
        <w:rPr>
          <w:rFonts w:ascii="Garamond" w:hAnsi="Garamond" w:cs="Times New Roman"/>
          <w:sz w:val="24"/>
          <w:szCs w:val="24"/>
        </w:rPr>
        <w:t xml:space="preserve"> renvoie à première </w:t>
      </w:r>
      <w:r w:rsidR="002A33FD">
        <w:rPr>
          <w:rFonts w:ascii="Garamond" w:hAnsi="Garamond" w:cs="Times New Roman"/>
          <w:sz w:val="24"/>
          <w:szCs w:val="24"/>
        </w:rPr>
        <w:t>vue</w:t>
      </w:r>
      <w:r w:rsidRPr="00205909">
        <w:rPr>
          <w:rFonts w:ascii="Garamond" w:hAnsi="Garamond" w:cs="Times New Roman"/>
          <w:sz w:val="24"/>
          <w:szCs w:val="24"/>
        </w:rPr>
        <w:t xml:space="preserve"> à l’idée assez banale de ce que l’application des règles de droit peut conduire à des conflits, parfois très sérieux, très concrets</w:t>
      </w:r>
      <w:r w:rsidR="00C44B1E" w:rsidRPr="00205909">
        <w:rPr>
          <w:rFonts w:ascii="Garamond" w:hAnsi="Garamond" w:cs="Times New Roman"/>
          <w:sz w:val="24"/>
          <w:szCs w:val="24"/>
        </w:rPr>
        <w:t xml:space="preserve">, </w:t>
      </w:r>
      <w:r w:rsidRPr="00205909">
        <w:rPr>
          <w:rFonts w:ascii="Garamond" w:hAnsi="Garamond" w:cs="Times New Roman"/>
          <w:sz w:val="24"/>
          <w:szCs w:val="24"/>
        </w:rPr>
        <w:t>très techniques</w:t>
      </w:r>
      <w:r w:rsidR="00C44B1E" w:rsidRPr="00205909">
        <w:rPr>
          <w:rFonts w:ascii="Garamond" w:hAnsi="Garamond" w:cs="Times New Roman"/>
          <w:sz w:val="24"/>
          <w:szCs w:val="24"/>
        </w:rPr>
        <w:t xml:space="preserve"> souvent dans le champ du droit des affaires</w:t>
      </w:r>
      <w:r w:rsidRPr="00205909">
        <w:rPr>
          <w:rFonts w:ascii="Garamond" w:hAnsi="Garamond" w:cs="Times New Roman"/>
          <w:sz w:val="24"/>
          <w:szCs w:val="24"/>
        </w:rPr>
        <w:t xml:space="preserve">, ce dont le dédicataire de ces lignes est un immense témoin. Pour autant, cette vue initiale n’est pas celle qui est généralement retenue, ou en tout cas, ce n’est pas ce que ce terme, inconnu avant son apparition dans les années 1990, veut signifier. </w:t>
      </w:r>
    </w:p>
    <w:p w14:paraId="4FD8ABF5" w14:textId="77777777" w:rsidR="006C1FF4" w:rsidRPr="00205909" w:rsidRDefault="00B05FD8" w:rsidP="00525781">
      <w:pPr>
        <w:widowControl w:val="0"/>
        <w:spacing w:after="0" w:line="240" w:lineRule="auto"/>
        <w:ind w:firstLine="454"/>
        <w:jc w:val="both"/>
        <w:rPr>
          <w:rFonts w:ascii="Garamond" w:hAnsi="Garamond" w:cs="Times New Roman"/>
          <w:b/>
          <w:bCs/>
          <w:sz w:val="24"/>
          <w:szCs w:val="24"/>
        </w:rPr>
      </w:pPr>
      <w:r w:rsidRPr="00205909">
        <w:rPr>
          <w:rFonts w:ascii="Garamond" w:hAnsi="Garamond" w:cs="Times New Roman"/>
          <w:sz w:val="24"/>
          <w:szCs w:val="24"/>
        </w:rPr>
        <w:t xml:space="preserve">Il faut </w:t>
      </w:r>
      <w:r w:rsidR="006A0E31" w:rsidRPr="00205909">
        <w:rPr>
          <w:rFonts w:ascii="Garamond" w:hAnsi="Garamond" w:cs="Times New Roman"/>
          <w:sz w:val="24"/>
          <w:szCs w:val="24"/>
        </w:rPr>
        <w:t xml:space="preserve">reconnaître </w:t>
      </w:r>
      <w:r w:rsidRPr="00205909">
        <w:rPr>
          <w:rFonts w:ascii="Garamond" w:hAnsi="Garamond" w:cs="Times New Roman"/>
          <w:sz w:val="24"/>
          <w:szCs w:val="24"/>
        </w:rPr>
        <w:t>que le terme</w:t>
      </w:r>
      <w:r w:rsidR="00475E36" w:rsidRPr="00205909">
        <w:rPr>
          <w:rFonts w:ascii="Garamond" w:hAnsi="Garamond" w:cs="Times New Roman"/>
          <w:sz w:val="24"/>
          <w:szCs w:val="24"/>
        </w:rPr>
        <w:t xml:space="preserve"> </w:t>
      </w:r>
      <w:proofErr w:type="spellStart"/>
      <w:r w:rsidR="00475E36" w:rsidRPr="00205909">
        <w:rPr>
          <w:rFonts w:ascii="Garamond" w:hAnsi="Garamond" w:cs="Times New Roman"/>
          <w:i/>
          <w:iCs/>
          <w:sz w:val="24"/>
          <w:szCs w:val="24"/>
        </w:rPr>
        <w:t>lawfare</w:t>
      </w:r>
      <w:proofErr w:type="spellEnd"/>
      <w:r w:rsidR="00475E36" w:rsidRPr="00205909">
        <w:rPr>
          <w:rStyle w:val="Appelnotedebasdep"/>
          <w:rFonts w:ascii="Garamond" w:hAnsi="Garamond" w:cs="Times New Roman"/>
          <w:sz w:val="24"/>
          <w:szCs w:val="24"/>
        </w:rPr>
        <w:footnoteReference w:id="4"/>
      </w:r>
      <w:r w:rsidRPr="00205909">
        <w:rPr>
          <w:rFonts w:ascii="Garamond" w:hAnsi="Garamond" w:cs="Times New Roman"/>
          <w:sz w:val="24"/>
          <w:szCs w:val="24"/>
        </w:rPr>
        <w:t xml:space="preserve"> est </w:t>
      </w:r>
      <w:r w:rsidR="006A0E31" w:rsidRPr="00205909">
        <w:rPr>
          <w:rFonts w:ascii="Garamond" w:hAnsi="Garamond" w:cs="Times New Roman"/>
          <w:sz w:val="24"/>
          <w:szCs w:val="24"/>
        </w:rPr>
        <w:t xml:space="preserve">sinon </w:t>
      </w:r>
      <w:r w:rsidRPr="00205909">
        <w:rPr>
          <w:rFonts w:ascii="Garamond" w:hAnsi="Garamond" w:cs="Times New Roman"/>
          <w:sz w:val="24"/>
          <w:szCs w:val="24"/>
        </w:rPr>
        <w:t>élégant</w:t>
      </w:r>
      <w:r w:rsidR="006A0E31" w:rsidRPr="00205909">
        <w:rPr>
          <w:rFonts w:ascii="Garamond" w:hAnsi="Garamond" w:cs="Times New Roman"/>
          <w:sz w:val="24"/>
          <w:szCs w:val="24"/>
        </w:rPr>
        <w:t xml:space="preserve"> du moins efficace, qu’il « sonne »</w:t>
      </w:r>
      <w:r w:rsidR="00571A7A" w:rsidRPr="00205909">
        <w:rPr>
          <w:rFonts w:ascii="Garamond" w:hAnsi="Garamond" w:cs="Times New Roman"/>
          <w:sz w:val="24"/>
          <w:szCs w:val="24"/>
        </w:rPr>
        <w:t xml:space="preserve">, </w:t>
      </w:r>
      <w:r w:rsidR="006D1B68" w:rsidRPr="00205909">
        <w:rPr>
          <w:rFonts w:ascii="Garamond" w:hAnsi="Garamond" w:cs="Times New Roman"/>
          <w:sz w:val="24"/>
          <w:szCs w:val="24"/>
        </w:rPr>
        <w:t xml:space="preserve">qu’il « claque » diraient mes enfants, </w:t>
      </w:r>
      <w:r w:rsidR="00571A7A" w:rsidRPr="00205909">
        <w:rPr>
          <w:rFonts w:ascii="Garamond" w:hAnsi="Garamond" w:cs="Times New Roman"/>
          <w:sz w:val="24"/>
          <w:szCs w:val="24"/>
        </w:rPr>
        <w:t>quand bien même il serait à peu près ignoré de la littérature juridique française</w:t>
      </w:r>
      <w:r w:rsidR="00571A7A" w:rsidRPr="00205909">
        <w:rPr>
          <w:rStyle w:val="Appelnotedebasdep"/>
          <w:rFonts w:ascii="Garamond" w:hAnsi="Garamond" w:cs="Times New Roman"/>
          <w:sz w:val="24"/>
          <w:szCs w:val="24"/>
        </w:rPr>
        <w:footnoteReference w:id="5"/>
      </w:r>
      <w:r w:rsidR="006A0E31" w:rsidRPr="00205909">
        <w:rPr>
          <w:rFonts w:ascii="Garamond" w:hAnsi="Garamond" w:cs="Times New Roman"/>
          <w:sz w:val="24"/>
          <w:szCs w:val="24"/>
        </w:rPr>
        <w:t xml:space="preserve">. </w:t>
      </w:r>
    </w:p>
    <w:p w14:paraId="19324BD5" w14:textId="28BEFFEE" w:rsidR="006D1B68" w:rsidRPr="00205909" w:rsidRDefault="006A0E31" w:rsidP="006C1FF4">
      <w:pPr>
        <w:widowControl w:val="0"/>
        <w:spacing w:after="0" w:line="240" w:lineRule="auto"/>
        <w:ind w:firstLine="454"/>
        <w:jc w:val="both"/>
        <w:rPr>
          <w:rFonts w:ascii="Garamond" w:hAnsi="Garamond" w:cs="Times New Roman"/>
          <w:b/>
          <w:bCs/>
          <w:sz w:val="24"/>
          <w:szCs w:val="24"/>
        </w:rPr>
      </w:pPr>
      <w:r w:rsidRPr="00205909">
        <w:rPr>
          <w:rFonts w:ascii="Garamond" w:hAnsi="Garamond" w:cs="Times New Roman"/>
          <w:sz w:val="24"/>
          <w:szCs w:val="24"/>
        </w:rPr>
        <w:t>I</w:t>
      </w:r>
      <w:r w:rsidR="00B05FD8" w:rsidRPr="00205909">
        <w:rPr>
          <w:rFonts w:ascii="Garamond" w:hAnsi="Garamond" w:cs="Times New Roman"/>
          <w:sz w:val="24"/>
          <w:szCs w:val="24"/>
        </w:rPr>
        <w:t xml:space="preserve">l évoque à l’oreille des juristes, et notamment </w:t>
      </w:r>
      <w:r w:rsidR="006C1FF4" w:rsidRPr="00205909">
        <w:rPr>
          <w:rFonts w:ascii="Garamond" w:hAnsi="Garamond" w:cs="Times New Roman"/>
          <w:sz w:val="24"/>
          <w:szCs w:val="24"/>
        </w:rPr>
        <w:t xml:space="preserve">à </w:t>
      </w:r>
      <w:r w:rsidRPr="00205909">
        <w:rPr>
          <w:rFonts w:ascii="Garamond" w:hAnsi="Garamond" w:cs="Times New Roman"/>
          <w:sz w:val="24"/>
          <w:szCs w:val="24"/>
        </w:rPr>
        <w:t xml:space="preserve">celle </w:t>
      </w:r>
      <w:r w:rsidR="00B05FD8" w:rsidRPr="00205909">
        <w:rPr>
          <w:rFonts w:ascii="Garamond" w:hAnsi="Garamond" w:cs="Times New Roman"/>
          <w:sz w:val="24"/>
          <w:szCs w:val="24"/>
        </w:rPr>
        <w:t>des avocats d’affaires</w:t>
      </w:r>
      <w:r w:rsidR="006C1FF4" w:rsidRPr="00205909">
        <w:rPr>
          <w:rFonts w:ascii="Garamond" w:hAnsi="Garamond" w:cs="Times New Roman"/>
          <w:sz w:val="24"/>
          <w:szCs w:val="24"/>
        </w:rPr>
        <w:t xml:space="preserve"> et juristes d’entreprise</w:t>
      </w:r>
      <w:r w:rsidR="00B05FD8" w:rsidRPr="00205909">
        <w:rPr>
          <w:rFonts w:ascii="Garamond" w:hAnsi="Garamond" w:cs="Times New Roman"/>
          <w:sz w:val="24"/>
          <w:szCs w:val="24"/>
        </w:rPr>
        <w:t xml:space="preserve">, une sorte de pratique </w:t>
      </w:r>
      <w:r w:rsidR="00124519" w:rsidRPr="00205909">
        <w:rPr>
          <w:rFonts w:ascii="Garamond" w:hAnsi="Garamond" w:cs="Times New Roman"/>
          <w:sz w:val="24"/>
          <w:szCs w:val="24"/>
        </w:rPr>
        <w:t>« </w:t>
      </w:r>
      <w:r w:rsidR="00B05FD8" w:rsidRPr="00205909">
        <w:rPr>
          <w:rFonts w:ascii="Garamond" w:hAnsi="Garamond" w:cs="Times New Roman"/>
          <w:sz w:val="24"/>
          <w:szCs w:val="24"/>
        </w:rPr>
        <w:t>bodybuildée</w:t>
      </w:r>
      <w:r w:rsidR="00124519" w:rsidRPr="00205909">
        <w:rPr>
          <w:rFonts w:ascii="Garamond" w:hAnsi="Garamond" w:cs="Times New Roman"/>
          <w:sz w:val="24"/>
          <w:szCs w:val="24"/>
        </w:rPr>
        <w:t> »</w:t>
      </w:r>
      <w:r w:rsidR="00B05FD8" w:rsidRPr="00205909">
        <w:rPr>
          <w:rFonts w:ascii="Garamond" w:hAnsi="Garamond" w:cs="Times New Roman"/>
          <w:sz w:val="24"/>
          <w:szCs w:val="24"/>
        </w:rPr>
        <w:t xml:space="preserve"> de leur activité</w:t>
      </w:r>
      <w:r w:rsidR="002A33FD">
        <w:rPr>
          <w:rFonts w:ascii="Garamond" w:hAnsi="Garamond" w:cs="Times New Roman"/>
          <w:sz w:val="24"/>
          <w:szCs w:val="24"/>
        </w:rPr>
        <w:t>, sous la forme de la pratique dite de la « guerre économique »</w:t>
      </w:r>
      <w:r w:rsidR="00B05FD8" w:rsidRPr="00205909">
        <w:rPr>
          <w:rFonts w:ascii="Garamond" w:hAnsi="Garamond" w:cs="Times New Roman"/>
          <w:sz w:val="24"/>
          <w:szCs w:val="24"/>
        </w:rPr>
        <w:t>.</w:t>
      </w:r>
      <w:r w:rsidR="00475E36" w:rsidRPr="00205909">
        <w:rPr>
          <w:rFonts w:ascii="Garamond" w:hAnsi="Garamond" w:cs="Times New Roman"/>
          <w:sz w:val="24"/>
          <w:szCs w:val="24"/>
        </w:rPr>
        <w:t xml:space="preserve"> </w:t>
      </w:r>
    </w:p>
    <w:p w14:paraId="3AEC7D90" w14:textId="77777777" w:rsidR="00C44B1E" w:rsidRPr="00205909" w:rsidRDefault="00325B2B" w:rsidP="007F1788">
      <w:pPr>
        <w:widowControl w:val="0"/>
        <w:spacing w:after="0" w:line="240" w:lineRule="auto"/>
        <w:ind w:right="-1" w:firstLine="454"/>
        <w:jc w:val="both"/>
        <w:rPr>
          <w:rFonts w:ascii="Garamond" w:hAnsi="Garamond" w:cs="Times New Roman"/>
          <w:sz w:val="24"/>
          <w:szCs w:val="24"/>
        </w:rPr>
      </w:pPr>
      <w:r w:rsidRPr="00205909">
        <w:rPr>
          <w:rFonts w:ascii="Garamond" w:hAnsi="Garamond" w:cs="Times New Roman"/>
          <w:sz w:val="24"/>
          <w:szCs w:val="24"/>
        </w:rPr>
        <w:t>De la même manière, la formule pourrait évoquer la formule de la « lutte pour le droit », chère à Jhering</w:t>
      </w:r>
      <w:r w:rsidR="002E42C0" w:rsidRPr="00205909">
        <w:rPr>
          <w:rFonts w:ascii="Garamond" w:hAnsi="Garamond" w:cs="Times New Roman"/>
          <w:sz w:val="24"/>
          <w:szCs w:val="24"/>
        </w:rPr>
        <w:t xml:space="preserve"> ou d’une </w:t>
      </w:r>
      <w:r w:rsidR="00116D41" w:rsidRPr="00205909">
        <w:rPr>
          <w:rFonts w:ascii="Garamond" w:hAnsi="Garamond" w:cs="Times New Roman"/>
          <w:sz w:val="24"/>
          <w:szCs w:val="24"/>
        </w:rPr>
        <w:t>« </w:t>
      </w:r>
      <w:r w:rsidR="002E42C0" w:rsidRPr="00205909">
        <w:rPr>
          <w:rFonts w:ascii="Garamond" w:hAnsi="Garamond" w:cs="Times New Roman"/>
          <w:sz w:val="24"/>
          <w:szCs w:val="24"/>
        </w:rPr>
        <w:t>guerre du droit</w:t>
      </w:r>
      <w:r w:rsidR="00116D41" w:rsidRPr="00205909">
        <w:rPr>
          <w:rFonts w:ascii="Garamond" w:hAnsi="Garamond" w:cs="Times New Roman"/>
          <w:sz w:val="24"/>
          <w:szCs w:val="24"/>
        </w:rPr>
        <w:t> »</w:t>
      </w:r>
      <w:r w:rsidRPr="00205909">
        <w:rPr>
          <w:rFonts w:ascii="Garamond" w:hAnsi="Garamond" w:cs="Times New Roman"/>
          <w:sz w:val="24"/>
          <w:szCs w:val="24"/>
        </w:rPr>
        <w:t>, ou encore, dans une conception jusnatu</w:t>
      </w:r>
      <w:r w:rsidR="008E2C7C" w:rsidRPr="00205909">
        <w:rPr>
          <w:rFonts w:ascii="Garamond" w:hAnsi="Garamond" w:cs="Times New Roman"/>
          <w:sz w:val="24"/>
          <w:szCs w:val="24"/>
        </w:rPr>
        <w:t>ra</w:t>
      </w:r>
      <w:r w:rsidRPr="00205909">
        <w:rPr>
          <w:rFonts w:ascii="Garamond" w:hAnsi="Garamond" w:cs="Times New Roman"/>
          <w:sz w:val="24"/>
          <w:szCs w:val="24"/>
        </w:rPr>
        <w:t>liste, d’une recherche d’un droit juste ou encore, de manière plus moderne, à la manière dont des minorités cherchent à obtenir des droits positifs spécifiques ou généraux</w:t>
      </w:r>
      <w:r w:rsidR="00116D41" w:rsidRPr="00205909">
        <w:rPr>
          <w:rFonts w:ascii="Garamond" w:hAnsi="Garamond" w:cs="Times New Roman"/>
          <w:sz w:val="24"/>
          <w:szCs w:val="24"/>
        </w:rPr>
        <w:t xml:space="preserve"> dans une société donnée</w:t>
      </w:r>
      <w:r w:rsidRPr="00205909">
        <w:rPr>
          <w:rFonts w:ascii="Garamond" w:hAnsi="Garamond" w:cs="Times New Roman"/>
          <w:sz w:val="24"/>
          <w:szCs w:val="24"/>
        </w:rPr>
        <w:t>.</w:t>
      </w:r>
      <w:r w:rsidR="00207E28" w:rsidRPr="00205909">
        <w:rPr>
          <w:rFonts w:ascii="Garamond" w:hAnsi="Garamond" w:cs="Times New Roman"/>
          <w:sz w:val="24"/>
          <w:szCs w:val="24"/>
        </w:rPr>
        <w:t xml:space="preserve"> </w:t>
      </w:r>
    </w:p>
    <w:p w14:paraId="4501569E" w14:textId="02DEDDB8" w:rsidR="00B9302E" w:rsidRPr="00205909" w:rsidRDefault="00B9302E" w:rsidP="007F1788">
      <w:pPr>
        <w:widowControl w:val="0"/>
        <w:spacing w:after="0" w:line="240" w:lineRule="auto"/>
        <w:ind w:right="-1" w:firstLine="454"/>
        <w:jc w:val="both"/>
        <w:rPr>
          <w:rFonts w:ascii="Garamond" w:hAnsi="Garamond" w:cs="Times New Roman"/>
          <w:sz w:val="24"/>
          <w:szCs w:val="24"/>
        </w:rPr>
      </w:pPr>
      <w:r w:rsidRPr="00205909">
        <w:rPr>
          <w:rFonts w:ascii="Garamond" w:hAnsi="Garamond" w:cs="Times New Roman"/>
          <w:sz w:val="24"/>
          <w:szCs w:val="24"/>
        </w:rPr>
        <w:t xml:space="preserve">Autant dire que ce terme </w:t>
      </w:r>
      <w:r w:rsidR="002F4150" w:rsidRPr="00205909">
        <w:rPr>
          <w:rFonts w:ascii="Garamond" w:hAnsi="Garamond" w:cs="Times New Roman"/>
          <w:sz w:val="24"/>
          <w:szCs w:val="24"/>
        </w:rPr>
        <w:t xml:space="preserve">avait toutes les chances </w:t>
      </w:r>
      <w:r w:rsidRPr="00205909">
        <w:rPr>
          <w:rFonts w:ascii="Garamond" w:hAnsi="Garamond" w:cs="Times New Roman"/>
          <w:sz w:val="24"/>
          <w:szCs w:val="24"/>
        </w:rPr>
        <w:t xml:space="preserve">d’être accueilli par les juristes </w:t>
      </w:r>
      <w:r w:rsidR="002F4150" w:rsidRPr="00205909">
        <w:rPr>
          <w:rFonts w:ascii="Garamond" w:hAnsi="Garamond" w:cs="Times New Roman"/>
          <w:sz w:val="24"/>
          <w:szCs w:val="24"/>
        </w:rPr>
        <w:t xml:space="preserve">au mieux </w:t>
      </w:r>
      <w:r w:rsidRPr="00205909">
        <w:rPr>
          <w:rFonts w:ascii="Garamond" w:hAnsi="Garamond" w:cs="Times New Roman"/>
          <w:sz w:val="24"/>
          <w:szCs w:val="24"/>
        </w:rPr>
        <w:t>comme un concept creux qui sert simplement à tenter de recycler dans un anglais imparfait des questions très connues</w:t>
      </w:r>
      <w:r w:rsidR="002F4150" w:rsidRPr="00205909">
        <w:rPr>
          <w:rFonts w:ascii="Garamond" w:hAnsi="Garamond" w:cs="Times New Roman"/>
          <w:sz w:val="24"/>
          <w:szCs w:val="24"/>
        </w:rPr>
        <w:t>, au pire comme une question non juridique</w:t>
      </w:r>
      <w:r w:rsidRPr="00205909">
        <w:rPr>
          <w:rFonts w:ascii="Garamond" w:hAnsi="Garamond" w:cs="Times New Roman"/>
          <w:sz w:val="24"/>
          <w:szCs w:val="24"/>
        </w:rPr>
        <w:t xml:space="preserve">. </w:t>
      </w:r>
    </w:p>
    <w:p w14:paraId="39F99F31" w14:textId="77777777" w:rsidR="002876B2" w:rsidRPr="00205909" w:rsidRDefault="002876B2" w:rsidP="002876B2">
      <w:pPr>
        <w:widowControl w:val="0"/>
        <w:spacing w:after="0" w:line="240" w:lineRule="auto"/>
        <w:ind w:left="454"/>
        <w:jc w:val="both"/>
        <w:rPr>
          <w:rFonts w:ascii="Garamond" w:hAnsi="Garamond" w:cs="Times New Roman"/>
          <w:b/>
          <w:bCs/>
          <w:sz w:val="24"/>
          <w:szCs w:val="24"/>
        </w:rPr>
      </w:pPr>
    </w:p>
    <w:p w14:paraId="0127D569" w14:textId="6D8582C6" w:rsidR="0053103B" w:rsidRPr="00205909" w:rsidRDefault="00207E28" w:rsidP="007F1788">
      <w:pPr>
        <w:widowControl w:val="0"/>
        <w:numPr>
          <w:ilvl w:val="0"/>
          <w:numId w:val="2"/>
        </w:numPr>
        <w:spacing w:after="0" w:line="240" w:lineRule="auto"/>
        <w:jc w:val="both"/>
        <w:rPr>
          <w:rFonts w:ascii="Garamond" w:hAnsi="Garamond" w:cs="Times New Roman"/>
          <w:b/>
          <w:bCs/>
          <w:sz w:val="24"/>
          <w:szCs w:val="24"/>
        </w:rPr>
      </w:pPr>
      <w:r w:rsidRPr="00205909">
        <w:rPr>
          <w:rFonts w:ascii="Garamond" w:hAnsi="Garamond" w:cs="Times New Roman"/>
          <w:sz w:val="24"/>
          <w:szCs w:val="24"/>
        </w:rPr>
        <w:t xml:space="preserve">Aucun de ces sens </w:t>
      </w:r>
      <w:r w:rsidR="002F4150" w:rsidRPr="00205909">
        <w:rPr>
          <w:rFonts w:ascii="Garamond" w:hAnsi="Garamond" w:cs="Times New Roman"/>
          <w:i/>
          <w:iCs/>
          <w:sz w:val="24"/>
          <w:szCs w:val="24"/>
        </w:rPr>
        <w:t xml:space="preserve">a priori </w:t>
      </w:r>
      <w:r w:rsidRPr="00205909">
        <w:rPr>
          <w:rFonts w:ascii="Garamond" w:hAnsi="Garamond" w:cs="Times New Roman"/>
          <w:sz w:val="24"/>
          <w:szCs w:val="24"/>
        </w:rPr>
        <w:t xml:space="preserve">n’est cependant celui ordinairement associé au terme </w:t>
      </w:r>
      <w:proofErr w:type="spellStart"/>
      <w:r w:rsidRPr="00205909">
        <w:rPr>
          <w:rFonts w:ascii="Garamond" w:hAnsi="Garamond" w:cs="Times New Roman"/>
          <w:i/>
          <w:iCs/>
          <w:sz w:val="24"/>
          <w:szCs w:val="24"/>
        </w:rPr>
        <w:t>lawfare</w:t>
      </w:r>
      <w:proofErr w:type="spellEnd"/>
      <w:r w:rsidRPr="00205909">
        <w:rPr>
          <w:rFonts w:ascii="Garamond" w:hAnsi="Garamond" w:cs="Times New Roman"/>
          <w:sz w:val="24"/>
          <w:szCs w:val="24"/>
        </w:rPr>
        <w:t xml:space="preserve">, </w:t>
      </w:r>
      <w:r w:rsidR="007D5AA8" w:rsidRPr="00205909">
        <w:rPr>
          <w:rFonts w:ascii="Garamond" w:hAnsi="Garamond" w:cs="Times New Roman"/>
          <w:sz w:val="24"/>
          <w:szCs w:val="24"/>
        </w:rPr>
        <w:t xml:space="preserve">par ailleurs </w:t>
      </w:r>
      <w:r w:rsidR="002A33FD">
        <w:rPr>
          <w:rFonts w:ascii="Garamond" w:hAnsi="Garamond" w:cs="Times New Roman"/>
          <w:sz w:val="24"/>
          <w:szCs w:val="24"/>
        </w:rPr>
        <w:t xml:space="preserve">largement </w:t>
      </w:r>
      <w:r w:rsidRPr="00205909">
        <w:rPr>
          <w:rFonts w:ascii="Garamond" w:hAnsi="Garamond" w:cs="Times New Roman"/>
          <w:sz w:val="24"/>
          <w:szCs w:val="24"/>
        </w:rPr>
        <w:t>étudié principalement par des militaires, des politistes ou des juristes de droit international public, notamment de droit des conflits armés</w:t>
      </w:r>
      <w:r w:rsidRPr="00205909">
        <w:rPr>
          <w:rStyle w:val="Appelnotedebasdep"/>
          <w:rFonts w:ascii="Garamond" w:hAnsi="Garamond" w:cs="Times New Roman"/>
          <w:sz w:val="24"/>
          <w:szCs w:val="24"/>
        </w:rPr>
        <w:footnoteReference w:id="6"/>
      </w:r>
      <w:r w:rsidR="00116D41" w:rsidRPr="00205909">
        <w:rPr>
          <w:rFonts w:ascii="Garamond" w:hAnsi="Garamond" w:cs="Times New Roman"/>
          <w:sz w:val="24"/>
          <w:szCs w:val="24"/>
        </w:rPr>
        <w:t xml:space="preserve">, les </w:t>
      </w:r>
      <w:proofErr w:type="spellStart"/>
      <w:r w:rsidR="00116D41" w:rsidRPr="00205909">
        <w:rPr>
          <w:rFonts w:ascii="Garamond" w:hAnsi="Garamond" w:cs="Times New Roman"/>
          <w:i/>
          <w:iCs/>
          <w:sz w:val="24"/>
          <w:szCs w:val="24"/>
        </w:rPr>
        <w:t>war</w:t>
      </w:r>
      <w:r w:rsidR="00A13E94" w:rsidRPr="00205909">
        <w:rPr>
          <w:rFonts w:ascii="Garamond" w:hAnsi="Garamond" w:cs="Times New Roman"/>
          <w:i/>
          <w:iCs/>
          <w:sz w:val="24"/>
          <w:szCs w:val="24"/>
        </w:rPr>
        <w:t>fare</w:t>
      </w:r>
      <w:proofErr w:type="spellEnd"/>
      <w:r w:rsidR="00116D41" w:rsidRPr="00205909">
        <w:rPr>
          <w:rFonts w:ascii="Garamond" w:hAnsi="Garamond" w:cs="Times New Roman"/>
          <w:i/>
          <w:iCs/>
          <w:sz w:val="24"/>
          <w:szCs w:val="24"/>
        </w:rPr>
        <w:t xml:space="preserve"> </w:t>
      </w:r>
      <w:proofErr w:type="spellStart"/>
      <w:r w:rsidR="00116D41" w:rsidRPr="00205909">
        <w:rPr>
          <w:rFonts w:ascii="Garamond" w:hAnsi="Garamond" w:cs="Times New Roman"/>
          <w:i/>
          <w:iCs/>
          <w:sz w:val="24"/>
          <w:szCs w:val="24"/>
        </w:rPr>
        <w:t>studies</w:t>
      </w:r>
      <w:proofErr w:type="spellEnd"/>
      <w:r w:rsidR="00116D41" w:rsidRPr="00205909">
        <w:rPr>
          <w:rFonts w:ascii="Garamond" w:hAnsi="Garamond" w:cs="Times New Roman"/>
          <w:sz w:val="24"/>
          <w:szCs w:val="24"/>
        </w:rPr>
        <w:t>, un domaine considérable dans la littérature américaine spécialisée</w:t>
      </w:r>
      <w:r w:rsidR="002A33FD">
        <w:rPr>
          <w:rFonts w:ascii="Garamond" w:hAnsi="Garamond" w:cs="Times New Roman"/>
          <w:sz w:val="24"/>
          <w:szCs w:val="24"/>
        </w:rPr>
        <w:t xml:space="preserve">, bénéficiant par ailleurs d’un site web très connu, </w:t>
      </w:r>
      <w:r w:rsidR="004A56AC" w:rsidRPr="004A56AC">
        <w:rPr>
          <w:rFonts w:ascii="Garamond" w:hAnsi="Garamond" w:cs="Times New Roman"/>
          <w:i/>
          <w:iCs/>
          <w:sz w:val="24"/>
          <w:szCs w:val="24"/>
        </w:rPr>
        <w:t>www.lawfaremedia.org</w:t>
      </w:r>
      <w:r w:rsidRPr="00205909">
        <w:rPr>
          <w:rFonts w:ascii="Garamond" w:hAnsi="Garamond" w:cs="Times New Roman"/>
          <w:sz w:val="24"/>
          <w:szCs w:val="24"/>
        </w:rPr>
        <w:t>.</w:t>
      </w:r>
    </w:p>
    <w:p w14:paraId="793CE605" w14:textId="522BAF4E" w:rsidR="006D1B68" w:rsidRPr="00205909" w:rsidRDefault="0053103B" w:rsidP="007F1788">
      <w:pPr>
        <w:widowControl w:val="0"/>
        <w:spacing w:after="0" w:line="240" w:lineRule="auto"/>
        <w:ind w:right="-1" w:firstLine="426"/>
        <w:jc w:val="both"/>
        <w:rPr>
          <w:rFonts w:ascii="Garamond" w:hAnsi="Garamond" w:cs="Times New Roman"/>
          <w:sz w:val="24"/>
          <w:szCs w:val="24"/>
        </w:rPr>
      </w:pPr>
      <w:r w:rsidRPr="00205909">
        <w:rPr>
          <w:rFonts w:ascii="Garamond" w:hAnsi="Garamond" w:cs="Times New Roman"/>
          <w:sz w:val="24"/>
          <w:szCs w:val="24"/>
        </w:rPr>
        <w:t>A bien des égards, d’ailleurs, aucune forme de définition consensuel</w:t>
      </w:r>
      <w:r w:rsidR="004D7CA3" w:rsidRPr="00205909">
        <w:rPr>
          <w:rFonts w:ascii="Garamond" w:hAnsi="Garamond" w:cs="Times New Roman"/>
          <w:sz w:val="24"/>
          <w:szCs w:val="24"/>
        </w:rPr>
        <w:t>le</w:t>
      </w:r>
      <w:r w:rsidRPr="00205909">
        <w:rPr>
          <w:rFonts w:ascii="Garamond" w:hAnsi="Garamond" w:cs="Times New Roman"/>
          <w:sz w:val="24"/>
          <w:szCs w:val="24"/>
        </w:rPr>
        <w:t xml:space="preserve"> n’apparaît sur le sens de ce terme, voire de ce concept, depuis sa généralisation en 2001 par un officier juriste américain</w:t>
      </w:r>
      <w:r w:rsidRPr="00205909">
        <w:rPr>
          <w:rStyle w:val="Appelnotedebasdep"/>
          <w:rFonts w:ascii="Garamond" w:hAnsi="Garamond" w:cs="Times New Roman"/>
          <w:sz w:val="24"/>
          <w:szCs w:val="24"/>
        </w:rPr>
        <w:footnoteReference w:id="7"/>
      </w:r>
      <w:r w:rsidRPr="00205909">
        <w:rPr>
          <w:rFonts w:ascii="Garamond" w:hAnsi="Garamond" w:cs="Times New Roman"/>
          <w:sz w:val="24"/>
          <w:szCs w:val="24"/>
        </w:rPr>
        <w:t xml:space="preserve"> et les études qui se sont </w:t>
      </w:r>
      <w:r w:rsidR="0045701E" w:rsidRPr="00205909">
        <w:rPr>
          <w:rFonts w:ascii="Garamond" w:hAnsi="Garamond" w:cs="Times New Roman"/>
          <w:sz w:val="24"/>
          <w:szCs w:val="24"/>
        </w:rPr>
        <w:t>succédé</w:t>
      </w:r>
      <w:r w:rsidRPr="00205909">
        <w:rPr>
          <w:rStyle w:val="Appelnotedebasdep"/>
          <w:rFonts w:ascii="Garamond" w:hAnsi="Garamond" w:cs="Times New Roman"/>
          <w:sz w:val="24"/>
          <w:szCs w:val="24"/>
        </w:rPr>
        <w:footnoteReference w:id="8"/>
      </w:r>
      <w:r w:rsidR="004D7CA3" w:rsidRPr="00205909">
        <w:rPr>
          <w:rFonts w:ascii="Garamond" w:hAnsi="Garamond" w:cs="Times New Roman"/>
          <w:sz w:val="24"/>
          <w:szCs w:val="24"/>
        </w:rPr>
        <w:t>. Il est même</w:t>
      </w:r>
      <w:r w:rsidR="00A007F1" w:rsidRPr="00205909">
        <w:rPr>
          <w:rFonts w:ascii="Garamond" w:hAnsi="Garamond" w:cs="Times New Roman"/>
          <w:sz w:val="24"/>
          <w:szCs w:val="24"/>
        </w:rPr>
        <w:t xml:space="preserve"> accueilli en France avec un certain scepticisme</w:t>
      </w:r>
      <w:r w:rsidR="00A007F1" w:rsidRPr="00205909">
        <w:rPr>
          <w:rStyle w:val="Appelnotedebasdep"/>
          <w:rFonts w:ascii="Garamond" w:hAnsi="Garamond" w:cs="Times New Roman"/>
          <w:sz w:val="24"/>
          <w:szCs w:val="24"/>
        </w:rPr>
        <w:footnoteReference w:id="9"/>
      </w:r>
      <w:r w:rsidRPr="00205909">
        <w:rPr>
          <w:rFonts w:ascii="Garamond" w:hAnsi="Garamond" w:cs="Times New Roman"/>
          <w:sz w:val="24"/>
          <w:szCs w:val="24"/>
        </w:rPr>
        <w:t>.</w:t>
      </w:r>
      <w:r w:rsidR="00A25C54" w:rsidRPr="00205909">
        <w:rPr>
          <w:rFonts w:ascii="Garamond" w:hAnsi="Garamond" w:cs="Times New Roman"/>
          <w:sz w:val="24"/>
          <w:szCs w:val="24"/>
        </w:rPr>
        <w:t xml:space="preserve"> </w:t>
      </w:r>
      <w:r w:rsidR="00A007F1" w:rsidRPr="00205909">
        <w:rPr>
          <w:rFonts w:ascii="Garamond" w:hAnsi="Garamond" w:cs="Times New Roman"/>
          <w:sz w:val="24"/>
          <w:szCs w:val="24"/>
        </w:rPr>
        <w:t>E</w:t>
      </w:r>
      <w:r w:rsidR="002969A6" w:rsidRPr="00205909">
        <w:rPr>
          <w:rFonts w:ascii="Garamond" w:hAnsi="Garamond" w:cs="Times New Roman"/>
          <w:sz w:val="24"/>
          <w:szCs w:val="24"/>
        </w:rPr>
        <w:t>n</w:t>
      </w:r>
      <w:r w:rsidR="00A007F1" w:rsidRPr="00205909">
        <w:rPr>
          <w:rFonts w:ascii="Garamond" w:hAnsi="Garamond" w:cs="Times New Roman"/>
          <w:sz w:val="24"/>
          <w:szCs w:val="24"/>
        </w:rPr>
        <w:t xml:space="preserve"> effet, le terme est galvaudé</w:t>
      </w:r>
      <w:r w:rsidR="00F771FB" w:rsidRPr="00205909">
        <w:rPr>
          <w:rFonts w:ascii="Garamond" w:hAnsi="Garamond" w:cs="Times New Roman"/>
          <w:sz w:val="24"/>
          <w:szCs w:val="24"/>
        </w:rPr>
        <w:t xml:space="preserve"> et </w:t>
      </w:r>
      <w:r w:rsidR="00A007F1" w:rsidRPr="00205909">
        <w:rPr>
          <w:rFonts w:ascii="Garamond" w:hAnsi="Garamond" w:cs="Times New Roman"/>
          <w:sz w:val="24"/>
          <w:szCs w:val="24"/>
        </w:rPr>
        <w:t>utilisé à des fins très variées</w:t>
      </w:r>
      <w:r w:rsidR="004D7CA3" w:rsidRPr="00205909">
        <w:rPr>
          <w:rFonts w:ascii="Garamond" w:hAnsi="Garamond" w:cs="Times New Roman"/>
          <w:sz w:val="24"/>
          <w:szCs w:val="24"/>
        </w:rPr>
        <w:t xml:space="preserve"> qui rendent une conceptualisation difficile, à supposer </w:t>
      </w:r>
      <w:r w:rsidR="00F771FB" w:rsidRPr="00205909">
        <w:rPr>
          <w:rFonts w:ascii="Garamond" w:hAnsi="Garamond" w:cs="Times New Roman"/>
          <w:sz w:val="24"/>
          <w:szCs w:val="24"/>
        </w:rPr>
        <w:t xml:space="preserve">qu’elle soit même </w:t>
      </w:r>
      <w:r w:rsidR="004D7CA3" w:rsidRPr="00205909">
        <w:rPr>
          <w:rFonts w:ascii="Garamond" w:hAnsi="Garamond" w:cs="Times New Roman"/>
          <w:sz w:val="24"/>
          <w:szCs w:val="24"/>
        </w:rPr>
        <w:t>possible</w:t>
      </w:r>
      <w:r w:rsidR="00A007F1" w:rsidRPr="00205909">
        <w:rPr>
          <w:rFonts w:ascii="Garamond" w:hAnsi="Garamond" w:cs="Times New Roman"/>
          <w:sz w:val="24"/>
          <w:szCs w:val="24"/>
        </w:rPr>
        <w:t xml:space="preserve">. </w:t>
      </w:r>
    </w:p>
    <w:p w14:paraId="44C872B4" w14:textId="25D4308E" w:rsidR="00A70D34" w:rsidRPr="00205909" w:rsidRDefault="00A007F1" w:rsidP="007F1788">
      <w:pPr>
        <w:widowControl w:val="0"/>
        <w:spacing w:after="0" w:line="240" w:lineRule="auto"/>
        <w:ind w:right="-1" w:firstLine="426"/>
        <w:jc w:val="both"/>
        <w:rPr>
          <w:rFonts w:ascii="Garamond" w:hAnsi="Garamond" w:cs="Times New Roman"/>
          <w:sz w:val="24"/>
          <w:szCs w:val="24"/>
        </w:rPr>
      </w:pPr>
      <w:r w:rsidRPr="00205909">
        <w:rPr>
          <w:rFonts w:ascii="Garamond" w:hAnsi="Garamond" w:cs="Times New Roman"/>
          <w:sz w:val="24"/>
          <w:szCs w:val="24"/>
        </w:rPr>
        <w:t xml:space="preserve">Si son sens général est celui </w:t>
      </w:r>
      <w:r w:rsidR="00F771FB" w:rsidRPr="00205909">
        <w:rPr>
          <w:rFonts w:ascii="Garamond" w:hAnsi="Garamond" w:cs="Times New Roman"/>
          <w:sz w:val="24"/>
          <w:szCs w:val="24"/>
        </w:rPr>
        <w:t xml:space="preserve">d’une </w:t>
      </w:r>
      <w:proofErr w:type="spellStart"/>
      <w:r w:rsidR="00F771FB" w:rsidRPr="00205909">
        <w:rPr>
          <w:rFonts w:ascii="Garamond" w:hAnsi="Garamond" w:cs="Times New Roman"/>
          <w:i/>
          <w:iCs/>
          <w:sz w:val="24"/>
          <w:szCs w:val="24"/>
        </w:rPr>
        <w:t>weaponization</w:t>
      </w:r>
      <w:proofErr w:type="spellEnd"/>
      <w:r w:rsidR="00F771FB" w:rsidRPr="00205909">
        <w:rPr>
          <w:rFonts w:ascii="Garamond" w:hAnsi="Garamond" w:cs="Times New Roman"/>
          <w:i/>
          <w:iCs/>
          <w:sz w:val="24"/>
          <w:szCs w:val="24"/>
        </w:rPr>
        <w:t xml:space="preserve"> </w:t>
      </w:r>
      <w:r w:rsidR="00F771FB" w:rsidRPr="00205909">
        <w:rPr>
          <w:rFonts w:ascii="Garamond" w:hAnsi="Garamond" w:cs="Times New Roman"/>
          <w:sz w:val="24"/>
          <w:szCs w:val="24"/>
        </w:rPr>
        <w:t xml:space="preserve">de la règle de droit, c’est-à-dire </w:t>
      </w:r>
      <w:r w:rsidRPr="00205909">
        <w:rPr>
          <w:rFonts w:ascii="Garamond" w:hAnsi="Garamond" w:cs="Times New Roman"/>
          <w:sz w:val="24"/>
          <w:szCs w:val="24"/>
        </w:rPr>
        <w:t xml:space="preserve">du </w:t>
      </w:r>
      <w:r w:rsidR="002969A6" w:rsidRPr="00205909">
        <w:rPr>
          <w:rFonts w:ascii="Garamond" w:hAnsi="Garamond" w:cs="Times New Roman"/>
          <w:sz w:val="24"/>
          <w:szCs w:val="24"/>
        </w:rPr>
        <w:t>« </w:t>
      </w:r>
      <w:r w:rsidRPr="00205909">
        <w:rPr>
          <w:rFonts w:ascii="Garamond" w:hAnsi="Garamond" w:cs="Times New Roman"/>
          <w:sz w:val="24"/>
          <w:szCs w:val="24"/>
        </w:rPr>
        <w:t>droit utilisé comme arme de guerre</w:t>
      </w:r>
      <w:r w:rsidR="002969A6" w:rsidRPr="00205909">
        <w:rPr>
          <w:rFonts w:ascii="Garamond" w:hAnsi="Garamond" w:cs="Times New Roman"/>
          <w:sz w:val="24"/>
          <w:szCs w:val="24"/>
        </w:rPr>
        <w:t> »</w:t>
      </w:r>
      <w:r w:rsidR="006D1B68" w:rsidRPr="00205909">
        <w:rPr>
          <w:rStyle w:val="Appelnotedebasdep"/>
          <w:rFonts w:ascii="Garamond" w:hAnsi="Garamond" w:cs="Times New Roman"/>
          <w:sz w:val="24"/>
          <w:szCs w:val="24"/>
        </w:rPr>
        <w:footnoteReference w:id="10"/>
      </w:r>
      <w:r w:rsidR="006D1B68" w:rsidRPr="00205909">
        <w:rPr>
          <w:rFonts w:ascii="Garamond" w:hAnsi="Garamond" w:cs="Times New Roman"/>
          <w:sz w:val="24"/>
          <w:szCs w:val="24"/>
        </w:rPr>
        <w:t xml:space="preserve"> ou, mieux « </w:t>
      </w:r>
      <w:r w:rsidR="006C1FF4" w:rsidRPr="00205909">
        <w:rPr>
          <w:rFonts w:ascii="Garamond" w:hAnsi="Garamond" w:cs="Times New Roman"/>
          <w:sz w:val="24"/>
          <w:szCs w:val="24"/>
        </w:rPr>
        <w:t xml:space="preserve">un </w:t>
      </w:r>
      <w:r w:rsidR="006D1B68" w:rsidRPr="00205909">
        <w:rPr>
          <w:rFonts w:ascii="Garamond" w:hAnsi="Garamond" w:cs="Times New Roman"/>
          <w:sz w:val="24"/>
          <w:szCs w:val="24"/>
        </w:rPr>
        <w:t xml:space="preserve">usage stratégique </w:t>
      </w:r>
      <w:r w:rsidR="006C1FF4" w:rsidRPr="00205909">
        <w:rPr>
          <w:rFonts w:ascii="Garamond" w:hAnsi="Garamond" w:cs="Times New Roman"/>
          <w:sz w:val="24"/>
          <w:szCs w:val="24"/>
        </w:rPr>
        <w:t xml:space="preserve">ou tactique </w:t>
      </w:r>
      <w:r w:rsidR="006D1B68" w:rsidRPr="00205909">
        <w:rPr>
          <w:rFonts w:ascii="Garamond" w:hAnsi="Garamond" w:cs="Times New Roman"/>
          <w:sz w:val="24"/>
          <w:szCs w:val="24"/>
        </w:rPr>
        <w:t>de la règle de droit »,</w:t>
      </w:r>
      <w:r w:rsidRPr="00205909">
        <w:rPr>
          <w:rFonts w:ascii="Garamond" w:hAnsi="Garamond" w:cs="Times New Roman"/>
          <w:sz w:val="24"/>
          <w:szCs w:val="24"/>
        </w:rPr>
        <w:t xml:space="preserve"> il peut s’agi</w:t>
      </w:r>
      <w:r w:rsidR="006C1FF4" w:rsidRPr="00205909">
        <w:rPr>
          <w:rFonts w:ascii="Garamond" w:hAnsi="Garamond" w:cs="Times New Roman"/>
          <w:sz w:val="24"/>
          <w:szCs w:val="24"/>
        </w:rPr>
        <w:t>r</w:t>
      </w:r>
      <w:r w:rsidRPr="00205909">
        <w:rPr>
          <w:rFonts w:ascii="Garamond" w:hAnsi="Garamond" w:cs="Times New Roman"/>
          <w:sz w:val="24"/>
          <w:szCs w:val="24"/>
        </w:rPr>
        <w:t xml:space="preserve"> d</w:t>
      </w:r>
      <w:r w:rsidR="004D7CA3" w:rsidRPr="00205909">
        <w:rPr>
          <w:rFonts w:ascii="Garamond" w:hAnsi="Garamond" w:cs="Times New Roman"/>
          <w:sz w:val="24"/>
          <w:szCs w:val="24"/>
        </w:rPr>
        <w:t xml:space="preserve">e questions très </w:t>
      </w:r>
      <w:r w:rsidR="006C1FF4" w:rsidRPr="00205909">
        <w:rPr>
          <w:rFonts w:ascii="Garamond" w:hAnsi="Garamond" w:cs="Times New Roman"/>
          <w:sz w:val="24"/>
          <w:szCs w:val="24"/>
        </w:rPr>
        <w:t>variées</w:t>
      </w:r>
      <w:r w:rsidR="004D7CA3" w:rsidRPr="00205909">
        <w:rPr>
          <w:rFonts w:ascii="Garamond" w:hAnsi="Garamond" w:cs="Times New Roman"/>
          <w:sz w:val="24"/>
          <w:szCs w:val="24"/>
        </w:rPr>
        <w:t xml:space="preserve">. </w:t>
      </w:r>
      <w:r w:rsidR="006C1FF4" w:rsidRPr="00205909">
        <w:rPr>
          <w:rFonts w:ascii="Garamond" w:hAnsi="Garamond" w:cs="Times New Roman"/>
          <w:sz w:val="24"/>
          <w:szCs w:val="24"/>
        </w:rPr>
        <w:t xml:space="preserve">On </w:t>
      </w:r>
      <w:r w:rsidR="004A56AC">
        <w:rPr>
          <w:rFonts w:ascii="Garamond" w:hAnsi="Garamond" w:cs="Times New Roman"/>
          <w:sz w:val="24"/>
          <w:szCs w:val="24"/>
        </w:rPr>
        <w:t xml:space="preserve">y intègre en vrac les </w:t>
      </w:r>
      <w:r w:rsidR="004D7CA3" w:rsidRPr="00205909">
        <w:rPr>
          <w:rFonts w:ascii="Garamond" w:hAnsi="Garamond" w:cs="Times New Roman"/>
          <w:sz w:val="24"/>
          <w:szCs w:val="24"/>
        </w:rPr>
        <w:t xml:space="preserve"> forme</w:t>
      </w:r>
      <w:r w:rsidR="004A56AC">
        <w:rPr>
          <w:rFonts w:ascii="Garamond" w:hAnsi="Garamond" w:cs="Times New Roman"/>
          <w:sz w:val="24"/>
          <w:szCs w:val="24"/>
        </w:rPr>
        <w:t>s</w:t>
      </w:r>
      <w:r w:rsidR="004D7CA3" w:rsidRPr="00205909">
        <w:rPr>
          <w:rFonts w:ascii="Garamond" w:hAnsi="Garamond" w:cs="Times New Roman"/>
          <w:sz w:val="24"/>
          <w:szCs w:val="24"/>
        </w:rPr>
        <w:t xml:space="preserve"> de </w:t>
      </w:r>
      <w:r w:rsidRPr="00205909">
        <w:rPr>
          <w:rFonts w:ascii="Garamond" w:hAnsi="Garamond" w:cs="Times New Roman"/>
          <w:sz w:val="24"/>
          <w:szCs w:val="24"/>
        </w:rPr>
        <w:t xml:space="preserve">déconsidération de l’usage de règles alors </w:t>
      </w:r>
      <w:r w:rsidR="00F771FB" w:rsidRPr="00205909">
        <w:rPr>
          <w:rFonts w:ascii="Garamond" w:hAnsi="Garamond" w:cs="Times New Roman"/>
          <w:sz w:val="24"/>
          <w:szCs w:val="24"/>
        </w:rPr>
        <w:t>présentées</w:t>
      </w:r>
      <w:r w:rsidRPr="00205909">
        <w:rPr>
          <w:rFonts w:ascii="Garamond" w:hAnsi="Garamond" w:cs="Times New Roman"/>
          <w:sz w:val="24"/>
          <w:szCs w:val="24"/>
        </w:rPr>
        <w:t xml:space="preserve"> comme illégitimes, une forme de </w:t>
      </w:r>
      <w:r w:rsidRPr="00205909">
        <w:rPr>
          <w:rFonts w:ascii="Garamond" w:hAnsi="Garamond" w:cs="Times New Roman"/>
          <w:i/>
          <w:iCs/>
          <w:sz w:val="24"/>
          <w:szCs w:val="24"/>
        </w:rPr>
        <w:t xml:space="preserve">lobbying </w:t>
      </w:r>
      <w:r w:rsidRPr="00205909">
        <w:rPr>
          <w:rFonts w:ascii="Garamond" w:hAnsi="Garamond" w:cs="Times New Roman"/>
          <w:sz w:val="24"/>
          <w:szCs w:val="24"/>
        </w:rPr>
        <w:t>confinant parfois à la guerre d’influence</w:t>
      </w:r>
      <w:r w:rsidR="004D7CA3" w:rsidRPr="00205909">
        <w:rPr>
          <w:rStyle w:val="Appelnotedebasdep"/>
          <w:rFonts w:ascii="Garamond" w:hAnsi="Garamond" w:cs="Times New Roman"/>
          <w:sz w:val="24"/>
          <w:szCs w:val="24"/>
        </w:rPr>
        <w:footnoteReference w:id="11"/>
      </w:r>
      <w:r w:rsidRPr="00205909">
        <w:rPr>
          <w:rFonts w:ascii="Garamond" w:hAnsi="Garamond" w:cs="Times New Roman"/>
          <w:sz w:val="24"/>
          <w:szCs w:val="24"/>
        </w:rPr>
        <w:t xml:space="preserve"> ou d’ingérence par des pressions exercées contre un législateur, un juge</w:t>
      </w:r>
      <w:r w:rsidR="00B92ACF" w:rsidRPr="00205909">
        <w:rPr>
          <w:rFonts w:ascii="Garamond" w:hAnsi="Garamond" w:cs="Times New Roman"/>
          <w:sz w:val="24"/>
          <w:szCs w:val="24"/>
        </w:rPr>
        <w:t>, un avocat, un professeur de droit</w:t>
      </w:r>
      <w:r w:rsidRPr="00205909">
        <w:rPr>
          <w:rFonts w:ascii="Garamond" w:hAnsi="Garamond" w:cs="Times New Roman"/>
          <w:sz w:val="24"/>
          <w:szCs w:val="24"/>
        </w:rPr>
        <w:t xml:space="preserve"> ou un média, </w:t>
      </w:r>
      <w:r w:rsidR="002969A6" w:rsidRPr="00205909">
        <w:rPr>
          <w:rFonts w:ascii="Garamond" w:hAnsi="Garamond" w:cs="Times New Roman"/>
          <w:sz w:val="24"/>
          <w:szCs w:val="24"/>
        </w:rPr>
        <w:t>des tentatives de création de normes alternatives à celles existantes, notamment dans le champ des relations internationales et du droit des conflits armés</w:t>
      </w:r>
      <w:r w:rsidR="006D1B68" w:rsidRPr="00205909">
        <w:rPr>
          <w:rFonts w:ascii="Garamond" w:hAnsi="Garamond" w:cs="Times New Roman"/>
          <w:sz w:val="24"/>
          <w:szCs w:val="24"/>
        </w:rPr>
        <w:t xml:space="preserve">, </w:t>
      </w:r>
      <w:r w:rsidR="004A56AC">
        <w:rPr>
          <w:rFonts w:ascii="Garamond" w:hAnsi="Garamond" w:cs="Times New Roman"/>
          <w:sz w:val="24"/>
          <w:szCs w:val="24"/>
        </w:rPr>
        <w:t xml:space="preserve">ou encore la question </w:t>
      </w:r>
      <w:r w:rsidR="004D7CA3" w:rsidRPr="00205909">
        <w:rPr>
          <w:rFonts w:ascii="Garamond" w:hAnsi="Garamond" w:cs="Times New Roman"/>
          <w:sz w:val="24"/>
          <w:szCs w:val="24"/>
        </w:rPr>
        <w:t xml:space="preserve">de </w:t>
      </w:r>
      <w:r w:rsidR="006D1B68" w:rsidRPr="00205909">
        <w:rPr>
          <w:rFonts w:ascii="Garamond" w:hAnsi="Garamond" w:cs="Times New Roman"/>
          <w:sz w:val="24"/>
          <w:szCs w:val="24"/>
        </w:rPr>
        <w:t>l’utilisation extraterritoriale de normes internes, ou encore la mise en œuvre de règles offensives comme substituts d’une opération militaire ou étatique civile</w:t>
      </w:r>
      <w:r w:rsidR="002969A6" w:rsidRPr="00205909">
        <w:rPr>
          <w:rFonts w:ascii="Garamond" w:hAnsi="Garamond" w:cs="Times New Roman"/>
          <w:sz w:val="24"/>
          <w:szCs w:val="24"/>
        </w:rPr>
        <w:t>.</w:t>
      </w:r>
      <w:r w:rsidR="007E0D05" w:rsidRPr="00205909">
        <w:rPr>
          <w:rFonts w:ascii="Garamond" w:hAnsi="Garamond" w:cs="Times New Roman"/>
          <w:sz w:val="24"/>
          <w:szCs w:val="24"/>
        </w:rPr>
        <w:t xml:space="preserve"> </w:t>
      </w:r>
    </w:p>
    <w:p w14:paraId="089C6787" w14:textId="2C06A8C0" w:rsidR="00797805" w:rsidRPr="00205909" w:rsidRDefault="007E0D05" w:rsidP="007F1788">
      <w:pPr>
        <w:widowControl w:val="0"/>
        <w:spacing w:after="0" w:line="240" w:lineRule="auto"/>
        <w:ind w:right="-1" w:firstLine="426"/>
        <w:jc w:val="both"/>
        <w:rPr>
          <w:rFonts w:ascii="Garamond" w:hAnsi="Garamond" w:cs="Times New Roman"/>
          <w:sz w:val="24"/>
          <w:szCs w:val="24"/>
        </w:rPr>
      </w:pPr>
      <w:r w:rsidRPr="00205909">
        <w:rPr>
          <w:rFonts w:ascii="Garamond" w:hAnsi="Garamond" w:cs="Times New Roman"/>
          <w:sz w:val="24"/>
          <w:szCs w:val="24"/>
        </w:rPr>
        <w:t>Ce</w:t>
      </w:r>
      <w:r w:rsidR="003F5EB5" w:rsidRPr="00205909">
        <w:rPr>
          <w:rFonts w:ascii="Garamond" w:hAnsi="Garamond" w:cs="Times New Roman"/>
          <w:sz w:val="24"/>
          <w:szCs w:val="24"/>
        </w:rPr>
        <w:t xml:space="preserve">tte sensation </w:t>
      </w:r>
      <w:r w:rsidRPr="00205909">
        <w:rPr>
          <w:rFonts w:ascii="Garamond" w:hAnsi="Garamond" w:cs="Times New Roman"/>
          <w:sz w:val="24"/>
          <w:szCs w:val="24"/>
        </w:rPr>
        <w:t xml:space="preserve">de flou conceptuel </w:t>
      </w:r>
      <w:r w:rsidR="00B92ACF" w:rsidRPr="00205909">
        <w:rPr>
          <w:rFonts w:ascii="Garamond" w:hAnsi="Garamond" w:cs="Times New Roman"/>
          <w:sz w:val="24"/>
          <w:szCs w:val="24"/>
        </w:rPr>
        <w:t xml:space="preserve">et de mélange des genres </w:t>
      </w:r>
      <w:r w:rsidRPr="00205909">
        <w:rPr>
          <w:rFonts w:ascii="Garamond" w:hAnsi="Garamond" w:cs="Times New Roman"/>
          <w:sz w:val="24"/>
          <w:szCs w:val="24"/>
        </w:rPr>
        <w:t xml:space="preserve">repose sans doute sur plusieurs éléments à considérer. </w:t>
      </w:r>
    </w:p>
    <w:p w14:paraId="5B4AA014" w14:textId="50014306" w:rsidR="00525781" w:rsidRPr="00205909" w:rsidRDefault="00797805" w:rsidP="007F1788">
      <w:pPr>
        <w:widowControl w:val="0"/>
        <w:spacing w:after="0" w:line="240" w:lineRule="auto"/>
        <w:ind w:right="-1" w:firstLine="426"/>
        <w:jc w:val="both"/>
        <w:rPr>
          <w:rFonts w:ascii="Garamond" w:hAnsi="Garamond" w:cs="Times New Roman"/>
          <w:sz w:val="24"/>
          <w:szCs w:val="24"/>
        </w:rPr>
      </w:pPr>
      <w:r w:rsidRPr="00205909">
        <w:rPr>
          <w:rFonts w:ascii="Garamond" w:hAnsi="Garamond" w:cs="Times New Roman"/>
          <w:sz w:val="24"/>
          <w:szCs w:val="24"/>
        </w:rPr>
        <w:t xml:space="preserve">Le premier est le fait que l’appréciation </w:t>
      </w:r>
      <w:r w:rsidR="00C44423" w:rsidRPr="00205909">
        <w:rPr>
          <w:rFonts w:ascii="Garamond" w:hAnsi="Garamond" w:cs="Times New Roman"/>
          <w:sz w:val="24"/>
          <w:szCs w:val="24"/>
        </w:rPr>
        <w:t>et l’</w:t>
      </w:r>
      <w:r w:rsidR="001215BF" w:rsidRPr="00205909">
        <w:rPr>
          <w:rFonts w:ascii="Garamond" w:hAnsi="Garamond" w:cs="Times New Roman"/>
          <w:sz w:val="24"/>
          <w:szCs w:val="24"/>
        </w:rPr>
        <w:t>interprétation</w:t>
      </w:r>
      <w:r w:rsidR="00C44423" w:rsidRPr="00205909">
        <w:rPr>
          <w:rFonts w:ascii="Garamond" w:hAnsi="Garamond" w:cs="Times New Roman"/>
          <w:sz w:val="24"/>
          <w:szCs w:val="24"/>
        </w:rPr>
        <w:t xml:space="preserve"> </w:t>
      </w:r>
      <w:r w:rsidRPr="00205909">
        <w:rPr>
          <w:rFonts w:ascii="Garamond" w:hAnsi="Garamond" w:cs="Times New Roman"/>
          <w:sz w:val="24"/>
          <w:szCs w:val="24"/>
        </w:rPr>
        <w:t xml:space="preserve">des règles de droit </w:t>
      </w:r>
      <w:r w:rsidR="00C44423" w:rsidRPr="00205909">
        <w:rPr>
          <w:rFonts w:ascii="Garamond" w:hAnsi="Garamond" w:cs="Times New Roman"/>
          <w:sz w:val="24"/>
          <w:szCs w:val="24"/>
        </w:rPr>
        <w:t xml:space="preserve">se présentent comme autant </w:t>
      </w:r>
      <w:r w:rsidRPr="00205909">
        <w:rPr>
          <w:rFonts w:ascii="Garamond" w:hAnsi="Garamond" w:cs="Times New Roman"/>
          <w:sz w:val="24"/>
          <w:szCs w:val="24"/>
        </w:rPr>
        <w:t xml:space="preserve">de </w:t>
      </w:r>
      <w:r w:rsidR="00C44423" w:rsidRPr="00205909">
        <w:rPr>
          <w:rFonts w:ascii="Garamond" w:hAnsi="Garamond" w:cs="Times New Roman"/>
          <w:sz w:val="24"/>
          <w:szCs w:val="24"/>
        </w:rPr>
        <w:t>« </w:t>
      </w:r>
      <w:r w:rsidRPr="00205909">
        <w:rPr>
          <w:rFonts w:ascii="Garamond" w:hAnsi="Garamond" w:cs="Times New Roman"/>
          <w:sz w:val="24"/>
          <w:szCs w:val="24"/>
        </w:rPr>
        <w:t>conflits</w:t>
      </w:r>
      <w:r w:rsidR="00C44423" w:rsidRPr="00205909">
        <w:rPr>
          <w:rFonts w:ascii="Garamond" w:hAnsi="Garamond" w:cs="Times New Roman"/>
          <w:sz w:val="24"/>
          <w:szCs w:val="24"/>
        </w:rPr>
        <w:t> »</w:t>
      </w:r>
      <w:r w:rsidRPr="00205909">
        <w:rPr>
          <w:rFonts w:ascii="Garamond" w:hAnsi="Garamond" w:cs="Times New Roman"/>
          <w:sz w:val="24"/>
          <w:szCs w:val="24"/>
        </w:rPr>
        <w:t xml:space="preserve"> relève du truisme</w:t>
      </w:r>
      <w:r w:rsidR="004A56AC">
        <w:rPr>
          <w:rFonts w:ascii="Garamond" w:hAnsi="Garamond" w:cs="Times New Roman"/>
          <w:sz w:val="24"/>
          <w:szCs w:val="24"/>
        </w:rPr>
        <w:t xml:space="preserve"> juridique</w:t>
      </w:r>
      <w:r w:rsidRPr="00205909">
        <w:rPr>
          <w:rFonts w:ascii="Garamond" w:hAnsi="Garamond" w:cs="Times New Roman"/>
          <w:sz w:val="24"/>
          <w:szCs w:val="24"/>
        </w:rPr>
        <w:t xml:space="preserve">. </w:t>
      </w:r>
      <w:r w:rsidR="004A56AC">
        <w:rPr>
          <w:rFonts w:ascii="Garamond" w:hAnsi="Garamond" w:cs="Times New Roman"/>
          <w:sz w:val="24"/>
          <w:szCs w:val="24"/>
        </w:rPr>
        <w:t>Toutes l</w:t>
      </w:r>
      <w:r w:rsidRPr="00205909">
        <w:rPr>
          <w:rFonts w:ascii="Garamond" w:hAnsi="Garamond" w:cs="Times New Roman"/>
          <w:sz w:val="24"/>
          <w:szCs w:val="24"/>
        </w:rPr>
        <w:t>es règles de droit</w:t>
      </w:r>
      <w:r w:rsidR="004A56AC">
        <w:rPr>
          <w:rFonts w:ascii="Garamond" w:hAnsi="Garamond" w:cs="Times New Roman"/>
          <w:sz w:val="24"/>
          <w:szCs w:val="24"/>
        </w:rPr>
        <w:t>, pas seulement celles du droit international,</w:t>
      </w:r>
      <w:r w:rsidRPr="00205909">
        <w:rPr>
          <w:rFonts w:ascii="Garamond" w:hAnsi="Garamond" w:cs="Times New Roman"/>
          <w:sz w:val="24"/>
          <w:szCs w:val="24"/>
        </w:rPr>
        <w:t xml:space="preserve"> présentent en effet cette particularité de permettre de trancher des intérêts variés qui sont précisément en </w:t>
      </w:r>
      <w:r w:rsidR="00C44423" w:rsidRPr="00205909">
        <w:rPr>
          <w:rFonts w:ascii="Garamond" w:hAnsi="Garamond" w:cs="Times New Roman"/>
          <w:sz w:val="24"/>
          <w:szCs w:val="24"/>
        </w:rPr>
        <w:t>« </w:t>
      </w:r>
      <w:r w:rsidRPr="00205909">
        <w:rPr>
          <w:rFonts w:ascii="Garamond" w:hAnsi="Garamond" w:cs="Times New Roman"/>
          <w:sz w:val="24"/>
          <w:szCs w:val="24"/>
        </w:rPr>
        <w:t>conflit</w:t>
      </w:r>
      <w:r w:rsidR="00C44423" w:rsidRPr="00205909">
        <w:rPr>
          <w:rFonts w:ascii="Garamond" w:hAnsi="Garamond" w:cs="Times New Roman"/>
          <w:sz w:val="24"/>
          <w:szCs w:val="24"/>
        </w:rPr>
        <w:t> »</w:t>
      </w:r>
      <w:r w:rsidRPr="00205909">
        <w:rPr>
          <w:rFonts w:ascii="Garamond" w:hAnsi="Garamond" w:cs="Times New Roman"/>
          <w:sz w:val="24"/>
          <w:szCs w:val="24"/>
        </w:rPr>
        <w:t>. Le droit est, fondamentalement</w:t>
      </w:r>
      <w:r w:rsidR="00C44423" w:rsidRPr="00205909">
        <w:rPr>
          <w:rFonts w:ascii="Garamond" w:hAnsi="Garamond" w:cs="Times New Roman"/>
          <w:sz w:val="24"/>
          <w:szCs w:val="24"/>
        </w:rPr>
        <w:t>,</w:t>
      </w:r>
      <w:r w:rsidRPr="00205909">
        <w:rPr>
          <w:rFonts w:ascii="Garamond" w:hAnsi="Garamond" w:cs="Times New Roman"/>
          <w:sz w:val="24"/>
          <w:szCs w:val="24"/>
        </w:rPr>
        <w:t xml:space="preserve"> une méthode permettant d’attribuer des droits ou des prérogatives juridiques à telle entité qui, par hypothèse, fera défaut à une autre, dans un jeu, économiquement parlant, à somme </w:t>
      </w:r>
      <w:r w:rsidR="00B92ACF" w:rsidRPr="00205909">
        <w:rPr>
          <w:rFonts w:ascii="Garamond" w:hAnsi="Garamond" w:cs="Times New Roman"/>
          <w:sz w:val="24"/>
          <w:szCs w:val="24"/>
        </w:rPr>
        <w:t xml:space="preserve">apparemment </w:t>
      </w:r>
      <w:r w:rsidRPr="00205909">
        <w:rPr>
          <w:rFonts w:ascii="Garamond" w:hAnsi="Garamond" w:cs="Times New Roman"/>
          <w:sz w:val="24"/>
          <w:szCs w:val="24"/>
        </w:rPr>
        <w:t>nulle. L’idée donc que ces règles de droit pourraient être utilisées pour alimenter un conflit</w:t>
      </w:r>
      <w:r w:rsidR="00C44423" w:rsidRPr="00205909">
        <w:rPr>
          <w:rFonts w:ascii="Garamond" w:hAnsi="Garamond" w:cs="Times New Roman"/>
          <w:sz w:val="24"/>
          <w:szCs w:val="24"/>
        </w:rPr>
        <w:t xml:space="preserve"> est une évidence, consubstantielle à l’idée même de droit, de son étude, de sa critique</w:t>
      </w:r>
      <w:r w:rsidR="00525781" w:rsidRPr="00205909">
        <w:rPr>
          <w:rFonts w:ascii="Garamond" w:hAnsi="Garamond" w:cs="Times New Roman"/>
          <w:sz w:val="24"/>
          <w:szCs w:val="24"/>
        </w:rPr>
        <w:t>.</w:t>
      </w:r>
    </w:p>
    <w:p w14:paraId="471520B0" w14:textId="1B1B88A2" w:rsidR="007E0D05" w:rsidRPr="00205909" w:rsidRDefault="007E0D05" w:rsidP="007F1788">
      <w:pPr>
        <w:widowControl w:val="0"/>
        <w:spacing w:after="0" w:line="240" w:lineRule="auto"/>
        <w:ind w:right="-1" w:firstLine="426"/>
        <w:jc w:val="both"/>
        <w:rPr>
          <w:rFonts w:ascii="Garamond" w:hAnsi="Garamond" w:cs="Times New Roman"/>
          <w:b/>
          <w:bCs/>
          <w:sz w:val="24"/>
          <w:szCs w:val="24"/>
        </w:rPr>
      </w:pPr>
      <w:r w:rsidRPr="00205909">
        <w:rPr>
          <w:rFonts w:ascii="Garamond" w:hAnsi="Garamond" w:cs="Times New Roman"/>
          <w:sz w:val="24"/>
          <w:szCs w:val="24"/>
        </w:rPr>
        <w:t xml:space="preserve">Le </w:t>
      </w:r>
      <w:r w:rsidR="00797805" w:rsidRPr="00205909">
        <w:rPr>
          <w:rFonts w:ascii="Garamond" w:hAnsi="Garamond" w:cs="Times New Roman"/>
          <w:sz w:val="24"/>
          <w:szCs w:val="24"/>
        </w:rPr>
        <w:t xml:space="preserve">second </w:t>
      </w:r>
      <w:r w:rsidRPr="00205909">
        <w:rPr>
          <w:rFonts w:ascii="Garamond" w:hAnsi="Garamond" w:cs="Times New Roman"/>
          <w:sz w:val="24"/>
          <w:szCs w:val="24"/>
        </w:rPr>
        <w:t xml:space="preserve">est le fait que, vu de France, ce sont surtout des spécialistes </w:t>
      </w:r>
      <w:r w:rsidR="006D1B68" w:rsidRPr="00205909">
        <w:rPr>
          <w:rFonts w:ascii="Garamond" w:hAnsi="Garamond" w:cs="Times New Roman"/>
          <w:sz w:val="24"/>
          <w:szCs w:val="24"/>
        </w:rPr>
        <w:t>de</w:t>
      </w:r>
      <w:r w:rsidRPr="00205909">
        <w:rPr>
          <w:rFonts w:ascii="Garamond" w:hAnsi="Garamond" w:cs="Times New Roman"/>
          <w:sz w:val="24"/>
          <w:szCs w:val="24"/>
        </w:rPr>
        <w:t xml:space="preserve"> droit international public ou de sciences politiques </w:t>
      </w:r>
      <w:r w:rsidR="006D1B68" w:rsidRPr="00205909">
        <w:rPr>
          <w:rFonts w:ascii="Garamond" w:hAnsi="Garamond" w:cs="Times New Roman"/>
          <w:sz w:val="24"/>
          <w:szCs w:val="24"/>
        </w:rPr>
        <w:t>dans le champ des r</w:t>
      </w:r>
      <w:r w:rsidR="004D7CA3" w:rsidRPr="00205909">
        <w:rPr>
          <w:rFonts w:ascii="Garamond" w:hAnsi="Garamond" w:cs="Times New Roman"/>
          <w:sz w:val="24"/>
          <w:szCs w:val="24"/>
        </w:rPr>
        <w:t>e</w:t>
      </w:r>
      <w:r w:rsidR="006D1B68" w:rsidRPr="00205909">
        <w:rPr>
          <w:rFonts w:ascii="Garamond" w:hAnsi="Garamond" w:cs="Times New Roman"/>
          <w:sz w:val="24"/>
          <w:szCs w:val="24"/>
        </w:rPr>
        <w:t xml:space="preserve">lations internationales </w:t>
      </w:r>
      <w:r w:rsidRPr="00205909">
        <w:rPr>
          <w:rFonts w:ascii="Garamond" w:hAnsi="Garamond" w:cs="Times New Roman"/>
          <w:sz w:val="24"/>
          <w:szCs w:val="24"/>
        </w:rPr>
        <w:t xml:space="preserve">qui se sont intéressés à la question, avec ce regard particulier fondé sur une forme d’étanchéité entre les règles du droit public et celles du droit privé, regard borgne partagé d’ailleurs par les juristes de droit privé. A l’inverse, cette distinction n’existe pas aux Etats-Unis, de sorte que le </w:t>
      </w:r>
      <w:proofErr w:type="spellStart"/>
      <w:r w:rsidRPr="00205909">
        <w:rPr>
          <w:rFonts w:ascii="Garamond" w:hAnsi="Garamond" w:cs="Times New Roman"/>
          <w:i/>
          <w:iCs/>
          <w:sz w:val="24"/>
          <w:szCs w:val="24"/>
        </w:rPr>
        <w:t>lawfare</w:t>
      </w:r>
      <w:proofErr w:type="spellEnd"/>
      <w:r w:rsidRPr="00205909">
        <w:rPr>
          <w:rFonts w:ascii="Garamond" w:hAnsi="Garamond" w:cs="Times New Roman"/>
          <w:i/>
          <w:iCs/>
          <w:sz w:val="24"/>
          <w:szCs w:val="24"/>
        </w:rPr>
        <w:t xml:space="preserve"> </w:t>
      </w:r>
      <w:r w:rsidRPr="00205909">
        <w:rPr>
          <w:rFonts w:ascii="Garamond" w:hAnsi="Garamond" w:cs="Times New Roman"/>
          <w:sz w:val="24"/>
          <w:szCs w:val="24"/>
        </w:rPr>
        <w:t>peut y être saisi tout aussi bien d</w:t>
      </w:r>
      <w:r w:rsidR="00797805" w:rsidRPr="00205909">
        <w:rPr>
          <w:rFonts w:ascii="Garamond" w:hAnsi="Garamond" w:cs="Times New Roman"/>
          <w:sz w:val="24"/>
          <w:szCs w:val="24"/>
        </w:rPr>
        <w:t xml:space="preserve">ans des </w:t>
      </w:r>
      <w:r w:rsidRPr="00205909">
        <w:rPr>
          <w:rFonts w:ascii="Garamond" w:hAnsi="Garamond" w:cs="Times New Roman"/>
          <w:sz w:val="24"/>
          <w:szCs w:val="24"/>
        </w:rPr>
        <w:t xml:space="preserve">formes </w:t>
      </w:r>
      <w:r w:rsidR="00797805" w:rsidRPr="00205909">
        <w:rPr>
          <w:rFonts w:ascii="Garamond" w:hAnsi="Garamond" w:cs="Times New Roman"/>
          <w:sz w:val="24"/>
          <w:szCs w:val="24"/>
        </w:rPr>
        <w:t xml:space="preserve">privées ou </w:t>
      </w:r>
      <w:r w:rsidRPr="00205909">
        <w:rPr>
          <w:rFonts w:ascii="Garamond" w:hAnsi="Garamond" w:cs="Times New Roman"/>
          <w:sz w:val="24"/>
          <w:szCs w:val="24"/>
        </w:rPr>
        <w:t>publi</w:t>
      </w:r>
      <w:r w:rsidR="00797805" w:rsidRPr="00205909">
        <w:rPr>
          <w:rFonts w:ascii="Garamond" w:hAnsi="Garamond" w:cs="Times New Roman"/>
          <w:sz w:val="24"/>
          <w:szCs w:val="24"/>
        </w:rPr>
        <w:t>ques</w:t>
      </w:r>
      <w:r w:rsidRPr="00205909">
        <w:rPr>
          <w:rFonts w:ascii="Garamond" w:hAnsi="Garamond" w:cs="Times New Roman"/>
          <w:sz w:val="24"/>
          <w:szCs w:val="24"/>
        </w:rPr>
        <w:t>.</w:t>
      </w:r>
    </w:p>
    <w:p w14:paraId="61476791" w14:textId="77777777" w:rsidR="002876B2" w:rsidRPr="00205909" w:rsidRDefault="002876B2" w:rsidP="002876B2">
      <w:pPr>
        <w:pStyle w:val="numerodeparagraphe"/>
        <w:numPr>
          <w:ilvl w:val="0"/>
          <w:numId w:val="0"/>
        </w:numPr>
        <w:spacing w:before="0"/>
        <w:ind w:left="454"/>
        <w:rPr>
          <w:rFonts w:ascii="Garamond" w:hAnsi="Garamond"/>
          <w:b/>
          <w:bCs/>
          <w:sz w:val="24"/>
          <w:szCs w:val="24"/>
        </w:rPr>
      </w:pPr>
    </w:p>
    <w:p w14:paraId="230C8893" w14:textId="436C8522" w:rsidR="00271388" w:rsidRPr="00205909" w:rsidRDefault="00A70D34" w:rsidP="007F1788">
      <w:pPr>
        <w:pStyle w:val="numerodeparagraphe"/>
        <w:spacing w:before="0"/>
        <w:rPr>
          <w:rFonts w:ascii="Garamond" w:hAnsi="Garamond"/>
          <w:b/>
          <w:bCs/>
          <w:sz w:val="24"/>
          <w:szCs w:val="24"/>
        </w:rPr>
      </w:pPr>
      <w:r w:rsidRPr="00205909">
        <w:rPr>
          <w:rFonts w:ascii="Garamond" w:hAnsi="Garamond"/>
          <w:sz w:val="24"/>
          <w:szCs w:val="24"/>
        </w:rPr>
        <w:t>Au départ d’ailleurs l</w:t>
      </w:r>
      <w:r w:rsidR="002969A6" w:rsidRPr="00205909">
        <w:rPr>
          <w:rFonts w:ascii="Garamond" w:hAnsi="Garamond"/>
          <w:sz w:val="24"/>
          <w:szCs w:val="24"/>
        </w:rPr>
        <w:t>’idée</w:t>
      </w:r>
      <w:r w:rsidR="006A111F">
        <w:rPr>
          <w:rFonts w:ascii="Garamond" w:hAnsi="Garamond"/>
          <w:sz w:val="24"/>
          <w:szCs w:val="24"/>
        </w:rPr>
        <w:t>,</w:t>
      </w:r>
      <w:r w:rsidR="002969A6" w:rsidRPr="00205909">
        <w:rPr>
          <w:rFonts w:ascii="Garamond" w:hAnsi="Garamond"/>
          <w:sz w:val="24"/>
          <w:szCs w:val="24"/>
        </w:rPr>
        <w:t xml:space="preserve"> ou le concept</w:t>
      </w:r>
      <w:r w:rsidR="006A111F">
        <w:rPr>
          <w:rFonts w:ascii="Garamond" w:hAnsi="Garamond"/>
          <w:sz w:val="24"/>
          <w:szCs w:val="24"/>
        </w:rPr>
        <w:t>,</w:t>
      </w:r>
      <w:r w:rsidR="002969A6" w:rsidRPr="00205909">
        <w:rPr>
          <w:rFonts w:ascii="Garamond" w:hAnsi="Garamond"/>
          <w:sz w:val="24"/>
          <w:szCs w:val="24"/>
        </w:rPr>
        <w:t xml:space="preserve"> d</w:t>
      </w:r>
      <w:r w:rsidRPr="00205909">
        <w:rPr>
          <w:rFonts w:ascii="Garamond" w:hAnsi="Garamond"/>
          <w:sz w:val="24"/>
          <w:szCs w:val="24"/>
        </w:rPr>
        <w:t xml:space="preserve">e </w:t>
      </w:r>
      <w:proofErr w:type="spellStart"/>
      <w:r w:rsidRPr="00205909">
        <w:rPr>
          <w:rFonts w:ascii="Garamond" w:hAnsi="Garamond"/>
          <w:i/>
          <w:iCs/>
          <w:sz w:val="24"/>
          <w:szCs w:val="24"/>
        </w:rPr>
        <w:t>lawfare</w:t>
      </w:r>
      <w:proofErr w:type="spellEnd"/>
      <w:r w:rsidRPr="00205909">
        <w:rPr>
          <w:rFonts w:ascii="Garamond" w:hAnsi="Garamond"/>
          <w:i/>
          <w:iCs/>
          <w:sz w:val="24"/>
          <w:szCs w:val="24"/>
        </w:rPr>
        <w:t xml:space="preserve"> </w:t>
      </w:r>
      <w:r w:rsidRPr="00205909">
        <w:rPr>
          <w:rFonts w:ascii="Garamond" w:hAnsi="Garamond"/>
          <w:sz w:val="24"/>
          <w:szCs w:val="24"/>
        </w:rPr>
        <w:t>renvo</w:t>
      </w:r>
      <w:r w:rsidR="00DB1CBA" w:rsidRPr="00205909">
        <w:rPr>
          <w:rFonts w:ascii="Garamond" w:hAnsi="Garamond"/>
          <w:sz w:val="24"/>
          <w:szCs w:val="24"/>
        </w:rPr>
        <w:t>yait</w:t>
      </w:r>
      <w:r w:rsidRPr="00205909">
        <w:rPr>
          <w:rFonts w:ascii="Garamond" w:hAnsi="Garamond"/>
          <w:sz w:val="24"/>
          <w:szCs w:val="24"/>
        </w:rPr>
        <w:t xml:space="preserve"> à une conception </w:t>
      </w:r>
      <w:r w:rsidRPr="00205909">
        <w:rPr>
          <w:rFonts w:ascii="Garamond" w:hAnsi="Garamond"/>
          <w:i/>
          <w:iCs/>
          <w:sz w:val="24"/>
          <w:szCs w:val="24"/>
        </w:rPr>
        <w:t>négative</w:t>
      </w:r>
      <w:r w:rsidRPr="00205909">
        <w:rPr>
          <w:rFonts w:ascii="Garamond" w:hAnsi="Garamond"/>
          <w:sz w:val="24"/>
          <w:szCs w:val="24"/>
        </w:rPr>
        <w:t xml:space="preserve"> </w:t>
      </w:r>
      <w:r w:rsidR="007E0D05" w:rsidRPr="00205909">
        <w:rPr>
          <w:rFonts w:ascii="Garamond" w:hAnsi="Garamond"/>
          <w:sz w:val="24"/>
          <w:szCs w:val="24"/>
        </w:rPr>
        <w:t xml:space="preserve">du </w:t>
      </w:r>
      <w:r w:rsidR="00CA780F" w:rsidRPr="00205909">
        <w:rPr>
          <w:rFonts w:ascii="Garamond" w:hAnsi="Garamond"/>
          <w:sz w:val="24"/>
          <w:szCs w:val="24"/>
        </w:rPr>
        <w:t>« </w:t>
      </w:r>
      <w:r w:rsidR="007E0D05" w:rsidRPr="00205909">
        <w:rPr>
          <w:rFonts w:ascii="Garamond" w:hAnsi="Garamond"/>
          <w:i/>
          <w:iCs/>
          <w:sz w:val="24"/>
          <w:szCs w:val="24"/>
        </w:rPr>
        <w:t xml:space="preserve">public </w:t>
      </w:r>
      <w:proofErr w:type="spellStart"/>
      <w:r w:rsidR="007E0D05" w:rsidRPr="00205909">
        <w:rPr>
          <w:rFonts w:ascii="Garamond" w:hAnsi="Garamond"/>
          <w:i/>
          <w:iCs/>
          <w:sz w:val="24"/>
          <w:szCs w:val="24"/>
        </w:rPr>
        <w:t>lawfare</w:t>
      </w:r>
      <w:proofErr w:type="spellEnd"/>
      <w:r w:rsidR="00CA780F" w:rsidRPr="00205909">
        <w:rPr>
          <w:rFonts w:ascii="Garamond" w:hAnsi="Garamond"/>
          <w:i/>
          <w:iCs/>
          <w:sz w:val="24"/>
          <w:szCs w:val="24"/>
        </w:rPr>
        <w:t> »</w:t>
      </w:r>
      <w:r w:rsidR="007E0D05" w:rsidRPr="00205909">
        <w:rPr>
          <w:rFonts w:ascii="Garamond" w:hAnsi="Garamond"/>
          <w:sz w:val="24"/>
          <w:szCs w:val="24"/>
        </w:rPr>
        <w:t xml:space="preserve">, compris comme </w:t>
      </w:r>
      <w:r w:rsidRPr="00205909">
        <w:rPr>
          <w:rFonts w:ascii="Garamond" w:hAnsi="Garamond"/>
          <w:sz w:val="24"/>
          <w:szCs w:val="24"/>
        </w:rPr>
        <w:t xml:space="preserve">l’usage </w:t>
      </w:r>
      <w:r w:rsidR="007E0D05" w:rsidRPr="00205909">
        <w:rPr>
          <w:rFonts w:ascii="Garamond" w:hAnsi="Garamond"/>
          <w:sz w:val="24"/>
          <w:szCs w:val="24"/>
        </w:rPr>
        <w:t xml:space="preserve">illégitime </w:t>
      </w:r>
      <w:r w:rsidRPr="00205909">
        <w:rPr>
          <w:rFonts w:ascii="Garamond" w:hAnsi="Garamond"/>
          <w:sz w:val="24"/>
          <w:szCs w:val="24"/>
        </w:rPr>
        <w:t>de règles de droit</w:t>
      </w:r>
      <w:r w:rsidR="006D1B68" w:rsidRPr="00205909">
        <w:rPr>
          <w:rFonts w:ascii="Garamond" w:hAnsi="Garamond"/>
          <w:sz w:val="24"/>
          <w:szCs w:val="24"/>
        </w:rPr>
        <w:t xml:space="preserve"> – principalement du droit des conflits armés et du droit international humanitaire –</w:t>
      </w:r>
      <w:r w:rsidRPr="00205909">
        <w:rPr>
          <w:rFonts w:ascii="Garamond" w:hAnsi="Garamond"/>
          <w:sz w:val="24"/>
          <w:szCs w:val="24"/>
        </w:rPr>
        <w:t>, perçu, par les américains notamment, comme une forme critiquable d’interprétation</w:t>
      </w:r>
      <w:r w:rsidR="00B92ACF" w:rsidRPr="00205909">
        <w:rPr>
          <w:rFonts w:ascii="Garamond" w:hAnsi="Garamond"/>
          <w:sz w:val="24"/>
          <w:szCs w:val="24"/>
        </w:rPr>
        <w:t>s</w:t>
      </w:r>
      <w:r w:rsidRPr="00205909">
        <w:rPr>
          <w:rFonts w:ascii="Garamond" w:hAnsi="Garamond"/>
          <w:sz w:val="24"/>
          <w:szCs w:val="24"/>
        </w:rPr>
        <w:t xml:space="preserve"> ou d’usage</w:t>
      </w:r>
      <w:r w:rsidR="00B92ACF" w:rsidRPr="00205909">
        <w:rPr>
          <w:rFonts w:ascii="Garamond" w:hAnsi="Garamond"/>
          <w:sz w:val="24"/>
          <w:szCs w:val="24"/>
        </w:rPr>
        <w:t>s</w:t>
      </w:r>
      <w:r w:rsidRPr="00205909">
        <w:rPr>
          <w:rFonts w:ascii="Garamond" w:hAnsi="Garamond"/>
          <w:sz w:val="24"/>
          <w:szCs w:val="24"/>
        </w:rPr>
        <w:t xml:space="preserve"> </w:t>
      </w:r>
      <w:r w:rsidR="00CA780F" w:rsidRPr="00205909">
        <w:rPr>
          <w:rFonts w:ascii="Garamond" w:hAnsi="Garamond"/>
          <w:sz w:val="24"/>
          <w:szCs w:val="24"/>
        </w:rPr>
        <w:t xml:space="preserve">de ces règles </w:t>
      </w:r>
      <w:r w:rsidRPr="00205909">
        <w:rPr>
          <w:rFonts w:ascii="Garamond" w:hAnsi="Garamond"/>
          <w:sz w:val="24"/>
          <w:szCs w:val="24"/>
        </w:rPr>
        <w:t xml:space="preserve">rendant moins efficace une opération militaire </w:t>
      </w:r>
      <w:r w:rsidR="00CA780F" w:rsidRPr="00205909">
        <w:rPr>
          <w:rFonts w:ascii="Garamond" w:hAnsi="Garamond"/>
          <w:sz w:val="24"/>
          <w:szCs w:val="24"/>
        </w:rPr>
        <w:t>(</w:t>
      </w:r>
      <w:r w:rsidR="00B92ACF" w:rsidRPr="00205909">
        <w:rPr>
          <w:rFonts w:ascii="Garamond" w:hAnsi="Garamond"/>
          <w:sz w:val="24"/>
          <w:szCs w:val="24"/>
        </w:rPr>
        <w:t>a</w:t>
      </w:r>
      <w:r w:rsidR="00CA780F" w:rsidRPr="00205909">
        <w:rPr>
          <w:rFonts w:ascii="Garamond" w:hAnsi="Garamond"/>
          <w:sz w:val="24"/>
          <w:szCs w:val="24"/>
        </w:rPr>
        <w:t>m</w:t>
      </w:r>
      <w:r w:rsidR="00B92ACF" w:rsidRPr="00205909">
        <w:rPr>
          <w:rFonts w:ascii="Garamond" w:hAnsi="Garamond"/>
          <w:sz w:val="24"/>
          <w:szCs w:val="24"/>
        </w:rPr>
        <w:t>é</w:t>
      </w:r>
      <w:r w:rsidR="00CA780F" w:rsidRPr="00205909">
        <w:rPr>
          <w:rFonts w:ascii="Garamond" w:hAnsi="Garamond"/>
          <w:sz w:val="24"/>
          <w:szCs w:val="24"/>
        </w:rPr>
        <w:t xml:space="preserve">ricaine) </w:t>
      </w:r>
      <w:r w:rsidRPr="00205909">
        <w:rPr>
          <w:rFonts w:ascii="Garamond" w:hAnsi="Garamond"/>
          <w:sz w:val="24"/>
          <w:szCs w:val="24"/>
        </w:rPr>
        <w:t>considérée, elle</w:t>
      </w:r>
      <w:r w:rsidR="002969A6" w:rsidRPr="00205909">
        <w:rPr>
          <w:rFonts w:ascii="Garamond" w:hAnsi="Garamond"/>
          <w:sz w:val="24"/>
          <w:szCs w:val="24"/>
        </w:rPr>
        <w:t>,</w:t>
      </w:r>
      <w:r w:rsidRPr="00205909">
        <w:rPr>
          <w:rFonts w:ascii="Garamond" w:hAnsi="Garamond"/>
          <w:sz w:val="24"/>
          <w:szCs w:val="24"/>
        </w:rPr>
        <w:t xml:space="preserve"> comme légitime. </w:t>
      </w:r>
      <w:r w:rsidR="00D00ED4" w:rsidRPr="00205909">
        <w:rPr>
          <w:rFonts w:ascii="Garamond" w:hAnsi="Garamond"/>
          <w:sz w:val="24"/>
          <w:szCs w:val="24"/>
        </w:rPr>
        <w:t xml:space="preserve">On mesure la confusion : l’utilisation de telle règle de droit, son interprétation, n’est en rien illégitime, à supposer cependant qu’un juge tranche sa réalité, tandis que l’usage de la règle par l’autre partie est considéré, </w:t>
      </w:r>
      <w:r w:rsidR="006A111F">
        <w:rPr>
          <w:rFonts w:ascii="Garamond" w:hAnsi="Garamond"/>
          <w:sz w:val="24"/>
          <w:szCs w:val="24"/>
        </w:rPr>
        <w:t xml:space="preserve">comme </w:t>
      </w:r>
      <w:r w:rsidR="00D00ED4" w:rsidRPr="00205909">
        <w:rPr>
          <w:rFonts w:ascii="Garamond" w:hAnsi="Garamond"/>
          <w:sz w:val="24"/>
          <w:szCs w:val="24"/>
        </w:rPr>
        <w:t xml:space="preserve">point de départ, comme légitime. Au-delà de la confusion entre appréciation positive ou naturelle de l’usage de la règle, la prétention </w:t>
      </w:r>
      <w:r w:rsidR="00271388" w:rsidRPr="00205909">
        <w:rPr>
          <w:rFonts w:ascii="Garamond" w:hAnsi="Garamond"/>
          <w:sz w:val="24"/>
          <w:szCs w:val="24"/>
        </w:rPr>
        <w:t xml:space="preserve">à la légitimité, d’autorité, est évidement contestable (peu important qu’elle soit vraie ou fausse). </w:t>
      </w:r>
    </w:p>
    <w:p w14:paraId="1EF5FFC3" w14:textId="03F224B3" w:rsidR="00A70D34" w:rsidRPr="00205909" w:rsidRDefault="00A70D34" w:rsidP="00271388">
      <w:pPr>
        <w:pStyle w:val="numerodeparagraphe"/>
        <w:numPr>
          <w:ilvl w:val="0"/>
          <w:numId w:val="0"/>
        </w:numPr>
        <w:spacing w:before="0"/>
        <w:ind w:firstLine="454"/>
        <w:rPr>
          <w:rFonts w:ascii="Garamond" w:hAnsi="Garamond"/>
          <w:b/>
          <w:bCs/>
          <w:sz w:val="24"/>
          <w:szCs w:val="24"/>
        </w:rPr>
      </w:pPr>
      <w:r w:rsidRPr="00205909">
        <w:rPr>
          <w:rFonts w:ascii="Garamond" w:hAnsi="Garamond"/>
          <w:sz w:val="24"/>
          <w:szCs w:val="24"/>
        </w:rPr>
        <w:t xml:space="preserve">Le cas le plus connu, et toujours </w:t>
      </w:r>
      <w:r w:rsidR="007E3808" w:rsidRPr="00205909">
        <w:rPr>
          <w:rFonts w:ascii="Garamond" w:hAnsi="Garamond"/>
          <w:sz w:val="24"/>
          <w:szCs w:val="24"/>
        </w:rPr>
        <w:t xml:space="preserve">davantage </w:t>
      </w:r>
      <w:r w:rsidRPr="00205909">
        <w:rPr>
          <w:rFonts w:ascii="Garamond" w:hAnsi="Garamond"/>
          <w:sz w:val="24"/>
          <w:szCs w:val="24"/>
        </w:rPr>
        <w:t>d’actualité</w:t>
      </w:r>
      <w:r w:rsidR="00271388" w:rsidRPr="00205909">
        <w:rPr>
          <w:rFonts w:ascii="Garamond" w:hAnsi="Garamond"/>
          <w:sz w:val="24"/>
          <w:szCs w:val="24"/>
        </w:rPr>
        <w:t>,</w:t>
      </w:r>
      <w:r w:rsidRPr="00205909">
        <w:rPr>
          <w:rFonts w:ascii="Garamond" w:hAnsi="Garamond"/>
          <w:sz w:val="24"/>
          <w:szCs w:val="24"/>
        </w:rPr>
        <w:t xml:space="preserve"> est, dans un contexte de guerre asymétrique, par exemple d’une armée occidentale contre un groupe armé aux idéaux discutables, </w:t>
      </w:r>
      <w:r w:rsidR="007E3808" w:rsidRPr="00205909">
        <w:rPr>
          <w:rFonts w:ascii="Garamond" w:hAnsi="Garamond"/>
          <w:sz w:val="24"/>
          <w:szCs w:val="24"/>
        </w:rPr>
        <w:t xml:space="preserve">celui </w:t>
      </w:r>
      <w:r w:rsidRPr="00205909">
        <w:rPr>
          <w:rFonts w:ascii="Garamond" w:hAnsi="Garamond"/>
          <w:sz w:val="24"/>
          <w:szCs w:val="24"/>
        </w:rPr>
        <w:t xml:space="preserve">de l’accusation par les seconds de crimes de guerre commis par les premiers, ces derniers s’engageant </w:t>
      </w:r>
      <w:r w:rsidR="006A111F">
        <w:rPr>
          <w:rFonts w:ascii="Garamond" w:hAnsi="Garamond"/>
          <w:sz w:val="24"/>
          <w:szCs w:val="24"/>
        </w:rPr>
        <w:t xml:space="preserve">par ailleurs </w:t>
      </w:r>
      <w:r w:rsidRPr="00205909">
        <w:rPr>
          <w:rFonts w:ascii="Garamond" w:hAnsi="Garamond"/>
          <w:sz w:val="24"/>
          <w:szCs w:val="24"/>
        </w:rPr>
        <w:t>à respecter les règles du droit des conflits, ce que les seconds bafouent pourtant ouvertement, voire nie</w:t>
      </w:r>
      <w:r w:rsidR="007E3808" w:rsidRPr="00205909">
        <w:rPr>
          <w:rFonts w:ascii="Garamond" w:hAnsi="Garamond"/>
          <w:sz w:val="24"/>
          <w:szCs w:val="24"/>
        </w:rPr>
        <w:t>nt</w:t>
      </w:r>
      <w:r w:rsidRPr="00205909">
        <w:rPr>
          <w:rFonts w:ascii="Garamond" w:hAnsi="Garamond"/>
          <w:sz w:val="24"/>
          <w:szCs w:val="24"/>
        </w:rPr>
        <w:t xml:space="preserve"> l’existence.</w:t>
      </w:r>
    </w:p>
    <w:p w14:paraId="0D2A3571" w14:textId="77777777" w:rsidR="002876B2" w:rsidRPr="00205909" w:rsidRDefault="002876B2" w:rsidP="002876B2">
      <w:pPr>
        <w:pStyle w:val="numerodeparagraphe"/>
        <w:numPr>
          <w:ilvl w:val="0"/>
          <w:numId w:val="0"/>
        </w:numPr>
        <w:spacing w:before="0"/>
        <w:ind w:left="454"/>
        <w:rPr>
          <w:rFonts w:ascii="Garamond" w:hAnsi="Garamond"/>
          <w:b/>
          <w:bCs/>
          <w:sz w:val="24"/>
          <w:szCs w:val="24"/>
        </w:rPr>
      </w:pPr>
    </w:p>
    <w:p w14:paraId="614CA828" w14:textId="3C6A8B13" w:rsidR="002707E1" w:rsidRPr="00205909" w:rsidRDefault="00A70D34" w:rsidP="007F1788">
      <w:pPr>
        <w:pStyle w:val="numerodeparagraphe"/>
        <w:spacing w:before="0"/>
        <w:rPr>
          <w:rFonts w:ascii="Garamond" w:hAnsi="Garamond"/>
          <w:b/>
          <w:bCs/>
          <w:sz w:val="24"/>
          <w:szCs w:val="24"/>
        </w:rPr>
      </w:pPr>
      <w:r w:rsidRPr="00205909">
        <w:rPr>
          <w:rFonts w:ascii="Garamond" w:hAnsi="Garamond"/>
          <w:sz w:val="24"/>
          <w:szCs w:val="24"/>
        </w:rPr>
        <w:t xml:space="preserve">C’est là </w:t>
      </w:r>
      <w:r w:rsidR="0095624F" w:rsidRPr="00205909">
        <w:rPr>
          <w:rFonts w:ascii="Garamond" w:hAnsi="Garamond"/>
          <w:sz w:val="24"/>
          <w:szCs w:val="24"/>
        </w:rPr>
        <w:t xml:space="preserve">d’ailleurs </w:t>
      </w:r>
      <w:r w:rsidRPr="00205909">
        <w:rPr>
          <w:rFonts w:ascii="Garamond" w:hAnsi="Garamond"/>
          <w:sz w:val="24"/>
          <w:szCs w:val="24"/>
        </w:rPr>
        <w:t>une constante </w:t>
      </w:r>
      <w:r w:rsidR="0095624F" w:rsidRPr="00205909">
        <w:rPr>
          <w:rFonts w:ascii="Garamond" w:hAnsi="Garamond"/>
          <w:sz w:val="24"/>
          <w:szCs w:val="24"/>
        </w:rPr>
        <w:t xml:space="preserve">valant pour </w:t>
      </w:r>
      <w:r w:rsidR="001370F7" w:rsidRPr="00205909">
        <w:rPr>
          <w:rFonts w:ascii="Garamond" w:hAnsi="Garamond"/>
          <w:sz w:val="24"/>
          <w:szCs w:val="24"/>
        </w:rPr>
        <w:t xml:space="preserve">l’appréciation de </w:t>
      </w:r>
      <w:r w:rsidR="0095624F" w:rsidRPr="00205909">
        <w:rPr>
          <w:rFonts w:ascii="Garamond" w:hAnsi="Garamond"/>
          <w:sz w:val="24"/>
          <w:szCs w:val="24"/>
        </w:rPr>
        <w:t xml:space="preserve">toutes les formes de </w:t>
      </w:r>
      <w:proofErr w:type="spellStart"/>
      <w:r w:rsidR="0095624F" w:rsidRPr="00205909">
        <w:rPr>
          <w:rFonts w:ascii="Garamond" w:hAnsi="Garamond"/>
          <w:i/>
          <w:iCs/>
          <w:sz w:val="24"/>
          <w:szCs w:val="24"/>
        </w:rPr>
        <w:t>lawfare</w:t>
      </w:r>
      <w:proofErr w:type="spellEnd"/>
      <w:r w:rsidR="0095624F" w:rsidRPr="00205909">
        <w:rPr>
          <w:rFonts w:ascii="Garamond" w:hAnsi="Garamond"/>
          <w:i/>
          <w:iCs/>
          <w:sz w:val="24"/>
          <w:szCs w:val="24"/>
        </w:rPr>
        <w:t xml:space="preserve"> </w:t>
      </w:r>
      <w:r w:rsidRPr="00205909">
        <w:rPr>
          <w:rFonts w:ascii="Garamond" w:hAnsi="Garamond"/>
          <w:sz w:val="24"/>
          <w:szCs w:val="24"/>
        </w:rPr>
        <w:t xml:space="preserve">: les </w:t>
      </w:r>
      <w:r w:rsidR="007E3808" w:rsidRPr="00205909">
        <w:rPr>
          <w:rFonts w:ascii="Garamond" w:hAnsi="Garamond"/>
          <w:sz w:val="24"/>
          <w:szCs w:val="24"/>
        </w:rPr>
        <w:t>démocraties</w:t>
      </w:r>
      <w:r w:rsidR="00271388" w:rsidRPr="00205909">
        <w:rPr>
          <w:rFonts w:ascii="Garamond" w:hAnsi="Garamond"/>
          <w:sz w:val="24"/>
          <w:szCs w:val="24"/>
        </w:rPr>
        <w:t xml:space="preserve"> libérales </w:t>
      </w:r>
      <w:r w:rsidRPr="00205909">
        <w:rPr>
          <w:rFonts w:ascii="Garamond" w:hAnsi="Garamond"/>
          <w:sz w:val="24"/>
          <w:szCs w:val="24"/>
        </w:rPr>
        <w:t xml:space="preserve">présentent une vertu, </w:t>
      </w:r>
      <w:r w:rsidR="007E3808" w:rsidRPr="00205909">
        <w:rPr>
          <w:rFonts w:ascii="Garamond" w:hAnsi="Garamond"/>
          <w:sz w:val="24"/>
          <w:szCs w:val="24"/>
        </w:rPr>
        <w:t>cel</w:t>
      </w:r>
      <w:r w:rsidR="00271388" w:rsidRPr="00205909">
        <w:rPr>
          <w:rFonts w:ascii="Garamond" w:hAnsi="Garamond"/>
          <w:sz w:val="24"/>
          <w:szCs w:val="24"/>
        </w:rPr>
        <w:t>le</w:t>
      </w:r>
      <w:r w:rsidR="007E3808" w:rsidRPr="00205909">
        <w:rPr>
          <w:rFonts w:ascii="Garamond" w:hAnsi="Garamond"/>
          <w:sz w:val="24"/>
          <w:szCs w:val="24"/>
        </w:rPr>
        <w:t xml:space="preserve"> du</w:t>
      </w:r>
      <w:r w:rsidRPr="00205909">
        <w:rPr>
          <w:rFonts w:ascii="Garamond" w:hAnsi="Garamond"/>
          <w:sz w:val="24"/>
          <w:szCs w:val="24"/>
        </w:rPr>
        <w:t xml:space="preserve"> respect </w:t>
      </w:r>
      <w:r w:rsidR="007E3808" w:rsidRPr="00205909">
        <w:rPr>
          <w:rFonts w:ascii="Garamond" w:hAnsi="Garamond"/>
          <w:sz w:val="24"/>
          <w:szCs w:val="24"/>
        </w:rPr>
        <w:t xml:space="preserve">affirmé </w:t>
      </w:r>
      <w:r w:rsidRPr="00205909">
        <w:rPr>
          <w:rFonts w:ascii="Garamond" w:hAnsi="Garamond"/>
          <w:sz w:val="24"/>
          <w:szCs w:val="24"/>
        </w:rPr>
        <w:t>de l’Etat de droit et du droit international, dont le droit des conflits armés</w:t>
      </w:r>
      <w:r w:rsidR="007E3808" w:rsidRPr="00205909">
        <w:rPr>
          <w:rFonts w:ascii="Garamond" w:hAnsi="Garamond"/>
          <w:sz w:val="24"/>
          <w:szCs w:val="24"/>
        </w:rPr>
        <w:t xml:space="preserve"> et du droit international humanitaire (les termes seront </w:t>
      </w:r>
      <w:r w:rsidR="00271388" w:rsidRPr="00205909">
        <w:rPr>
          <w:rFonts w:ascii="Garamond" w:hAnsi="Garamond"/>
          <w:sz w:val="24"/>
          <w:szCs w:val="24"/>
        </w:rPr>
        <w:t xml:space="preserve">ensuite </w:t>
      </w:r>
      <w:r w:rsidR="007E3808" w:rsidRPr="00205909">
        <w:rPr>
          <w:rFonts w:ascii="Garamond" w:hAnsi="Garamond"/>
          <w:sz w:val="24"/>
          <w:szCs w:val="24"/>
        </w:rPr>
        <w:t>employés l’un pour l’autre)</w:t>
      </w:r>
      <w:r w:rsidRPr="00205909">
        <w:rPr>
          <w:rFonts w:ascii="Garamond" w:hAnsi="Garamond"/>
          <w:sz w:val="24"/>
          <w:szCs w:val="24"/>
        </w:rPr>
        <w:t>. Cette vertu devient alors, face à un groupe, un Etat, quelque entité que ce soit</w:t>
      </w:r>
      <w:r w:rsidR="000301EA" w:rsidRPr="00205909">
        <w:rPr>
          <w:rFonts w:ascii="Garamond" w:hAnsi="Garamond"/>
          <w:sz w:val="24"/>
          <w:szCs w:val="24"/>
        </w:rPr>
        <w:t>,</w:t>
      </w:r>
      <w:r w:rsidRPr="00205909">
        <w:rPr>
          <w:rFonts w:ascii="Garamond" w:hAnsi="Garamond"/>
          <w:sz w:val="24"/>
          <w:szCs w:val="24"/>
        </w:rPr>
        <w:t xml:space="preserve"> qui nie ces engagements, une </w:t>
      </w:r>
      <w:r w:rsidRPr="00205909">
        <w:rPr>
          <w:rFonts w:ascii="Garamond" w:hAnsi="Garamond"/>
          <w:i/>
          <w:iCs/>
          <w:sz w:val="24"/>
          <w:szCs w:val="24"/>
        </w:rPr>
        <w:t xml:space="preserve">vulnérabilité </w:t>
      </w:r>
      <w:r w:rsidRPr="00205909">
        <w:rPr>
          <w:rFonts w:ascii="Garamond" w:hAnsi="Garamond"/>
          <w:sz w:val="24"/>
          <w:szCs w:val="24"/>
        </w:rPr>
        <w:t xml:space="preserve">qui peut alors devenir une </w:t>
      </w:r>
      <w:r w:rsidRPr="00205909">
        <w:rPr>
          <w:rFonts w:ascii="Garamond" w:hAnsi="Garamond"/>
          <w:i/>
          <w:iCs/>
          <w:sz w:val="24"/>
          <w:szCs w:val="24"/>
        </w:rPr>
        <w:t>faiblesse</w:t>
      </w:r>
      <w:r w:rsidRPr="00205909">
        <w:rPr>
          <w:rFonts w:ascii="Garamond" w:hAnsi="Garamond"/>
          <w:sz w:val="24"/>
          <w:szCs w:val="24"/>
        </w:rPr>
        <w:t xml:space="preserve">, rendant inefficace, sinon impossible, la réussite d’une opération militaire par ailleurs souhaitée, légitime et « légale » : les exemples irakiens, afghans, sahéliens, </w:t>
      </w:r>
      <w:r w:rsidR="007E3808" w:rsidRPr="00205909">
        <w:rPr>
          <w:rFonts w:ascii="Garamond" w:hAnsi="Garamond"/>
          <w:sz w:val="24"/>
          <w:szCs w:val="24"/>
        </w:rPr>
        <w:t xml:space="preserve">israéliens, </w:t>
      </w:r>
      <w:r w:rsidRPr="00205909">
        <w:rPr>
          <w:rFonts w:ascii="Garamond" w:hAnsi="Garamond"/>
          <w:sz w:val="24"/>
          <w:szCs w:val="24"/>
        </w:rPr>
        <w:t>etc., en sont l’illustration malheureuse.</w:t>
      </w:r>
      <w:r w:rsidR="001370F7" w:rsidRPr="00205909">
        <w:rPr>
          <w:rFonts w:ascii="Garamond" w:hAnsi="Garamond"/>
          <w:sz w:val="24"/>
          <w:szCs w:val="24"/>
        </w:rPr>
        <w:t xml:space="preserve"> Elle peut cependant devenir une </w:t>
      </w:r>
      <w:r w:rsidR="001370F7" w:rsidRPr="00205909">
        <w:rPr>
          <w:rFonts w:ascii="Garamond" w:hAnsi="Garamond"/>
          <w:i/>
          <w:iCs/>
          <w:sz w:val="24"/>
          <w:szCs w:val="24"/>
        </w:rPr>
        <w:t>force</w:t>
      </w:r>
      <w:r w:rsidR="001370F7" w:rsidRPr="00205909">
        <w:rPr>
          <w:rFonts w:ascii="Garamond" w:hAnsi="Garamond"/>
          <w:sz w:val="24"/>
          <w:szCs w:val="24"/>
        </w:rPr>
        <w:t xml:space="preserve"> dès lors que la maîtrise des outils juridiques promus par un Etat de droit est parfaitement identifiée et dominée</w:t>
      </w:r>
      <w:r w:rsidR="007E3808" w:rsidRPr="00205909">
        <w:rPr>
          <w:rFonts w:ascii="Garamond" w:hAnsi="Garamond"/>
          <w:sz w:val="24"/>
          <w:szCs w:val="24"/>
        </w:rPr>
        <w:t xml:space="preserve">, associée à une </w:t>
      </w:r>
      <w:r w:rsidR="007E3808" w:rsidRPr="00205909">
        <w:rPr>
          <w:rFonts w:ascii="Garamond" w:hAnsi="Garamond"/>
          <w:i/>
          <w:iCs/>
          <w:sz w:val="24"/>
          <w:szCs w:val="24"/>
        </w:rPr>
        <w:t>communication</w:t>
      </w:r>
      <w:r w:rsidR="007E3808" w:rsidRPr="00205909">
        <w:rPr>
          <w:rFonts w:ascii="Garamond" w:hAnsi="Garamond"/>
          <w:sz w:val="24"/>
          <w:szCs w:val="24"/>
        </w:rPr>
        <w:t>, c’est-à-dire des techniques d’influence et de contre-influence, efficace</w:t>
      </w:r>
      <w:r w:rsidR="000301EA" w:rsidRPr="00205909">
        <w:rPr>
          <w:rFonts w:ascii="Garamond" w:hAnsi="Garamond"/>
          <w:sz w:val="24"/>
          <w:szCs w:val="24"/>
        </w:rPr>
        <w:t>s</w:t>
      </w:r>
      <w:r w:rsidR="001370F7" w:rsidRPr="00205909">
        <w:rPr>
          <w:rFonts w:ascii="Garamond" w:hAnsi="Garamond"/>
          <w:sz w:val="24"/>
          <w:szCs w:val="24"/>
        </w:rPr>
        <w:t>.</w:t>
      </w:r>
    </w:p>
    <w:p w14:paraId="6411D4FE" w14:textId="2750F463" w:rsidR="002969A6" w:rsidRPr="00205909" w:rsidRDefault="00A70D34" w:rsidP="009E2A61">
      <w:pPr>
        <w:pStyle w:val="numerodeparagraphe"/>
        <w:numPr>
          <w:ilvl w:val="0"/>
          <w:numId w:val="0"/>
        </w:numPr>
        <w:spacing w:before="0"/>
        <w:ind w:firstLine="454"/>
        <w:rPr>
          <w:rFonts w:ascii="Garamond" w:hAnsi="Garamond"/>
          <w:b/>
          <w:bCs/>
          <w:sz w:val="24"/>
          <w:szCs w:val="24"/>
        </w:rPr>
      </w:pPr>
      <w:r w:rsidRPr="00205909">
        <w:rPr>
          <w:rFonts w:ascii="Garamond" w:hAnsi="Garamond"/>
          <w:sz w:val="24"/>
          <w:szCs w:val="24"/>
        </w:rPr>
        <w:t>Ce qui vaut pour les Etats, donc leurs armées, leur diplomatie, leur justice, etc., et qui fonde le principe même de l’</w:t>
      </w:r>
      <w:r w:rsidR="001370F7" w:rsidRPr="00205909">
        <w:rPr>
          <w:rFonts w:ascii="Garamond" w:hAnsi="Garamond"/>
          <w:sz w:val="24"/>
          <w:szCs w:val="24"/>
        </w:rPr>
        <w:t>E</w:t>
      </w:r>
      <w:r w:rsidRPr="00205909">
        <w:rPr>
          <w:rFonts w:ascii="Garamond" w:hAnsi="Garamond"/>
          <w:sz w:val="24"/>
          <w:szCs w:val="24"/>
        </w:rPr>
        <w:t xml:space="preserve">tat de droit vaut aussi pour leurs citoyens, leurs entreprises, et toute entité respectueuse de ces règles face à des entités, domestiques ou étrangères, qui les nient </w:t>
      </w:r>
      <w:proofErr w:type="gramStart"/>
      <w:r w:rsidRPr="00205909">
        <w:rPr>
          <w:rFonts w:ascii="Garamond" w:hAnsi="Garamond"/>
          <w:sz w:val="24"/>
          <w:szCs w:val="24"/>
        </w:rPr>
        <w:t>ou</w:t>
      </w:r>
      <w:proofErr w:type="gramEnd"/>
      <w:r w:rsidRPr="00205909">
        <w:rPr>
          <w:rFonts w:ascii="Garamond" w:hAnsi="Garamond"/>
          <w:sz w:val="24"/>
          <w:szCs w:val="24"/>
        </w:rPr>
        <w:t xml:space="preserve"> les bafouent. </w:t>
      </w:r>
    </w:p>
    <w:p w14:paraId="4E0BD7DD" w14:textId="2290AC19" w:rsidR="002C6A4F" w:rsidRPr="00205909" w:rsidRDefault="00A70D34" w:rsidP="007F1788">
      <w:pPr>
        <w:widowControl w:val="0"/>
        <w:spacing w:after="0" w:line="240" w:lineRule="auto"/>
        <w:ind w:right="-1" w:firstLine="454"/>
        <w:jc w:val="both"/>
        <w:rPr>
          <w:rFonts w:ascii="Garamond" w:hAnsi="Garamond" w:cs="Times New Roman"/>
          <w:sz w:val="24"/>
          <w:szCs w:val="24"/>
        </w:rPr>
      </w:pPr>
      <w:r w:rsidRPr="00205909">
        <w:rPr>
          <w:rFonts w:ascii="Garamond" w:hAnsi="Garamond" w:cs="Times New Roman"/>
          <w:sz w:val="24"/>
          <w:szCs w:val="24"/>
        </w:rPr>
        <w:t>Le danger est alors terrible : le respect des règles de droit serait la dernière illustration de la naïveté de la poule libre dans un poulailler libre, ouvert aux renards.</w:t>
      </w:r>
      <w:r w:rsidR="00CA4406" w:rsidRPr="00205909">
        <w:rPr>
          <w:rFonts w:ascii="Garamond" w:hAnsi="Garamond" w:cs="Times New Roman"/>
          <w:sz w:val="24"/>
          <w:szCs w:val="24"/>
        </w:rPr>
        <w:t xml:space="preserve"> Lorsque les renards sont partout, trois options sont possibles : les renards prennent le pouvoir ; les poulaillers se referment ; on donne des outils aux poules pour se défendre</w:t>
      </w:r>
      <w:r w:rsidR="00223740">
        <w:rPr>
          <w:rFonts w:ascii="Garamond" w:hAnsi="Garamond" w:cs="Times New Roman"/>
          <w:sz w:val="24"/>
          <w:szCs w:val="24"/>
        </w:rPr>
        <w:t xml:space="preserve"> contre les renards</w:t>
      </w:r>
      <w:r w:rsidR="002969A6" w:rsidRPr="00205909">
        <w:rPr>
          <w:rFonts w:ascii="Garamond" w:hAnsi="Garamond" w:cs="Times New Roman"/>
          <w:sz w:val="24"/>
          <w:szCs w:val="24"/>
        </w:rPr>
        <w:t>. Sauf donc</w:t>
      </w:r>
      <w:r w:rsidR="00083E6D" w:rsidRPr="00205909">
        <w:rPr>
          <w:rFonts w:ascii="Garamond" w:hAnsi="Garamond" w:cs="Times New Roman"/>
          <w:sz w:val="24"/>
          <w:szCs w:val="24"/>
        </w:rPr>
        <w:t xml:space="preserve"> à dévoyer le sens de certaines règles par des</w:t>
      </w:r>
      <w:r w:rsidR="002969A6" w:rsidRPr="00205909">
        <w:rPr>
          <w:rFonts w:ascii="Garamond" w:hAnsi="Garamond" w:cs="Times New Roman"/>
          <w:sz w:val="24"/>
          <w:szCs w:val="24"/>
        </w:rPr>
        <w:t xml:space="preserve"> ennemis,</w:t>
      </w:r>
      <w:r w:rsidR="00083E6D" w:rsidRPr="00205909">
        <w:rPr>
          <w:rFonts w:ascii="Garamond" w:hAnsi="Garamond" w:cs="Times New Roman"/>
          <w:sz w:val="24"/>
          <w:szCs w:val="24"/>
        </w:rPr>
        <w:t xml:space="preserve"> adversaires, opposants</w:t>
      </w:r>
      <w:r w:rsidR="002C6A4F" w:rsidRPr="00205909">
        <w:rPr>
          <w:rFonts w:ascii="Garamond" w:hAnsi="Garamond" w:cs="Times New Roman"/>
          <w:sz w:val="24"/>
          <w:szCs w:val="24"/>
        </w:rPr>
        <w:t xml:space="preserve"> ou</w:t>
      </w:r>
      <w:r w:rsidR="00083E6D" w:rsidRPr="00205909">
        <w:rPr>
          <w:rFonts w:ascii="Garamond" w:hAnsi="Garamond" w:cs="Times New Roman"/>
          <w:sz w:val="24"/>
          <w:szCs w:val="24"/>
        </w:rPr>
        <w:t xml:space="preserve"> activistes</w:t>
      </w:r>
      <w:r w:rsidR="001370F7" w:rsidRPr="00205909">
        <w:rPr>
          <w:rFonts w:ascii="Garamond" w:hAnsi="Garamond" w:cs="Times New Roman"/>
          <w:sz w:val="24"/>
          <w:szCs w:val="24"/>
        </w:rPr>
        <w:t xml:space="preserve"> </w:t>
      </w:r>
      <w:r w:rsidR="00083E6D" w:rsidRPr="00205909">
        <w:rPr>
          <w:rFonts w:ascii="Garamond" w:hAnsi="Garamond" w:cs="Times New Roman"/>
          <w:sz w:val="24"/>
          <w:szCs w:val="24"/>
        </w:rPr>
        <w:t>en utilisant leurs valeurs sous-jacentes ou, plus sommairement, en mentant, par la diffusion de fausses informations</w:t>
      </w:r>
      <w:r w:rsidR="002969A6" w:rsidRPr="00205909">
        <w:rPr>
          <w:rFonts w:ascii="Garamond" w:hAnsi="Garamond" w:cs="Times New Roman"/>
          <w:sz w:val="24"/>
          <w:szCs w:val="24"/>
        </w:rPr>
        <w:t>, les démocraties occidentales font face à des dilemmes considérables, alimentant en retour d’une part l’efficacité des groupes critiques internes et étrangers, et d’autre part des appels à une fermeté toujours plus intense, au risque même de la perte de ces valeurs</w:t>
      </w:r>
      <w:r w:rsidR="00083E6D" w:rsidRPr="00205909">
        <w:rPr>
          <w:rFonts w:ascii="Garamond" w:hAnsi="Garamond" w:cs="Times New Roman"/>
          <w:sz w:val="24"/>
          <w:szCs w:val="24"/>
        </w:rPr>
        <w:t xml:space="preserve">. </w:t>
      </w:r>
    </w:p>
    <w:p w14:paraId="7F4E649C" w14:textId="3885121C" w:rsidR="00083E6D" w:rsidRPr="00205909" w:rsidRDefault="00083E6D" w:rsidP="007F1788">
      <w:pPr>
        <w:widowControl w:val="0"/>
        <w:spacing w:after="0" w:line="240" w:lineRule="auto"/>
        <w:ind w:right="-1" w:firstLine="454"/>
        <w:jc w:val="both"/>
        <w:rPr>
          <w:rFonts w:ascii="Garamond" w:hAnsi="Garamond" w:cs="Times New Roman"/>
          <w:sz w:val="24"/>
          <w:szCs w:val="24"/>
        </w:rPr>
      </w:pPr>
      <w:r w:rsidRPr="00205909">
        <w:rPr>
          <w:rFonts w:ascii="Garamond" w:hAnsi="Garamond" w:cs="Times New Roman"/>
          <w:sz w:val="24"/>
          <w:szCs w:val="24"/>
        </w:rPr>
        <w:t>La concurrence des moyens visant à conquérir les « </w:t>
      </w:r>
      <w:r w:rsidRPr="00205909">
        <w:rPr>
          <w:rFonts w:ascii="Garamond" w:hAnsi="Garamond" w:cs="Times New Roman"/>
          <w:i/>
          <w:iCs/>
          <w:sz w:val="24"/>
          <w:szCs w:val="24"/>
        </w:rPr>
        <w:t>cœurs et les esprits</w:t>
      </w:r>
      <w:r w:rsidRPr="00205909">
        <w:rPr>
          <w:rFonts w:ascii="Garamond" w:hAnsi="Garamond" w:cs="Times New Roman"/>
          <w:sz w:val="24"/>
          <w:szCs w:val="24"/>
        </w:rPr>
        <w:t> »</w:t>
      </w:r>
      <w:r w:rsidR="001370F7" w:rsidRPr="00205909">
        <w:rPr>
          <w:rStyle w:val="Appelnotedebasdep"/>
          <w:rFonts w:ascii="Garamond" w:hAnsi="Garamond" w:cs="Times New Roman"/>
          <w:sz w:val="24"/>
          <w:szCs w:val="24"/>
        </w:rPr>
        <w:footnoteReference w:id="12"/>
      </w:r>
      <w:r w:rsidR="001370F7" w:rsidRPr="00205909">
        <w:rPr>
          <w:rFonts w:ascii="Garamond" w:hAnsi="Garamond" w:cs="Times New Roman"/>
          <w:sz w:val="24"/>
          <w:szCs w:val="24"/>
        </w:rPr>
        <w:t>,</w:t>
      </w:r>
      <w:r w:rsidRPr="00205909">
        <w:rPr>
          <w:rFonts w:ascii="Garamond" w:hAnsi="Garamond" w:cs="Times New Roman"/>
          <w:sz w:val="24"/>
          <w:szCs w:val="24"/>
        </w:rPr>
        <w:t xml:space="preserve"> ou les </w:t>
      </w:r>
      <w:r w:rsidRPr="00205909">
        <w:rPr>
          <w:rFonts w:ascii="Garamond" w:hAnsi="Garamond" w:cs="Times New Roman"/>
          <w:i/>
          <w:iCs/>
          <w:sz w:val="24"/>
          <w:szCs w:val="24"/>
        </w:rPr>
        <w:t>« forces morales</w:t>
      </w:r>
      <w:r w:rsidRPr="00205909">
        <w:rPr>
          <w:rFonts w:ascii="Garamond" w:hAnsi="Garamond" w:cs="Times New Roman"/>
          <w:sz w:val="24"/>
          <w:szCs w:val="24"/>
        </w:rPr>
        <w:t> » chères à Raymond Aron</w:t>
      </w:r>
      <w:r w:rsidR="00AF51B8" w:rsidRPr="00205909">
        <w:rPr>
          <w:rFonts w:ascii="Garamond" w:hAnsi="Garamond" w:cs="Times New Roman"/>
          <w:sz w:val="24"/>
          <w:szCs w:val="24"/>
        </w:rPr>
        <w:t>,</w:t>
      </w:r>
      <w:r w:rsidRPr="00205909">
        <w:rPr>
          <w:rFonts w:ascii="Garamond" w:hAnsi="Garamond" w:cs="Times New Roman"/>
          <w:sz w:val="24"/>
          <w:szCs w:val="24"/>
        </w:rPr>
        <w:t xml:space="preserve"> aboutit à anéantir tout projet politique ou économique, notamment du fait de l’extraordinaire transformation des techniques de diffusion et d’accès à des informations par la technologie et l’effet multiplicateur des réseaux sociaux, dans leur ampleur, la rapidité de la diffusion et la segmentation cognitive qui en résulte</w:t>
      </w:r>
      <w:r w:rsidR="002969A6" w:rsidRPr="00205909">
        <w:rPr>
          <w:rFonts w:ascii="Garamond" w:hAnsi="Garamond" w:cs="Times New Roman"/>
          <w:sz w:val="24"/>
          <w:szCs w:val="24"/>
        </w:rPr>
        <w:t>, face la lenteur des moyens de l’état de droit</w:t>
      </w:r>
      <w:r w:rsidRPr="00205909">
        <w:rPr>
          <w:rFonts w:ascii="Garamond" w:hAnsi="Garamond" w:cs="Times New Roman"/>
          <w:sz w:val="24"/>
          <w:szCs w:val="24"/>
        </w:rPr>
        <w:t xml:space="preserve">. </w:t>
      </w:r>
    </w:p>
    <w:p w14:paraId="0EDAA2DD" w14:textId="77777777" w:rsidR="002876B2" w:rsidRPr="00205909" w:rsidRDefault="002876B2" w:rsidP="002876B2">
      <w:pPr>
        <w:pStyle w:val="numerodeparagraphe"/>
        <w:numPr>
          <w:ilvl w:val="0"/>
          <w:numId w:val="0"/>
        </w:numPr>
        <w:spacing w:before="0"/>
        <w:ind w:left="454"/>
        <w:rPr>
          <w:rStyle w:val="numerodeparagrapheCar"/>
          <w:rFonts w:ascii="Garamond" w:hAnsi="Garamond"/>
          <w:sz w:val="24"/>
          <w:szCs w:val="24"/>
        </w:rPr>
      </w:pPr>
    </w:p>
    <w:p w14:paraId="02DF21C2" w14:textId="79C649EC" w:rsidR="00A70D34" w:rsidRPr="00205909" w:rsidRDefault="00083E6D" w:rsidP="007F1788">
      <w:pPr>
        <w:pStyle w:val="numerodeparagraphe"/>
        <w:spacing w:before="0"/>
        <w:rPr>
          <w:rFonts w:ascii="Garamond" w:hAnsi="Garamond"/>
          <w:sz w:val="24"/>
          <w:szCs w:val="24"/>
        </w:rPr>
      </w:pPr>
      <w:r w:rsidRPr="00205909">
        <w:rPr>
          <w:rStyle w:val="numerodeparagrapheCar"/>
          <w:rFonts w:ascii="Garamond" w:hAnsi="Garamond"/>
          <w:sz w:val="24"/>
          <w:szCs w:val="24"/>
        </w:rPr>
        <w:t>De</w:t>
      </w:r>
      <w:r w:rsidRPr="00205909">
        <w:rPr>
          <w:rFonts w:ascii="Garamond" w:hAnsi="Garamond"/>
          <w:sz w:val="24"/>
          <w:szCs w:val="24"/>
        </w:rPr>
        <w:t xml:space="preserve"> ce point de vue, le </w:t>
      </w:r>
      <w:proofErr w:type="spellStart"/>
      <w:r w:rsidRPr="00205909">
        <w:rPr>
          <w:rFonts w:ascii="Garamond" w:hAnsi="Garamond"/>
          <w:i/>
          <w:iCs/>
          <w:sz w:val="24"/>
          <w:szCs w:val="24"/>
        </w:rPr>
        <w:t>lawfare</w:t>
      </w:r>
      <w:proofErr w:type="spellEnd"/>
      <w:r w:rsidRPr="00205909">
        <w:rPr>
          <w:rFonts w:ascii="Garamond" w:hAnsi="Garamond"/>
          <w:sz w:val="24"/>
          <w:szCs w:val="24"/>
        </w:rPr>
        <w:t xml:space="preserve"> apparaîtrait moins comme une </w:t>
      </w:r>
      <w:r w:rsidRPr="00205909">
        <w:rPr>
          <w:rFonts w:ascii="Garamond" w:hAnsi="Garamond"/>
          <w:i/>
          <w:iCs/>
          <w:sz w:val="24"/>
          <w:szCs w:val="24"/>
        </w:rPr>
        <w:t>guerre d</w:t>
      </w:r>
      <w:r w:rsidR="00A56BC5" w:rsidRPr="00205909">
        <w:rPr>
          <w:rFonts w:ascii="Garamond" w:hAnsi="Garamond"/>
          <w:i/>
          <w:iCs/>
          <w:sz w:val="24"/>
          <w:szCs w:val="24"/>
        </w:rPr>
        <w:t>u droit</w:t>
      </w:r>
      <w:r w:rsidR="002969A6" w:rsidRPr="00205909">
        <w:rPr>
          <w:rFonts w:ascii="Garamond" w:hAnsi="Garamond"/>
          <w:sz w:val="24"/>
          <w:szCs w:val="24"/>
        </w:rPr>
        <w:t xml:space="preserve"> qui aurait toujours existé</w:t>
      </w:r>
      <w:r w:rsidRPr="00205909">
        <w:rPr>
          <w:rFonts w:ascii="Garamond" w:hAnsi="Garamond"/>
          <w:sz w:val="24"/>
          <w:szCs w:val="24"/>
        </w:rPr>
        <w:t xml:space="preserve">, que comme une </w:t>
      </w:r>
      <w:r w:rsidRPr="00205909">
        <w:rPr>
          <w:rFonts w:ascii="Garamond" w:hAnsi="Garamond"/>
          <w:i/>
          <w:iCs/>
          <w:sz w:val="24"/>
          <w:szCs w:val="24"/>
        </w:rPr>
        <w:t xml:space="preserve">guerre </w:t>
      </w:r>
      <w:r w:rsidR="002876B2" w:rsidRPr="00205909">
        <w:rPr>
          <w:rFonts w:ascii="Garamond" w:hAnsi="Garamond"/>
          <w:i/>
          <w:iCs/>
          <w:sz w:val="24"/>
          <w:szCs w:val="24"/>
        </w:rPr>
        <w:t xml:space="preserve">des normes </w:t>
      </w:r>
      <w:r w:rsidR="002876B2" w:rsidRPr="00205909">
        <w:rPr>
          <w:rFonts w:ascii="Garamond" w:hAnsi="Garamond"/>
          <w:sz w:val="24"/>
          <w:szCs w:val="24"/>
        </w:rPr>
        <w:t>ou</w:t>
      </w:r>
      <w:r w:rsidR="00A56BC5" w:rsidRPr="00205909">
        <w:rPr>
          <w:rFonts w:ascii="Garamond" w:hAnsi="Garamond"/>
          <w:sz w:val="24"/>
          <w:szCs w:val="24"/>
        </w:rPr>
        <w:t>, peut-être plus exactement,</w:t>
      </w:r>
      <w:r w:rsidR="002876B2" w:rsidRPr="00205909">
        <w:rPr>
          <w:rFonts w:ascii="Garamond" w:hAnsi="Garamond"/>
          <w:sz w:val="24"/>
          <w:szCs w:val="24"/>
        </w:rPr>
        <w:t xml:space="preserve"> </w:t>
      </w:r>
      <w:r w:rsidR="00A56BC5" w:rsidRPr="00205909">
        <w:rPr>
          <w:rFonts w:ascii="Garamond" w:hAnsi="Garamond"/>
          <w:i/>
          <w:iCs/>
          <w:sz w:val="24"/>
          <w:szCs w:val="24"/>
        </w:rPr>
        <w:t xml:space="preserve">une guerre </w:t>
      </w:r>
      <w:r w:rsidRPr="00205909">
        <w:rPr>
          <w:rFonts w:ascii="Garamond" w:hAnsi="Garamond"/>
          <w:i/>
          <w:iCs/>
          <w:sz w:val="24"/>
          <w:szCs w:val="24"/>
        </w:rPr>
        <w:t>du sens des normes</w:t>
      </w:r>
      <w:r w:rsidRPr="00205909">
        <w:rPr>
          <w:rStyle w:val="Appelnotedebasdep"/>
          <w:rFonts w:ascii="Garamond" w:hAnsi="Garamond"/>
          <w:sz w:val="24"/>
          <w:szCs w:val="24"/>
        </w:rPr>
        <w:footnoteReference w:id="13"/>
      </w:r>
      <w:r w:rsidRPr="00205909">
        <w:rPr>
          <w:rFonts w:ascii="Garamond" w:hAnsi="Garamond"/>
          <w:sz w:val="24"/>
          <w:szCs w:val="24"/>
        </w:rPr>
        <w:t>.</w:t>
      </w:r>
      <w:r w:rsidR="002C6A4F" w:rsidRPr="00205909">
        <w:rPr>
          <w:rFonts w:ascii="Garamond" w:hAnsi="Garamond"/>
          <w:sz w:val="24"/>
          <w:szCs w:val="24"/>
        </w:rPr>
        <w:t xml:space="preserve"> </w:t>
      </w:r>
      <w:r w:rsidR="00A70D34" w:rsidRPr="00205909">
        <w:rPr>
          <w:rFonts w:ascii="Garamond" w:hAnsi="Garamond"/>
          <w:sz w:val="24"/>
          <w:szCs w:val="24"/>
        </w:rPr>
        <w:t xml:space="preserve">C’est la raison pour laquelle la prise en compte du « concept » de </w:t>
      </w:r>
      <w:proofErr w:type="spellStart"/>
      <w:r w:rsidR="00A70D34" w:rsidRPr="00205909">
        <w:rPr>
          <w:rFonts w:ascii="Garamond" w:hAnsi="Garamond"/>
          <w:i/>
          <w:iCs/>
          <w:sz w:val="24"/>
          <w:szCs w:val="24"/>
        </w:rPr>
        <w:t>lawfare</w:t>
      </w:r>
      <w:proofErr w:type="spellEnd"/>
      <w:r w:rsidR="00A70D34" w:rsidRPr="00205909">
        <w:rPr>
          <w:rFonts w:ascii="Garamond" w:hAnsi="Garamond"/>
          <w:i/>
          <w:iCs/>
          <w:sz w:val="24"/>
          <w:szCs w:val="24"/>
        </w:rPr>
        <w:t xml:space="preserve"> </w:t>
      </w:r>
      <w:r w:rsidR="00A70D34" w:rsidRPr="00205909">
        <w:rPr>
          <w:rFonts w:ascii="Garamond" w:hAnsi="Garamond"/>
          <w:sz w:val="24"/>
          <w:szCs w:val="24"/>
        </w:rPr>
        <w:t xml:space="preserve">est une question très sérieuse, urgente même, pour les </w:t>
      </w:r>
      <w:r w:rsidR="00A56BC5" w:rsidRPr="00205909">
        <w:rPr>
          <w:rFonts w:ascii="Garamond" w:hAnsi="Garamond"/>
          <w:sz w:val="24"/>
          <w:szCs w:val="24"/>
        </w:rPr>
        <w:t xml:space="preserve">démocraties libérales, les </w:t>
      </w:r>
      <w:r w:rsidR="00A70D34" w:rsidRPr="00205909">
        <w:rPr>
          <w:rFonts w:ascii="Garamond" w:hAnsi="Garamond"/>
          <w:sz w:val="24"/>
          <w:szCs w:val="24"/>
        </w:rPr>
        <w:t>Etats, leurs ressortissants, leurs entreprises</w:t>
      </w:r>
      <w:r w:rsidR="00E57C44" w:rsidRPr="00205909">
        <w:rPr>
          <w:rFonts w:ascii="Garamond" w:hAnsi="Garamond"/>
          <w:sz w:val="24"/>
          <w:szCs w:val="24"/>
        </w:rPr>
        <w:t>, et qu’un certain nombre de sens concrets peuvent être plus spécifiquement saisis</w:t>
      </w:r>
      <w:r w:rsidR="00A70D34" w:rsidRPr="00205909">
        <w:rPr>
          <w:rFonts w:ascii="Garamond" w:hAnsi="Garamond"/>
          <w:sz w:val="24"/>
          <w:szCs w:val="24"/>
        </w:rPr>
        <w:t>.</w:t>
      </w:r>
    </w:p>
    <w:p w14:paraId="0B7AB577" w14:textId="77777777" w:rsidR="00F81EE2" w:rsidRPr="00205909" w:rsidRDefault="00E57C44" w:rsidP="007F1788">
      <w:pPr>
        <w:widowControl w:val="0"/>
        <w:spacing w:after="0" w:line="240" w:lineRule="auto"/>
        <w:ind w:right="-1" w:firstLine="454"/>
        <w:jc w:val="both"/>
        <w:rPr>
          <w:rFonts w:ascii="Garamond" w:hAnsi="Garamond" w:cs="Times New Roman"/>
          <w:sz w:val="24"/>
          <w:szCs w:val="24"/>
        </w:rPr>
      </w:pPr>
      <w:r w:rsidRPr="00205909">
        <w:rPr>
          <w:rFonts w:ascii="Garamond" w:hAnsi="Garamond" w:cs="Times New Roman"/>
          <w:sz w:val="24"/>
          <w:szCs w:val="24"/>
        </w:rPr>
        <w:t>Tous supposent cependant l’abandon d’une certaine forme d’angélisme, assez français, voire continental, consistant en la croyance en la force du droit par lui-même, en la signification de la norme juridique en tant que telle ou en tant qu’elle dispose</w:t>
      </w:r>
      <w:r w:rsidR="002C6A4F" w:rsidRPr="00205909">
        <w:rPr>
          <w:rFonts w:ascii="Garamond" w:hAnsi="Garamond" w:cs="Times New Roman"/>
          <w:sz w:val="24"/>
          <w:szCs w:val="24"/>
        </w:rPr>
        <w:t>rait</w:t>
      </w:r>
      <w:r w:rsidRPr="00205909">
        <w:rPr>
          <w:rFonts w:ascii="Garamond" w:hAnsi="Garamond" w:cs="Times New Roman"/>
          <w:sz w:val="24"/>
          <w:szCs w:val="24"/>
        </w:rPr>
        <w:t xml:space="preserve"> d’un sens identifiable, </w:t>
      </w:r>
      <w:r w:rsidR="002C6A4F" w:rsidRPr="00205909">
        <w:rPr>
          <w:rFonts w:ascii="Garamond" w:hAnsi="Garamond" w:cs="Times New Roman"/>
          <w:sz w:val="24"/>
          <w:szCs w:val="24"/>
        </w:rPr>
        <w:t xml:space="preserve">garanti </w:t>
      </w:r>
      <w:r w:rsidRPr="00205909">
        <w:rPr>
          <w:rFonts w:ascii="Garamond" w:hAnsi="Garamond" w:cs="Times New Roman"/>
          <w:sz w:val="24"/>
          <w:szCs w:val="24"/>
        </w:rPr>
        <w:t>voire consubstantiel à la norme elle-même</w:t>
      </w:r>
      <w:r w:rsidR="00F81EE2" w:rsidRPr="00205909">
        <w:rPr>
          <w:rFonts w:ascii="Garamond" w:hAnsi="Garamond" w:cs="Times New Roman"/>
          <w:sz w:val="24"/>
          <w:szCs w:val="24"/>
        </w:rPr>
        <w:t xml:space="preserve"> et qu’elle serait en cela, légitime</w:t>
      </w:r>
      <w:r w:rsidRPr="00205909">
        <w:rPr>
          <w:rFonts w:ascii="Garamond" w:hAnsi="Garamond" w:cs="Times New Roman"/>
          <w:sz w:val="24"/>
          <w:szCs w:val="24"/>
        </w:rPr>
        <w:t> : un contrat devrait être exécuté, une sanction devrait survenir dans telle circonstance</w:t>
      </w:r>
      <w:r w:rsidR="00404BB8" w:rsidRPr="00205909">
        <w:rPr>
          <w:rFonts w:ascii="Garamond" w:hAnsi="Garamond" w:cs="Times New Roman"/>
          <w:sz w:val="24"/>
          <w:szCs w:val="24"/>
        </w:rPr>
        <w:t xml:space="preserve">, telle opération militaire est légitime </w:t>
      </w:r>
      <w:r w:rsidRPr="00205909">
        <w:rPr>
          <w:rFonts w:ascii="Garamond" w:hAnsi="Garamond" w:cs="Times New Roman"/>
          <w:sz w:val="24"/>
          <w:szCs w:val="24"/>
        </w:rPr>
        <w:t>parce qu</w:t>
      </w:r>
      <w:r w:rsidR="002C6A4F" w:rsidRPr="00205909">
        <w:rPr>
          <w:rFonts w:ascii="Garamond" w:hAnsi="Garamond" w:cs="Times New Roman"/>
          <w:sz w:val="24"/>
          <w:szCs w:val="24"/>
        </w:rPr>
        <w:t>’elle correspond exactement à telle règle posée</w:t>
      </w:r>
      <w:r w:rsidRPr="00205909">
        <w:rPr>
          <w:rFonts w:ascii="Garamond" w:hAnsi="Garamond" w:cs="Times New Roman"/>
          <w:sz w:val="24"/>
          <w:szCs w:val="24"/>
        </w:rPr>
        <w:t xml:space="preserve">. </w:t>
      </w:r>
    </w:p>
    <w:p w14:paraId="601A7256" w14:textId="4BE8B0D2" w:rsidR="00E57C44" w:rsidRPr="00205909" w:rsidRDefault="00F81EE2" w:rsidP="007F1788">
      <w:pPr>
        <w:widowControl w:val="0"/>
        <w:spacing w:after="0" w:line="240" w:lineRule="auto"/>
        <w:ind w:right="-1" w:firstLine="454"/>
        <w:jc w:val="both"/>
        <w:rPr>
          <w:rFonts w:ascii="Garamond" w:hAnsi="Garamond" w:cs="Times New Roman"/>
          <w:sz w:val="24"/>
          <w:szCs w:val="24"/>
        </w:rPr>
      </w:pPr>
      <w:r w:rsidRPr="00205909">
        <w:rPr>
          <w:rFonts w:ascii="Garamond" w:hAnsi="Garamond" w:cs="Times New Roman"/>
          <w:sz w:val="24"/>
          <w:szCs w:val="24"/>
        </w:rPr>
        <w:t>U</w:t>
      </w:r>
      <w:r w:rsidR="00E57C44" w:rsidRPr="00205909">
        <w:rPr>
          <w:rFonts w:ascii="Garamond" w:hAnsi="Garamond" w:cs="Times New Roman"/>
          <w:sz w:val="24"/>
          <w:szCs w:val="24"/>
        </w:rPr>
        <w:t>ne conception plus réaliste</w:t>
      </w:r>
      <w:r w:rsidR="002C6A4F" w:rsidRPr="00205909">
        <w:rPr>
          <w:rFonts w:ascii="Garamond" w:hAnsi="Garamond" w:cs="Times New Roman"/>
          <w:sz w:val="24"/>
          <w:szCs w:val="24"/>
        </w:rPr>
        <w:t>,</w:t>
      </w:r>
      <w:r w:rsidR="00E57C44" w:rsidRPr="00205909">
        <w:rPr>
          <w:rFonts w:ascii="Garamond" w:hAnsi="Garamond" w:cs="Times New Roman"/>
          <w:sz w:val="24"/>
          <w:szCs w:val="24"/>
        </w:rPr>
        <w:t xml:space="preserve"> ou plus tragique, dite ici très rapidement, de la norme juridique, ne lui confère de sens qu’en fonction des interprétations possibles, et parfois infinies, de telle norme, des jeux de normes, leur vide, leurs limites, leurs contradictions,</w:t>
      </w:r>
      <w:r w:rsidR="00631095" w:rsidRPr="00205909">
        <w:rPr>
          <w:rFonts w:ascii="Garamond" w:hAnsi="Garamond" w:cs="Times New Roman"/>
          <w:sz w:val="24"/>
          <w:szCs w:val="24"/>
        </w:rPr>
        <w:t xml:space="preserve"> les « optimisations » diverses possibles,</w:t>
      </w:r>
      <w:r w:rsidR="00E57C44" w:rsidRPr="00205909">
        <w:rPr>
          <w:rFonts w:ascii="Garamond" w:hAnsi="Garamond" w:cs="Times New Roman"/>
          <w:sz w:val="24"/>
          <w:szCs w:val="24"/>
        </w:rPr>
        <w:t xml:space="preserve"> etc., au gré d’intérêts variés, pas tous légitimes </w:t>
      </w:r>
      <w:r w:rsidR="00404BB8" w:rsidRPr="00205909">
        <w:rPr>
          <w:rFonts w:ascii="Garamond" w:hAnsi="Garamond" w:cs="Times New Roman"/>
          <w:sz w:val="24"/>
          <w:szCs w:val="24"/>
        </w:rPr>
        <w:t>d’ailleurs</w:t>
      </w:r>
      <w:r w:rsidR="00E57C44" w:rsidRPr="00205909">
        <w:rPr>
          <w:rFonts w:ascii="Garamond" w:hAnsi="Garamond" w:cs="Times New Roman"/>
          <w:sz w:val="24"/>
          <w:szCs w:val="24"/>
        </w:rPr>
        <w:t>, et d’une mesure, très américaine, de l’</w:t>
      </w:r>
      <w:r w:rsidR="00E57C44" w:rsidRPr="00205909">
        <w:rPr>
          <w:rFonts w:ascii="Garamond" w:hAnsi="Garamond" w:cs="Times New Roman"/>
          <w:i/>
          <w:iCs/>
          <w:sz w:val="24"/>
          <w:szCs w:val="24"/>
        </w:rPr>
        <w:t xml:space="preserve">effectivité </w:t>
      </w:r>
      <w:r w:rsidR="00E57C44" w:rsidRPr="00205909">
        <w:rPr>
          <w:rFonts w:ascii="Garamond" w:hAnsi="Garamond" w:cs="Times New Roman"/>
          <w:sz w:val="24"/>
          <w:szCs w:val="24"/>
        </w:rPr>
        <w:t>des normes juridiques</w:t>
      </w:r>
      <w:r w:rsidR="00631095" w:rsidRPr="00205909">
        <w:rPr>
          <w:rFonts w:ascii="Garamond" w:hAnsi="Garamond" w:cs="Times New Roman"/>
          <w:sz w:val="24"/>
          <w:szCs w:val="24"/>
        </w:rPr>
        <w:t xml:space="preserve"> et ce, non point d’une manière globale, mais dans tel système juridique, le nôtre par exemple</w:t>
      </w:r>
      <w:r w:rsidR="00404BB8" w:rsidRPr="00205909">
        <w:rPr>
          <w:rFonts w:ascii="Garamond" w:hAnsi="Garamond" w:cs="Times New Roman"/>
          <w:sz w:val="24"/>
          <w:szCs w:val="24"/>
        </w:rPr>
        <w:t>, telle</w:t>
      </w:r>
      <w:r w:rsidR="002C6A4F" w:rsidRPr="00205909">
        <w:rPr>
          <w:rFonts w:ascii="Garamond" w:hAnsi="Garamond" w:cs="Times New Roman"/>
          <w:sz w:val="24"/>
          <w:szCs w:val="24"/>
        </w:rPr>
        <w:t>s</w:t>
      </w:r>
      <w:r w:rsidR="00404BB8" w:rsidRPr="00205909">
        <w:rPr>
          <w:rFonts w:ascii="Garamond" w:hAnsi="Garamond" w:cs="Times New Roman"/>
          <w:sz w:val="24"/>
          <w:szCs w:val="24"/>
        </w:rPr>
        <w:t xml:space="preserve"> circonstances, tel moment</w:t>
      </w:r>
      <w:r w:rsidR="00E57C44" w:rsidRPr="00205909">
        <w:rPr>
          <w:rFonts w:ascii="Garamond" w:hAnsi="Garamond" w:cs="Times New Roman"/>
          <w:sz w:val="24"/>
          <w:szCs w:val="24"/>
        </w:rPr>
        <w:t>.</w:t>
      </w:r>
      <w:r w:rsidRPr="00205909">
        <w:rPr>
          <w:rFonts w:ascii="Garamond" w:hAnsi="Garamond" w:cs="Times New Roman"/>
          <w:sz w:val="24"/>
          <w:szCs w:val="24"/>
        </w:rPr>
        <w:t xml:space="preserve"> </w:t>
      </w:r>
    </w:p>
    <w:p w14:paraId="35337882" w14:textId="77777777" w:rsidR="00D13758" w:rsidRPr="00205909" w:rsidRDefault="00D13758" w:rsidP="007F1788">
      <w:pPr>
        <w:widowControl w:val="0"/>
        <w:spacing w:after="0" w:line="240" w:lineRule="auto"/>
        <w:ind w:right="-1" w:firstLine="454"/>
        <w:jc w:val="both"/>
        <w:rPr>
          <w:rFonts w:ascii="Garamond" w:hAnsi="Garamond" w:cs="Times New Roman"/>
          <w:sz w:val="24"/>
          <w:szCs w:val="24"/>
        </w:rPr>
      </w:pPr>
    </w:p>
    <w:p w14:paraId="4C8DD964" w14:textId="5C3158DD" w:rsidR="00D13758" w:rsidRPr="00205909" w:rsidRDefault="00F81EE2" w:rsidP="00D13758">
      <w:pPr>
        <w:pStyle w:val="numerodeparagraphe"/>
        <w:spacing w:before="0"/>
        <w:rPr>
          <w:rFonts w:ascii="Garamond" w:hAnsi="Garamond"/>
          <w:sz w:val="24"/>
          <w:szCs w:val="24"/>
        </w:rPr>
      </w:pPr>
      <w:r w:rsidRPr="00205909">
        <w:rPr>
          <w:rFonts w:ascii="Garamond" w:hAnsi="Garamond"/>
          <w:sz w:val="24"/>
          <w:szCs w:val="24"/>
        </w:rPr>
        <w:t xml:space="preserve">Or précisément, il existe </w:t>
      </w:r>
      <w:r w:rsidR="00223740">
        <w:rPr>
          <w:rFonts w:ascii="Garamond" w:hAnsi="Garamond"/>
          <w:sz w:val="24"/>
          <w:szCs w:val="24"/>
        </w:rPr>
        <w:t xml:space="preserve">de ce point de vue </w:t>
      </w:r>
      <w:r w:rsidRPr="00205909">
        <w:rPr>
          <w:rFonts w:ascii="Garamond" w:hAnsi="Garamond"/>
          <w:sz w:val="24"/>
          <w:szCs w:val="24"/>
        </w:rPr>
        <w:t>une différence abyssale entre les règles du droit des conflits armés, et du droit international public de manière plus générale</w:t>
      </w:r>
      <w:r w:rsidR="00D13758" w:rsidRPr="00205909">
        <w:rPr>
          <w:rFonts w:ascii="Garamond" w:hAnsi="Garamond"/>
          <w:sz w:val="24"/>
          <w:szCs w:val="24"/>
        </w:rPr>
        <w:t>,</w:t>
      </w:r>
      <w:r w:rsidRPr="00205909">
        <w:rPr>
          <w:rFonts w:ascii="Garamond" w:hAnsi="Garamond"/>
          <w:sz w:val="24"/>
          <w:szCs w:val="24"/>
        </w:rPr>
        <w:t xml:space="preserve"> et les règles du droit international privé, dont le droit du commerce international ou des investissements étrangers. Elle tient au fait </w:t>
      </w:r>
      <w:r w:rsidR="00D13758" w:rsidRPr="00205909">
        <w:rPr>
          <w:rFonts w:ascii="Garamond" w:hAnsi="Garamond"/>
          <w:sz w:val="24"/>
          <w:szCs w:val="24"/>
        </w:rPr>
        <w:t>que l</w:t>
      </w:r>
      <w:r w:rsidRPr="00205909">
        <w:rPr>
          <w:rFonts w:ascii="Garamond" w:hAnsi="Garamond"/>
          <w:sz w:val="24"/>
          <w:szCs w:val="24"/>
        </w:rPr>
        <w:t xml:space="preserve">es conflits d’interprétation des premières ne trouvent que très peu de juridictions pour s’exprimer, la Cour Internationale de Justice, la Cour Pénale Internationale, les arbitrages de la Cour Permanente d’Arbitrage, voire de juridictions </w:t>
      </w:r>
      <w:r w:rsidRPr="00205909">
        <w:rPr>
          <w:rFonts w:ascii="Garamond" w:hAnsi="Garamond"/>
          <w:i/>
          <w:iCs/>
          <w:sz w:val="24"/>
          <w:szCs w:val="24"/>
        </w:rPr>
        <w:t>ad hoc</w:t>
      </w:r>
      <w:r w:rsidRPr="00205909">
        <w:rPr>
          <w:rFonts w:ascii="Garamond" w:hAnsi="Garamond"/>
          <w:sz w:val="24"/>
          <w:szCs w:val="24"/>
        </w:rPr>
        <w:t xml:space="preserve">, à la grande différence des secondes. </w:t>
      </w:r>
      <w:r w:rsidR="00223740">
        <w:rPr>
          <w:rFonts w:ascii="Garamond" w:hAnsi="Garamond"/>
          <w:sz w:val="24"/>
          <w:szCs w:val="24"/>
        </w:rPr>
        <w:t xml:space="preserve">Toutes les interprétations sont donc possibles, faute d’une interprétation définitive conférée par une cour souveraine. </w:t>
      </w:r>
      <w:r w:rsidRPr="00205909">
        <w:rPr>
          <w:rFonts w:ascii="Garamond" w:hAnsi="Garamond"/>
          <w:sz w:val="24"/>
          <w:szCs w:val="24"/>
        </w:rPr>
        <w:t xml:space="preserve">En matière de </w:t>
      </w:r>
      <w:r w:rsidR="00D13758" w:rsidRPr="00205909">
        <w:rPr>
          <w:rFonts w:ascii="Garamond" w:hAnsi="Garamond"/>
          <w:sz w:val="24"/>
          <w:szCs w:val="24"/>
        </w:rPr>
        <w:t>d</w:t>
      </w:r>
      <w:r w:rsidRPr="00205909">
        <w:rPr>
          <w:rFonts w:ascii="Garamond" w:hAnsi="Garamond"/>
          <w:sz w:val="24"/>
          <w:szCs w:val="24"/>
        </w:rPr>
        <w:t>roit international public, le principe même de la souveraineté des Etats, et donc de leur compétence normativ</w:t>
      </w:r>
      <w:r w:rsidR="00D13758" w:rsidRPr="00205909">
        <w:rPr>
          <w:rFonts w:ascii="Garamond" w:hAnsi="Garamond"/>
          <w:sz w:val="24"/>
          <w:szCs w:val="24"/>
        </w:rPr>
        <w:t>e</w:t>
      </w:r>
      <w:r w:rsidRPr="00205909">
        <w:rPr>
          <w:rFonts w:ascii="Garamond" w:hAnsi="Garamond"/>
          <w:sz w:val="24"/>
          <w:szCs w:val="24"/>
        </w:rPr>
        <w:t xml:space="preserve"> et judiciaire, fait que, à part de rares cas de litiges réglés par voie juridictionnelle</w:t>
      </w:r>
      <w:r w:rsidR="005354C1" w:rsidRPr="00205909">
        <w:rPr>
          <w:rFonts w:ascii="Garamond" w:hAnsi="Garamond"/>
          <w:sz w:val="24"/>
          <w:szCs w:val="24"/>
        </w:rPr>
        <w:t xml:space="preserve"> </w:t>
      </w:r>
      <w:r w:rsidR="005354C1" w:rsidRPr="00205909">
        <w:rPr>
          <w:rFonts w:ascii="Garamond" w:hAnsi="Garamond"/>
          <w:i/>
          <w:iCs/>
          <w:sz w:val="24"/>
          <w:szCs w:val="24"/>
        </w:rPr>
        <w:t xml:space="preserve">et </w:t>
      </w:r>
      <w:r w:rsidR="005354C1" w:rsidRPr="00205909">
        <w:rPr>
          <w:rFonts w:ascii="Garamond" w:hAnsi="Garamond"/>
          <w:sz w:val="24"/>
          <w:szCs w:val="24"/>
        </w:rPr>
        <w:t>dont les solutions seraient acceptées par les Etats</w:t>
      </w:r>
      <w:r w:rsidR="00D13758" w:rsidRPr="00205909">
        <w:rPr>
          <w:rFonts w:ascii="Garamond" w:hAnsi="Garamond"/>
          <w:sz w:val="24"/>
          <w:szCs w:val="24"/>
        </w:rPr>
        <w:t xml:space="preserve"> concernés</w:t>
      </w:r>
      <w:r w:rsidRPr="00205909">
        <w:rPr>
          <w:rFonts w:ascii="Garamond" w:hAnsi="Garamond"/>
          <w:sz w:val="24"/>
          <w:szCs w:val="24"/>
        </w:rPr>
        <w:t xml:space="preserve">, leur solution </w:t>
      </w:r>
      <w:r w:rsidR="005354C1" w:rsidRPr="00205909">
        <w:rPr>
          <w:rFonts w:ascii="Garamond" w:hAnsi="Garamond"/>
          <w:sz w:val="24"/>
          <w:szCs w:val="24"/>
        </w:rPr>
        <w:t xml:space="preserve">repose sur des solutions binaires : des </w:t>
      </w:r>
      <w:r w:rsidRPr="00205909">
        <w:rPr>
          <w:rFonts w:ascii="Garamond" w:hAnsi="Garamond"/>
          <w:sz w:val="24"/>
          <w:szCs w:val="24"/>
        </w:rPr>
        <w:t>voies diplomatiques</w:t>
      </w:r>
      <w:r w:rsidR="005354C1" w:rsidRPr="00205909">
        <w:rPr>
          <w:rFonts w:ascii="Garamond" w:hAnsi="Garamond"/>
          <w:sz w:val="24"/>
          <w:szCs w:val="24"/>
        </w:rPr>
        <w:t xml:space="preserve"> au succès improbable</w:t>
      </w:r>
      <w:r w:rsidRPr="00205909">
        <w:rPr>
          <w:rFonts w:ascii="Garamond" w:hAnsi="Garamond"/>
          <w:sz w:val="24"/>
          <w:szCs w:val="24"/>
        </w:rPr>
        <w:t xml:space="preserve"> ou </w:t>
      </w:r>
      <w:r w:rsidR="005354C1" w:rsidRPr="00205909">
        <w:rPr>
          <w:rFonts w:ascii="Garamond" w:hAnsi="Garamond"/>
          <w:sz w:val="24"/>
          <w:szCs w:val="24"/>
        </w:rPr>
        <w:t xml:space="preserve">l’utilisation de la force </w:t>
      </w:r>
      <w:r w:rsidRPr="00205909">
        <w:rPr>
          <w:rFonts w:ascii="Garamond" w:hAnsi="Garamond"/>
          <w:sz w:val="24"/>
          <w:szCs w:val="24"/>
        </w:rPr>
        <w:t xml:space="preserve">armée. </w:t>
      </w:r>
    </w:p>
    <w:p w14:paraId="46F612D5" w14:textId="6BA42195" w:rsidR="00F81EE2" w:rsidRPr="00205909" w:rsidRDefault="00D13758" w:rsidP="00D13758">
      <w:pPr>
        <w:pStyle w:val="numerodeparagraphe"/>
        <w:numPr>
          <w:ilvl w:val="0"/>
          <w:numId w:val="0"/>
        </w:numPr>
        <w:spacing w:before="0"/>
        <w:ind w:firstLine="454"/>
        <w:rPr>
          <w:rFonts w:ascii="Garamond" w:hAnsi="Garamond"/>
          <w:sz w:val="24"/>
          <w:szCs w:val="24"/>
        </w:rPr>
      </w:pPr>
      <w:r w:rsidRPr="00205909">
        <w:rPr>
          <w:rFonts w:ascii="Garamond" w:hAnsi="Garamond"/>
          <w:sz w:val="24"/>
          <w:szCs w:val="24"/>
        </w:rPr>
        <w:t>A l’inverse, l</w:t>
      </w:r>
      <w:r w:rsidR="005354C1" w:rsidRPr="00205909">
        <w:rPr>
          <w:rFonts w:ascii="Garamond" w:hAnsi="Garamond"/>
          <w:sz w:val="24"/>
          <w:szCs w:val="24"/>
        </w:rPr>
        <w:t>es litiges privés internationaux, à l’inverse, et l’étendue des règles, internationales, régionales, internes, permettent presque toujours une solution juridictionnelle, judiciaire ou arbitrale</w:t>
      </w:r>
      <w:r w:rsidR="00397A14">
        <w:rPr>
          <w:rFonts w:ascii="Garamond" w:hAnsi="Garamond"/>
          <w:sz w:val="24"/>
          <w:szCs w:val="24"/>
        </w:rPr>
        <w:t>, de sorte que la question de l’interprétation de ces règles, systématique dans un litige, et globalement variable dans le temps et l’espace est cependant partagée et prévisible ce qui assure une forme de sécurité juridique et de confiance dans les règles et les méthode de traitement des litiges</w:t>
      </w:r>
      <w:r w:rsidR="005354C1" w:rsidRPr="00205909">
        <w:rPr>
          <w:rFonts w:ascii="Garamond" w:hAnsi="Garamond"/>
          <w:sz w:val="24"/>
          <w:szCs w:val="24"/>
        </w:rPr>
        <w:t>.</w:t>
      </w:r>
    </w:p>
    <w:p w14:paraId="38F88AEF" w14:textId="77777777" w:rsidR="002876B2" w:rsidRPr="00205909" w:rsidRDefault="002876B2" w:rsidP="002876B2">
      <w:pPr>
        <w:pStyle w:val="numerodeparagraphe"/>
        <w:numPr>
          <w:ilvl w:val="0"/>
          <w:numId w:val="0"/>
        </w:numPr>
        <w:spacing w:before="0"/>
        <w:ind w:left="454"/>
        <w:rPr>
          <w:rFonts w:ascii="Garamond" w:hAnsi="Garamond"/>
          <w:b/>
          <w:bCs/>
          <w:sz w:val="24"/>
          <w:szCs w:val="24"/>
        </w:rPr>
      </w:pPr>
    </w:p>
    <w:p w14:paraId="3550059D" w14:textId="74A6AAEF" w:rsidR="007D664D" w:rsidRPr="00205909" w:rsidRDefault="00A25C54" w:rsidP="007F1788">
      <w:pPr>
        <w:pStyle w:val="numerodeparagraphe"/>
        <w:spacing w:before="0"/>
        <w:rPr>
          <w:rFonts w:ascii="Garamond" w:hAnsi="Garamond"/>
          <w:b/>
          <w:bCs/>
          <w:sz w:val="24"/>
          <w:szCs w:val="24"/>
        </w:rPr>
      </w:pPr>
      <w:r w:rsidRPr="00205909">
        <w:rPr>
          <w:rFonts w:ascii="Garamond" w:hAnsi="Garamond"/>
          <w:sz w:val="24"/>
          <w:szCs w:val="24"/>
        </w:rPr>
        <w:t xml:space="preserve">Le </w:t>
      </w:r>
      <w:proofErr w:type="spellStart"/>
      <w:r w:rsidRPr="00205909">
        <w:rPr>
          <w:rFonts w:ascii="Garamond" w:hAnsi="Garamond"/>
          <w:i/>
          <w:iCs/>
          <w:sz w:val="24"/>
          <w:szCs w:val="24"/>
        </w:rPr>
        <w:t>lawfare</w:t>
      </w:r>
      <w:proofErr w:type="spellEnd"/>
      <w:r w:rsidRPr="00205909">
        <w:rPr>
          <w:rFonts w:ascii="Garamond" w:hAnsi="Garamond"/>
          <w:i/>
          <w:iCs/>
          <w:sz w:val="24"/>
          <w:szCs w:val="24"/>
        </w:rPr>
        <w:t xml:space="preserve"> </w:t>
      </w:r>
      <w:r w:rsidR="00E57C44" w:rsidRPr="00205909">
        <w:rPr>
          <w:rFonts w:ascii="Garamond" w:hAnsi="Garamond"/>
          <w:sz w:val="24"/>
          <w:szCs w:val="24"/>
        </w:rPr>
        <w:t xml:space="preserve">peut </w:t>
      </w:r>
      <w:r w:rsidR="00116D41" w:rsidRPr="00205909">
        <w:rPr>
          <w:rFonts w:ascii="Garamond" w:hAnsi="Garamond"/>
          <w:sz w:val="24"/>
          <w:szCs w:val="24"/>
        </w:rPr>
        <w:t>renvo</w:t>
      </w:r>
      <w:r w:rsidR="00E57C44" w:rsidRPr="00205909">
        <w:rPr>
          <w:rFonts w:ascii="Garamond" w:hAnsi="Garamond"/>
          <w:sz w:val="24"/>
          <w:szCs w:val="24"/>
        </w:rPr>
        <w:t>yer</w:t>
      </w:r>
      <w:r w:rsidR="00116D41" w:rsidRPr="00205909">
        <w:rPr>
          <w:rFonts w:ascii="Garamond" w:hAnsi="Garamond"/>
          <w:sz w:val="24"/>
          <w:szCs w:val="24"/>
        </w:rPr>
        <w:t xml:space="preserve"> </w:t>
      </w:r>
      <w:r w:rsidRPr="00205909">
        <w:rPr>
          <w:rFonts w:ascii="Garamond" w:hAnsi="Garamond"/>
          <w:sz w:val="24"/>
          <w:szCs w:val="24"/>
        </w:rPr>
        <w:t>ainsi</w:t>
      </w:r>
      <w:r w:rsidR="00116D41" w:rsidRPr="00205909">
        <w:rPr>
          <w:rFonts w:ascii="Garamond" w:hAnsi="Garamond"/>
          <w:sz w:val="24"/>
          <w:szCs w:val="24"/>
        </w:rPr>
        <w:t xml:space="preserve">, en un premier sens, à l’utilisation des règles de droit à des fins visant à obtenir un effet similaire ou voisin </w:t>
      </w:r>
      <w:r w:rsidR="00E57C44" w:rsidRPr="00205909">
        <w:rPr>
          <w:rFonts w:ascii="Garamond" w:hAnsi="Garamond"/>
          <w:sz w:val="24"/>
          <w:szCs w:val="24"/>
        </w:rPr>
        <w:t>de</w:t>
      </w:r>
      <w:r w:rsidR="00116D41" w:rsidRPr="00205909">
        <w:rPr>
          <w:rFonts w:ascii="Garamond" w:hAnsi="Garamond"/>
          <w:sz w:val="24"/>
          <w:szCs w:val="24"/>
        </w:rPr>
        <w:t xml:space="preserve"> celui </w:t>
      </w:r>
      <w:r w:rsidR="002C6A4F" w:rsidRPr="00205909">
        <w:rPr>
          <w:rFonts w:ascii="Garamond" w:hAnsi="Garamond"/>
          <w:sz w:val="24"/>
          <w:szCs w:val="24"/>
        </w:rPr>
        <w:t xml:space="preserve">qui pourrait être </w:t>
      </w:r>
      <w:r w:rsidR="00116D41" w:rsidRPr="00205909">
        <w:rPr>
          <w:rFonts w:ascii="Garamond" w:hAnsi="Garamond"/>
          <w:sz w:val="24"/>
          <w:szCs w:val="24"/>
        </w:rPr>
        <w:t>produit par une action militaire traditionnelle (</w:t>
      </w:r>
      <w:r w:rsidR="00116D41" w:rsidRPr="00205909">
        <w:rPr>
          <w:rFonts w:ascii="Garamond" w:hAnsi="Garamond"/>
          <w:i/>
          <w:iCs/>
          <w:sz w:val="24"/>
          <w:szCs w:val="24"/>
        </w:rPr>
        <w:t xml:space="preserve">instrumental </w:t>
      </w:r>
      <w:proofErr w:type="spellStart"/>
      <w:r w:rsidR="00116D41" w:rsidRPr="00205909">
        <w:rPr>
          <w:rFonts w:ascii="Garamond" w:hAnsi="Garamond"/>
          <w:i/>
          <w:iCs/>
          <w:sz w:val="24"/>
          <w:szCs w:val="24"/>
        </w:rPr>
        <w:t>lawfare</w:t>
      </w:r>
      <w:proofErr w:type="spellEnd"/>
      <w:r w:rsidR="00116D41" w:rsidRPr="00205909">
        <w:rPr>
          <w:rFonts w:ascii="Garamond" w:hAnsi="Garamond"/>
          <w:sz w:val="24"/>
          <w:szCs w:val="24"/>
        </w:rPr>
        <w:t>).</w:t>
      </w:r>
      <w:r w:rsidR="00631095" w:rsidRPr="00205909">
        <w:rPr>
          <w:rFonts w:ascii="Garamond" w:hAnsi="Garamond"/>
          <w:sz w:val="24"/>
          <w:szCs w:val="24"/>
        </w:rPr>
        <w:t xml:space="preserve"> </w:t>
      </w:r>
    </w:p>
    <w:p w14:paraId="362708EA" w14:textId="42C21373" w:rsidR="00681FFC" w:rsidRPr="00205909" w:rsidRDefault="00681FFC" w:rsidP="007F1788">
      <w:pPr>
        <w:widowControl w:val="0"/>
        <w:spacing w:after="0" w:line="240" w:lineRule="auto"/>
        <w:ind w:right="-1" w:firstLine="426"/>
        <w:jc w:val="both"/>
        <w:rPr>
          <w:rFonts w:ascii="Garamond" w:hAnsi="Garamond" w:cs="Times New Roman"/>
          <w:b/>
          <w:bCs/>
          <w:sz w:val="24"/>
          <w:szCs w:val="24"/>
        </w:rPr>
      </w:pPr>
      <w:r w:rsidRPr="00205909">
        <w:rPr>
          <w:rFonts w:ascii="Garamond" w:hAnsi="Garamond" w:cs="Times New Roman"/>
          <w:sz w:val="24"/>
          <w:szCs w:val="24"/>
        </w:rPr>
        <w:t>Les cas d</w:t>
      </w:r>
      <w:r w:rsidR="001C58B6" w:rsidRPr="00205909">
        <w:rPr>
          <w:rFonts w:ascii="Garamond" w:hAnsi="Garamond" w:cs="Times New Roman"/>
          <w:sz w:val="24"/>
          <w:szCs w:val="24"/>
        </w:rPr>
        <w:t>’</w:t>
      </w:r>
      <w:r w:rsidRPr="00205909">
        <w:rPr>
          <w:rFonts w:ascii="Garamond" w:hAnsi="Garamond" w:cs="Times New Roman"/>
          <w:i/>
          <w:iCs/>
          <w:sz w:val="24"/>
          <w:szCs w:val="24"/>
        </w:rPr>
        <w:t xml:space="preserve">instrumental </w:t>
      </w:r>
      <w:proofErr w:type="spellStart"/>
      <w:r w:rsidRPr="00205909">
        <w:rPr>
          <w:rFonts w:ascii="Garamond" w:hAnsi="Garamond" w:cs="Times New Roman"/>
          <w:i/>
          <w:iCs/>
          <w:sz w:val="24"/>
          <w:szCs w:val="24"/>
        </w:rPr>
        <w:t>lawfare</w:t>
      </w:r>
      <w:proofErr w:type="spellEnd"/>
      <w:r w:rsidRPr="00205909">
        <w:rPr>
          <w:rFonts w:ascii="Garamond" w:hAnsi="Garamond" w:cs="Times New Roman"/>
          <w:i/>
          <w:iCs/>
          <w:sz w:val="24"/>
          <w:szCs w:val="24"/>
        </w:rPr>
        <w:t xml:space="preserve"> </w:t>
      </w:r>
      <w:r w:rsidR="001C58B6" w:rsidRPr="00205909">
        <w:rPr>
          <w:rFonts w:ascii="Garamond" w:hAnsi="Garamond" w:cs="Times New Roman"/>
          <w:sz w:val="24"/>
          <w:szCs w:val="24"/>
        </w:rPr>
        <w:t>– traduisons</w:t>
      </w:r>
      <w:r w:rsidR="00D13758" w:rsidRPr="00205909">
        <w:rPr>
          <w:rFonts w:ascii="Garamond" w:hAnsi="Garamond" w:cs="Times New Roman"/>
          <w:sz w:val="24"/>
          <w:szCs w:val="24"/>
        </w:rPr>
        <w:t> :</w:t>
      </w:r>
      <w:r w:rsidR="001C58B6" w:rsidRPr="00205909">
        <w:rPr>
          <w:rFonts w:ascii="Garamond" w:hAnsi="Garamond" w:cs="Times New Roman"/>
          <w:sz w:val="24"/>
          <w:szCs w:val="24"/>
        </w:rPr>
        <w:t xml:space="preserve"> </w:t>
      </w:r>
      <w:proofErr w:type="spellStart"/>
      <w:r w:rsidR="001C58B6" w:rsidRPr="00205909">
        <w:rPr>
          <w:rFonts w:ascii="Garamond" w:hAnsi="Garamond" w:cs="Times New Roman"/>
          <w:i/>
          <w:iCs/>
          <w:sz w:val="24"/>
          <w:szCs w:val="24"/>
        </w:rPr>
        <w:t>lawfare</w:t>
      </w:r>
      <w:proofErr w:type="spellEnd"/>
      <w:r w:rsidR="001C58B6" w:rsidRPr="00205909">
        <w:rPr>
          <w:rFonts w:ascii="Garamond" w:hAnsi="Garamond" w:cs="Times New Roman"/>
          <w:i/>
          <w:iCs/>
          <w:sz w:val="24"/>
          <w:szCs w:val="24"/>
        </w:rPr>
        <w:t xml:space="preserve"> </w:t>
      </w:r>
      <w:r w:rsidR="001C58B6" w:rsidRPr="00205909">
        <w:rPr>
          <w:rFonts w:ascii="Garamond" w:hAnsi="Garamond" w:cs="Times New Roman"/>
          <w:sz w:val="24"/>
          <w:szCs w:val="24"/>
        </w:rPr>
        <w:t xml:space="preserve">instrumentaire – </w:t>
      </w:r>
      <w:r w:rsidR="00631095" w:rsidRPr="00205909">
        <w:rPr>
          <w:rFonts w:ascii="Garamond" w:hAnsi="Garamond" w:cs="Times New Roman"/>
          <w:sz w:val="24"/>
          <w:szCs w:val="24"/>
        </w:rPr>
        <w:t>sont d’ailleurs les cas les plus souvent cités et pourtant les plus sophistiqués : ainsi de l’utilisation d’une procédure quelconque pour entraver telle action ou telle opération</w:t>
      </w:r>
      <w:r w:rsidR="00631095" w:rsidRPr="00205909">
        <w:rPr>
          <w:rStyle w:val="Appelnotedebasdep"/>
          <w:rFonts w:ascii="Garamond" w:hAnsi="Garamond" w:cs="Times New Roman"/>
          <w:sz w:val="24"/>
          <w:szCs w:val="24"/>
        </w:rPr>
        <w:footnoteReference w:id="14"/>
      </w:r>
      <w:r w:rsidR="00466209" w:rsidRPr="00205909">
        <w:rPr>
          <w:rFonts w:ascii="Garamond" w:hAnsi="Garamond" w:cs="Times New Roman"/>
          <w:sz w:val="24"/>
          <w:szCs w:val="24"/>
        </w:rPr>
        <w:t>, de l’adoption de lois nouvelles pour entraver telle action</w:t>
      </w:r>
      <w:r w:rsidR="002C6A4F" w:rsidRPr="00205909">
        <w:rPr>
          <w:rFonts w:ascii="Garamond" w:hAnsi="Garamond" w:cs="Times New Roman"/>
          <w:sz w:val="24"/>
          <w:szCs w:val="24"/>
        </w:rPr>
        <w:t>, comme la modification des règles du Code de procédure civile russe en 2020 pour éviter les procès ou arbitrages auxquels seraient soumis des entités russes à l’étranger</w:t>
      </w:r>
      <w:r w:rsidR="002C6A4F" w:rsidRPr="00205909">
        <w:rPr>
          <w:rStyle w:val="Appelnotedebasdep"/>
          <w:rFonts w:ascii="Garamond" w:hAnsi="Garamond" w:cs="Times New Roman"/>
          <w:sz w:val="24"/>
          <w:szCs w:val="24"/>
        </w:rPr>
        <w:footnoteReference w:id="15"/>
      </w:r>
      <w:r w:rsidR="00466209" w:rsidRPr="00205909">
        <w:rPr>
          <w:rFonts w:ascii="Garamond" w:hAnsi="Garamond" w:cs="Times New Roman"/>
          <w:sz w:val="24"/>
          <w:szCs w:val="24"/>
        </w:rPr>
        <w:t>, ou de la mise en œuvre de sanctions économiques ciblées, soit sous la forme de gels de fonds soit des sanctions sectorisées, comme contre la Russie depuis 2014</w:t>
      </w:r>
      <w:r w:rsidR="00631095" w:rsidRPr="00205909">
        <w:rPr>
          <w:rFonts w:ascii="Garamond" w:hAnsi="Garamond" w:cs="Times New Roman"/>
          <w:sz w:val="24"/>
          <w:szCs w:val="24"/>
        </w:rPr>
        <w:t>.</w:t>
      </w:r>
      <w:r w:rsidR="00AF1173" w:rsidRPr="00205909">
        <w:rPr>
          <w:rFonts w:ascii="Garamond" w:hAnsi="Garamond" w:cs="Times New Roman"/>
          <w:sz w:val="24"/>
          <w:szCs w:val="24"/>
        </w:rPr>
        <w:t xml:space="preserve"> </w:t>
      </w:r>
      <w:bookmarkStart w:id="3" w:name="_Hlk159226820"/>
      <w:r w:rsidR="001C58B6" w:rsidRPr="00205909">
        <w:rPr>
          <w:rFonts w:ascii="Garamond" w:hAnsi="Garamond" w:cs="Times New Roman"/>
          <w:sz w:val="24"/>
          <w:szCs w:val="24"/>
        </w:rPr>
        <w:t>C</w:t>
      </w:r>
      <w:r w:rsidRPr="00205909">
        <w:rPr>
          <w:rFonts w:ascii="Garamond" w:hAnsi="Garamond" w:cs="Times New Roman"/>
          <w:sz w:val="24"/>
          <w:szCs w:val="24"/>
        </w:rPr>
        <w:t>es cas</w:t>
      </w:r>
      <w:r w:rsidR="001C58B6" w:rsidRPr="00205909">
        <w:rPr>
          <w:rFonts w:ascii="Garamond" w:hAnsi="Garamond" w:cs="Times New Roman"/>
          <w:sz w:val="24"/>
          <w:szCs w:val="24"/>
        </w:rPr>
        <w:t xml:space="preserve">-types </w:t>
      </w:r>
      <w:r w:rsidRPr="00205909">
        <w:rPr>
          <w:rFonts w:ascii="Garamond" w:hAnsi="Garamond" w:cs="Times New Roman"/>
          <w:sz w:val="24"/>
          <w:szCs w:val="24"/>
        </w:rPr>
        <w:t>d</w:t>
      </w:r>
      <w:r w:rsidR="001C58B6" w:rsidRPr="00205909">
        <w:rPr>
          <w:rFonts w:ascii="Garamond" w:hAnsi="Garamond" w:cs="Times New Roman"/>
          <w:sz w:val="24"/>
          <w:szCs w:val="24"/>
        </w:rPr>
        <w:t xml:space="preserve">e </w:t>
      </w:r>
      <w:proofErr w:type="spellStart"/>
      <w:r w:rsidR="001C58B6" w:rsidRPr="00205909">
        <w:rPr>
          <w:rFonts w:ascii="Garamond" w:hAnsi="Garamond" w:cs="Times New Roman"/>
          <w:i/>
          <w:iCs/>
          <w:sz w:val="24"/>
          <w:szCs w:val="24"/>
        </w:rPr>
        <w:t>lawfare</w:t>
      </w:r>
      <w:proofErr w:type="spellEnd"/>
      <w:r w:rsidR="001C58B6" w:rsidRPr="00205909">
        <w:rPr>
          <w:rFonts w:ascii="Garamond" w:hAnsi="Garamond" w:cs="Times New Roman"/>
          <w:i/>
          <w:iCs/>
          <w:sz w:val="24"/>
          <w:szCs w:val="24"/>
        </w:rPr>
        <w:t xml:space="preserve"> </w:t>
      </w:r>
      <w:r w:rsidR="001C58B6" w:rsidRPr="00205909">
        <w:rPr>
          <w:rFonts w:ascii="Garamond" w:hAnsi="Garamond" w:cs="Times New Roman"/>
          <w:sz w:val="24"/>
          <w:szCs w:val="24"/>
        </w:rPr>
        <w:t xml:space="preserve">instrumentaire </w:t>
      </w:r>
      <w:r w:rsidRPr="00205909">
        <w:rPr>
          <w:rFonts w:ascii="Garamond" w:hAnsi="Garamond" w:cs="Times New Roman"/>
          <w:sz w:val="24"/>
          <w:szCs w:val="24"/>
        </w:rPr>
        <w:t xml:space="preserve">sont </w:t>
      </w:r>
      <w:r w:rsidR="00D13758" w:rsidRPr="00205909">
        <w:rPr>
          <w:rFonts w:ascii="Garamond" w:hAnsi="Garamond" w:cs="Times New Roman"/>
          <w:sz w:val="24"/>
          <w:szCs w:val="24"/>
        </w:rPr>
        <w:t xml:space="preserve">cependant </w:t>
      </w:r>
      <w:r w:rsidR="001C58B6" w:rsidRPr="00205909">
        <w:rPr>
          <w:rFonts w:ascii="Garamond" w:hAnsi="Garamond" w:cs="Times New Roman"/>
          <w:sz w:val="24"/>
          <w:szCs w:val="24"/>
        </w:rPr>
        <w:t xml:space="preserve">les </w:t>
      </w:r>
      <w:r w:rsidR="00D13758" w:rsidRPr="00205909">
        <w:rPr>
          <w:rFonts w:ascii="Garamond" w:hAnsi="Garamond" w:cs="Times New Roman"/>
          <w:sz w:val="24"/>
          <w:szCs w:val="24"/>
        </w:rPr>
        <w:t>moins</w:t>
      </w:r>
      <w:r w:rsidR="001C58B6" w:rsidRPr="00205909">
        <w:rPr>
          <w:rFonts w:ascii="Garamond" w:hAnsi="Garamond" w:cs="Times New Roman"/>
          <w:sz w:val="24"/>
          <w:szCs w:val="24"/>
        </w:rPr>
        <w:t xml:space="preserve"> connus et </w:t>
      </w:r>
      <w:r w:rsidR="00D13758" w:rsidRPr="00205909">
        <w:rPr>
          <w:rFonts w:ascii="Garamond" w:hAnsi="Garamond" w:cs="Times New Roman"/>
          <w:sz w:val="24"/>
          <w:szCs w:val="24"/>
        </w:rPr>
        <w:t xml:space="preserve">sont masqués par </w:t>
      </w:r>
      <w:r w:rsidR="001C58B6" w:rsidRPr="00205909">
        <w:rPr>
          <w:rFonts w:ascii="Garamond" w:hAnsi="Garamond" w:cs="Times New Roman"/>
          <w:sz w:val="24"/>
          <w:szCs w:val="24"/>
        </w:rPr>
        <w:t xml:space="preserve">bien d’autres plus </w:t>
      </w:r>
      <w:proofErr w:type="spellStart"/>
      <w:r w:rsidR="00D13758" w:rsidRPr="00205909">
        <w:rPr>
          <w:rFonts w:ascii="Garamond" w:hAnsi="Garamond" w:cs="Times New Roman"/>
          <w:sz w:val="24"/>
          <w:szCs w:val="24"/>
        </w:rPr>
        <w:t>ostenibles</w:t>
      </w:r>
      <w:proofErr w:type="spellEnd"/>
      <w:r w:rsidRPr="00205909">
        <w:rPr>
          <w:rFonts w:ascii="Garamond" w:hAnsi="Garamond" w:cs="Times New Roman"/>
          <w:sz w:val="24"/>
          <w:szCs w:val="24"/>
        </w:rPr>
        <w:t>.</w:t>
      </w:r>
    </w:p>
    <w:bookmarkEnd w:id="3"/>
    <w:p w14:paraId="483544D1" w14:textId="77777777" w:rsidR="002876B2" w:rsidRPr="00205909" w:rsidRDefault="002876B2" w:rsidP="002876B2">
      <w:pPr>
        <w:pStyle w:val="numerodeparagraphe"/>
        <w:numPr>
          <w:ilvl w:val="0"/>
          <w:numId w:val="0"/>
        </w:numPr>
        <w:spacing w:before="0"/>
        <w:ind w:left="454"/>
        <w:rPr>
          <w:rFonts w:ascii="Garamond" w:hAnsi="Garamond"/>
          <w:b/>
          <w:bCs/>
          <w:sz w:val="24"/>
          <w:szCs w:val="24"/>
        </w:rPr>
      </w:pPr>
    </w:p>
    <w:p w14:paraId="4EA34835" w14:textId="7759B9AE" w:rsidR="007D664D" w:rsidRPr="00205909" w:rsidRDefault="00E91F8B" w:rsidP="007F1788">
      <w:pPr>
        <w:pStyle w:val="numerodeparagraphe"/>
        <w:spacing w:before="0"/>
        <w:rPr>
          <w:rFonts w:ascii="Garamond" w:hAnsi="Garamond"/>
          <w:b/>
          <w:bCs/>
          <w:sz w:val="24"/>
          <w:szCs w:val="24"/>
        </w:rPr>
      </w:pPr>
      <w:r w:rsidRPr="00205909">
        <w:rPr>
          <w:rFonts w:ascii="Garamond" w:hAnsi="Garamond"/>
          <w:sz w:val="24"/>
          <w:szCs w:val="24"/>
        </w:rPr>
        <w:t xml:space="preserve">Dans un </w:t>
      </w:r>
      <w:r w:rsidR="005A52F1" w:rsidRPr="00205909">
        <w:rPr>
          <w:rFonts w:ascii="Garamond" w:hAnsi="Garamond"/>
          <w:sz w:val="24"/>
          <w:szCs w:val="24"/>
        </w:rPr>
        <w:t xml:space="preserve">deuxième </w:t>
      </w:r>
      <w:r w:rsidRPr="00205909">
        <w:rPr>
          <w:rFonts w:ascii="Garamond" w:hAnsi="Garamond"/>
          <w:sz w:val="24"/>
          <w:szCs w:val="24"/>
        </w:rPr>
        <w:t xml:space="preserve">sens, </w:t>
      </w:r>
      <w:r w:rsidR="007D664D" w:rsidRPr="00205909">
        <w:rPr>
          <w:rFonts w:ascii="Garamond" w:hAnsi="Garamond"/>
          <w:sz w:val="24"/>
          <w:szCs w:val="24"/>
        </w:rPr>
        <w:t xml:space="preserve">qui est le plus étudié et illustré, </w:t>
      </w:r>
      <w:r w:rsidRPr="00205909">
        <w:rPr>
          <w:rFonts w:ascii="Garamond" w:hAnsi="Garamond"/>
          <w:sz w:val="24"/>
          <w:szCs w:val="24"/>
        </w:rPr>
        <w:t xml:space="preserve">le </w:t>
      </w:r>
      <w:proofErr w:type="spellStart"/>
      <w:r w:rsidRPr="00205909">
        <w:rPr>
          <w:rFonts w:ascii="Garamond" w:hAnsi="Garamond"/>
          <w:i/>
          <w:iCs/>
          <w:sz w:val="24"/>
          <w:szCs w:val="24"/>
        </w:rPr>
        <w:t>lawfare</w:t>
      </w:r>
      <w:proofErr w:type="spellEnd"/>
      <w:r w:rsidRPr="00205909">
        <w:rPr>
          <w:rFonts w:ascii="Garamond" w:hAnsi="Garamond"/>
          <w:sz w:val="24"/>
          <w:szCs w:val="24"/>
        </w:rPr>
        <w:t xml:space="preserve"> est une forme </w:t>
      </w:r>
      <w:r w:rsidR="00AF1173" w:rsidRPr="00205909">
        <w:rPr>
          <w:rFonts w:ascii="Garamond" w:hAnsi="Garamond"/>
          <w:sz w:val="24"/>
          <w:szCs w:val="24"/>
        </w:rPr>
        <w:t xml:space="preserve">d’action </w:t>
      </w:r>
      <w:r w:rsidRPr="00205909">
        <w:rPr>
          <w:rFonts w:ascii="Garamond" w:hAnsi="Garamond"/>
          <w:sz w:val="24"/>
          <w:szCs w:val="24"/>
        </w:rPr>
        <w:t>visant à obtenir d’un adversaire</w:t>
      </w:r>
      <w:r w:rsidR="00083E6D" w:rsidRPr="00205909">
        <w:rPr>
          <w:rFonts w:ascii="Garamond" w:hAnsi="Garamond"/>
          <w:sz w:val="24"/>
          <w:szCs w:val="24"/>
        </w:rPr>
        <w:t>, pas nécessairement militaire,</w:t>
      </w:r>
      <w:r w:rsidRPr="00205909">
        <w:rPr>
          <w:rFonts w:ascii="Garamond" w:hAnsi="Garamond"/>
          <w:sz w:val="24"/>
          <w:szCs w:val="24"/>
        </w:rPr>
        <w:t xml:space="preserve"> qu’il se conforme à des règles internationales, particulièrement celles du droit des conflits armés, </w:t>
      </w:r>
      <w:r w:rsidR="00083E6D" w:rsidRPr="00205909">
        <w:rPr>
          <w:rFonts w:ascii="Garamond" w:hAnsi="Garamond"/>
          <w:sz w:val="24"/>
          <w:szCs w:val="24"/>
        </w:rPr>
        <w:t xml:space="preserve">ou </w:t>
      </w:r>
      <w:r w:rsidR="007D664D" w:rsidRPr="00205909">
        <w:rPr>
          <w:rFonts w:ascii="Garamond" w:hAnsi="Garamond"/>
          <w:sz w:val="24"/>
          <w:szCs w:val="24"/>
        </w:rPr>
        <w:t>l</w:t>
      </w:r>
      <w:r w:rsidR="00083E6D" w:rsidRPr="00205909">
        <w:rPr>
          <w:rFonts w:ascii="Garamond" w:hAnsi="Garamond"/>
          <w:sz w:val="24"/>
          <w:szCs w:val="24"/>
        </w:rPr>
        <w:t xml:space="preserve">es règles émergentes du </w:t>
      </w:r>
      <w:r w:rsidR="00083E6D" w:rsidRPr="00205909">
        <w:rPr>
          <w:rFonts w:ascii="Garamond" w:hAnsi="Garamond"/>
          <w:i/>
          <w:iCs/>
          <w:sz w:val="24"/>
          <w:szCs w:val="24"/>
        </w:rPr>
        <w:t>devoir de vigilance</w:t>
      </w:r>
      <w:r w:rsidR="00083E6D" w:rsidRPr="00205909">
        <w:rPr>
          <w:rFonts w:ascii="Garamond" w:hAnsi="Garamond"/>
          <w:sz w:val="24"/>
          <w:szCs w:val="24"/>
        </w:rPr>
        <w:t>,</w:t>
      </w:r>
      <w:r w:rsidR="00083E6D" w:rsidRPr="00205909">
        <w:rPr>
          <w:rFonts w:ascii="Garamond" w:hAnsi="Garamond"/>
          <w:i/>
          <w:iCs/>
          <w:sz w:val="24"/>
          <w:szCs w:val="24"/>
        </w:rPr>
        <w:t xml:space="preserve"> </w:t>
      </w:r>
      <w:r w:rsidRPr="00205909">
        <w:rPr>
          <w:rFonts w:ascii="Garamond" w:hAnsi="Garamond"/>
          <w:sz w:val="24"/>
          <w:szCs w:val="24"/>
        </w:rPr>
        <w:t xml:space="preserve">de manière à réduire </w:t>
      </w:r>
      <w:r w:rsidR="00B02C88" w:rsidRPr="00205909">
        <w:rPr>
          <w:rFonts w:ascii="Garamond" w:hAnsi="Garamond"/>
          <w:sz w:val="24"/>
          <w:szCs w:val="24"/>
        </w:rPr>
        <w:t xml:space="preserve">voire affecter </w:t>
      </w:r>
      <w:r w:rsidRPr="00205909">
        <w:rPr>
          <w:rFonts w:ascii="Garamond" w:hAnsi="Garamond"/>
          <w:sz w:val="24"/>
          <w:szCs w:val="24"/>
        </w:rPr>
        <w:t>sa capacité à agir</w:t>
      </w:r>
      <w:r w:rsidR="00991CB2" w:rsidRPr="00205909">
        <w:rPr>
          <w:rFonts w:ascii="Garamond" w:hAnsi="Garamond"/>
          <w:sz w:val="24"/>
          <w:szCs w:val="24"/>
        </w:rPr>
        <w:t>.</w:t>
      </w:r>
      <w:r w:rsidRPr="00205909">
        <w:rPr>
          <w:rFonts w:ascii="Garamond" w:hAnsi="Garamond"/>
          <w:sz w:val="24"/>
          <w:szCs w:val="24"/>
        </w:rPr>
        <w:t xml:space="preserve"> </w:t>
      </w:r>
    </w:p>
    <w:p w14:paraId="6306D128" w14:textId="77777777" w:rsidR="00D13758" w:rsidRPr="00205909" w:rsidRDefault="00991CB2" w:rsidP="007F1788">
      <w:pPr>
        <w:widowControl w:val="0"/>
        <w:spacing w:after="0" w:line="240" w:lineRule="auto"/>
        <w:ind w:right="-1" w:firstLine="426"/>
        <w:jc w:val="both"/>
        <w:rPr>
          <w:rFonts w:ascii="Garamond" w:hAnsi="Garamond" w:cs="Times New Roman"/>
          <w:sz w:val="24"/>
          <w:szCs w:val="24"/>
        </w:rPr>
      </w:pPr>
      <w:r w:rsidRPr="00205909">
        <w:rPr>
          <w:rFonts w:ascii="Garamond" w:hAnsi="Garamond" w:cs="Times New Roman"/>
          <w:sz w:val="24"/>
          <w:szCs w:val="24"/>
        </w:rPr>
        <w:t>Les</w:t>
      </w:r>
      <w:r w:rsidR="00404BB8" w:rsidRPr="00205909">
        <w:rPr>
          <w:rFonts w:ascii="Garamond" w:hAnsi="Garamond" w:cs="Times New Roman"/>
          <w:sz w:val="24"/>
          <w:szCs w:val="24"/>
        </w:rPr>
        <w:t xml:space="preserve"> formule</w:t>
      </w:r>
      <w:r w:rsidRPr="00205909">
        <w:rPr>
          <w:rFonts w:ascii="Garamond" w:hAnsi="Garamond" w:cs="Times New Roman"/>
          <w:sz w:val="24"/>
          <w:szCs w:val="24"/>
        </w:rPr>
        <w:t>s</w:t>
      </w:r>
      <w:r w:rsidR="00404BB8" w:rsidRPr="00205909">
        <w:rPr>
          <w:rFonts w:ascii="Garamond" w:hAnsi="Garamond" w:cs="Times New Roman"/>
          <w:sz w:val="24"/>
          <w:szCs w:val="24"/>
        </w:rPr>
        <w:t xml:space="preserve"> </w:t>
      </w:r>
      <w:r w:rsidRPr="00205909">
        <w:rPr>
          <w:rFonts w:ascii="Garamond" w:hAnsi="Garamond" w:cs="Times New Roman"/>
          <w:sz w:val="24"/>
          <w:szCs w:val="24"/>
        </w:rPr>
        <w:t>« </w:t>
      </w:r>
      <w:r w:rsidR="00B02C88" w:rsidRPr="00205909">
        <w:rPr>
          <w:rFonts w:ascii="Garamond" w:hAnsi="Garamond" w:cs="Times New Roman"/>
          <w:i/>
          <w:iCs/>
          <w:sz w:val="24"/>
          <w:szCs w:val="24"/>
        </w:rPr>
        <w:t>c</w:t>
      </w:r>
      <w:r w:rsidR="00E91F8B" w:rsidRPr="00205909">
        <w:rPr>
          <w:rFonts w:ascii="Garamond" w:hAnsi="Garamond" w:cs="Times New Roman"/>
          <w:i/>
          <w:iCs/>
          <w:sz w:val="24"/>
          <w:szCs w:val="24"/>
        </w:rPr>
        <w:t>ompliance-</w:t>
      </w:r>
      <w:proofErr w:type="spellStart"/>
      <w:r w:rsidR="00B02C88" w:rsidRPr="00205909">
        <w:rPr>
          <w:rFonts w:ascii="Garamond" w:hAnsi="Garamond" w:cs="Times New Roman"/>
          <w:i/>
          <w:iCs/>
          <w:sz w:val="24"/>
          <w:szCs w:val="24"/>
        </w:rPr>
        <w:t>l</w:t>
      </w:r>
      <w:r w:rsidR="00E91F8B" w:rsidRPr="00205909">
        <w:rPr>
          <w:rFonts w:ascii="Garamond" w:hAnsi="Garamond" w:cs="Times New Roman"/>
          <w:i/>
          <w:iCs/>
          <w:sz w:val="24"/>
          <w:szCs w:val="24"/>
        </w:rPr>
        <w:t>everage</w:t>
      </w:r>
      <w:proofErr w:type="spellEnd"/>
      <w:r w:rsidR="00B02C88" w:rsidRPr="00205909">
        <w:rPr>
          <w:rFonts w:ascii="Garamond" w:hAnsi="Garamond" w:cs="Times New Roman"/>
          <w:i/>
          <w:iCs/>
          <w:sz w:val="24"/>
          <w:szCs w:val="24"/>
        </w:rPr>
        <w:t xml:space="preserve"> </w:t>
      </w:r>
      <w:proofErr w:type="spellStart"/>
      <w:r w:rsidR="00B02C88" w:rsidRPr="00205909">
        <w:rPr>
          <w:rFonts w:ascii="Garamond" w:hAnsi="Garamond" w:cs="Times New Roman"/>
          <w:i/>
          <w:iCs/>
          <w:sz w:val="24"/>
          <w:szCs w:val="24"/>
        </w:rPr>
        <w:t>disparity</w:t>
      </w:r>
      <w:proofErr w:type="spellEnd"/>
      <w:r w:rsidR="00B02C88" w:rsidRPr="00205909">
        <w:rPr>
          <w:rFonts w:ascii="Garamond" w:hAnsi="Garamond" w:cs="Times New Roman"/>
          <w:i/>
          <w:iCs/>
          <w:sz w:val="24"/>
          <w:szCs w:val="24"/>
        </w:rPr>
        <w:t xml:space="preserve"> </w:t>
      </w:r>
      <w:proofErr w:type="spellStart"/>
      <w:r w:rsidR="00B02C88" w:rsidRPr="00205909">
        <w:rPr>
          <w:rFonts w:ascii="Garamond" w:hAnsi="Garamond" w:cs="Times New Roman"/>
          <w:i/>
          <w:iCs/>
          <w:sz w:val="24"/>
          <w:szCs w:val="24"/>
        </w:rPr>
        <w:t>lawfare</w:t>
      </w:r>
      <w:proofErr w:type="spellEnd"/>
      <w:r w:rsidRPr="00205909">
        <w:rPr>
          <w:rFonts w:ascii="Garamond" w:hAnsi="Garamond" w:cs="Times New Roman"/>
          <w:sz w:val="24"/>
          <w:szCs w:val="24"/>
        </w:rPr>
        <w:t> »</w:t>
      </w:r>
      <w:r w:rsidR="00404BB8" w:rsidRPr="00205909">
        <w:rPr>
          <w:rStyle w:val="Appelnotedebasdep"/>
          <w:rFonts w:ascii="Garamond" w:hAnsi="Garamond" w:cs="Times New Roman"/>
          <w:sz w:val="24"/>
          <w:szCs w:val="24"/>
        </w:rPr>
        <w:footnoteReference w:id="16"/>
      </w:r>
      <w:r w:rsidR="00404BB8" w:rsidRPr="00205909">
        <w:rPr>
          <w:rFonts w:ascii="Garamond" w:hAnsi="Garamond" w:cs="Times New Roman"/>
          <w:sz w:val="24"/>
          <w:szCs w:val="24"/>
        </w:rPr>
        <w:t xml:space="preserve"> ou </w:t>
      </w:r>
      <w:r w:rsidRPr="00205909">
        <w:rPr>
          <w:rFonts w:ascii="Garamond" w:hAnsi="Garamond" w:cs="Times New Roman"/>
          <w:sz w:val="24"/>
          <w:szCs w:val="24"/>
        </w:rPr>
        <w:t>« </w:t>
      </w:r>
      <w:proofErr w:type="spellStart"/>
      <w:r w:rsidR="00404BB8" w:rsidRPr="00205909">
        <w:rPr>
          <w:rFonts w:ascii="Garamond" w:hAnsi="Garamond" w:cs="Times New Roman"/>
          <w:i/>
          <w:iCs/>
          <w:sz w:val="24"/>
          <w:szCs w:val="24"/>
        </w:rPr>
        <w:t>political</w:t>
      </w:r>
      <w:proofErr w:type="spellEnd"/>
      <w:r w:rsidR="00404BB8" w:rsidRPr="00205909">
        <w:rPr>
          <w:rFonts w:ascii="Garamond" w:hAnsi="Garamond" w:cs="Times New Roman"/>
          <w:i/>
          <w:iCs/>
          <w:sz w:val="24"/>
          <w:szCs w:val="24"/>
        </w:rPr>
        <w:t xml:space="preserve"> </w:t>
      </w:r>
      <w:proofErr w:type="spellStart"/>
      <w:r w:rsidR="00404BB8" w:rsidRPr="00205909">
        <w:rPr>
          <w:rFonts w:ascii="Garamond" w:hAnsi="Garamond" w:cs="Times New Roman"/>
          <w:i/>
          <w:iCs/>
          <w:sz w:val="24"/>
          <w:szCs w:val="24"/>
        </w:rPr>
        <w:t>lawfare</w:t>
      </w:r>
      <w:proofErr w:type="spellEnd"/>
      <w:r w:rsidRPr="00205909">
        <w:rPr>
          <w:rFonts w:ascii="Garamond" w:hAnsi="Garamond" w:cs="Times New Roman"/>
          <w:sz w:val="24"/>
          <w:szCs w:val="24"/>
        </w:rPr>
        <w:t> »</w:t>
      </w:r>
      <w:r w:rsidR="00404BB8" w:rsidRPr="00205909">
        <w:rPr>
          <w:rStyle w:val="Appelnotedebasdep"/>
          <w:rFonts w:ascii="Garamond" w:hAnsi="Garamond" w:cs="Times New Roman"/>
          <w:sz w:val="24"/>
          <w:szCs w:val="24"/>
        </w:rPr>
        <w:footnoteReference w:id="17"/>
      </w:r>
      <w:r w:rsidRPr="00205909">
        <w:rPr>
          <w:rFonts w:ascii="Garamond" w:hAnsi="Garamond" w:cs="Times New Roman"/>
          <w:sz w:val="24"/>
          <w:szCs w:val="24"/>
        </w:rPr>
        <w:t xml:space="preserve"> sont ainsi supposées rendre compte de cet aspect, dans une logique de transformation des formes de guerre, à travers des logiques dites de « guerre hybride » utilisé</w:t>
      </w:r>
      <w:r w:rsidR="007D664D" w:rsidRPr="00205909">
        <w:rPr>
          <w:rFonts w:ascii="Garamond" w:hAnsi="Garamond" w:cs="Times New Roman"/>
          <w:sz w:val="24"/>
          <w:szCs w:val="24"/>
        </w:rPr>
        <w:t>es</w:t>
      </w:r>
      <w:r w:rsidRPr="00205909">
        <w:rPr>
          <w:rFonts w:ascii="Garamond" w:hAnsi="Garamond" w:cs="Times New Roman"/>
          <w:sz w:val="24"/>
          <w:szCs w:val="24"/>
        </w:rPr>
        <w:t xml:space="preserve"> en France ou aux Etats-Unis</w:t>
      </w:r>
      <w:r w:rsidR="0043399A" w:rsidRPr="00205909">
        <w:rPr>
          <w:rFonts w:ascii="Garamond" w:hAnsi="Garamond" w:cs="Times New Roman"/>
          <w:sz w:val="24"/>
          <w:szCs w:val="24"/>
        </w:rPr>
        <w:t>, ou de « </w:t>
      </w:r>
      <w:r w:rsidR="0043399A" w:rsidRPr="00205909">
        <w:rPr>
          <w:rFonts w:ascii="Garamond" w:hAnsi="Garamond" w:cs="Times New Roman"/>
          <w:i/>
          <w:iCs/>
          <w:sz w:val="24"/>
          <w:szCs w:val="24"/>
        </w:rPr>
        <w:t xml:space="preserve">new </w:t>
      </w:r>
      <w:proofErr w:type="spellStart"/>
      <w:r w:rsidR="0043399A" w:rsidRPr="00205909">
        <w:rPr>
          <w:rFonts w:ascii="Garamond" w:hAnsi="Garamond" w:cs="Times New Roman"/>
          <w:i/>
          <w:iCs/>
          <w:sz w:val="24"/>
          <w:szCs w:val="24"/>
        </w:rPr>
        <w:t>wars</w:t>
      </w:r>
      <w:proofErr w:type="spellEnd"/>
      <w:r w:rsidR="0043399A" w:rsidRPr="00205909">
        <w:rPr>
          <w:rFonts w:ascii="Garamond" w:hAnsi="Garamond" w:cs="Times New Roman"/>
          <w:i/>
          <w:iCs/>
          <w:sz w:val="24"/>
          <w:szCs w:val="24"/>
        </w:rPr>
        <w:t> »</w:t>
      </w:r>
      <w:r w:rsidR="0043399A" w:rsidRPr="00205909">
        <w:rPr>
          <w:rStyle w:val="Appelnotedebasdep"/>
          <w:rFonts w:ascii="Garamond" w:hAnsi="Garamond" w:cs="Times New Roman"/>
          <w:sz w:val="24"/>
          <w:szCs w:val="24"/>
        </w:rPr>
        <w:footnoteReference w:id="18"/>
      </w:r>
      <w:r w:rsidRPr="00205909">
        <w:rPr>
          <w:rFonts w:ascii="Garamond" w:hAnsi="Garamond" w:cs="Times New Roman"/>
          <w:sz w:val="24"/>
          <w:szCs w:val="24"/>
        </w:rPr>
        <w:t>, du concept russe de «</w:t>
      </w:r>
      <w:r w:rsidR="007D664D" w:rsidRPr="00205909">
        <w:rPr>
          <w:rFonts w:ascii="Garamond" w:hAnsi="Garamond" w:cs="Times New Roman"/>
          <w:sz w:val="24"/>
          <w:szCs w:val="24"/>
        </w:rPr>
        <w:t xml:space="preserve"> </w:t>
      </w:r>
      <w:r w:rsidRPr="00205909">
        <w:rPr>
          <w:rFonts w:ascii="Garamond" w:hAnsi="Garamond" w:cs="Times New Roman"/>
          <w:sz w:val="24"/>
          <w:szCs w:val="24"/>
        </w:rPr>
        <w:t>contournement de la lutte armée »</w:t>
      </w:r>
      <w:r w:rsidRPr="00205909">
        <w:rPr>
          <w:rStyle w:val="Appelnotedebasdep"/>
          <w:rFonts w:ascii="Garamond" w:hAnsi="Garamond" w:cs="Times New Roman"/>
          <w:sz w:val="24"/>
          <w:szCs w:val="24"/>
        </w:rPr>
        <w:footnoteReference w:id="19"/>
      </w:r>
      <w:r w:rsidRPr="00205909">
        <w:rPr>
          <w:rFonts w:ascii="Garamond" w:hAnsi="Garamond" w:cs="Times New Roman"/>
          <w:sz w:val="24"/>
          <w:szCs w:val="24"/>
        </w:rPr>
        <w:t xml:space="preserve"> ou chinois de</w:t>
      </w:r>
      <w:r w:rsidRPr="00205909">
        <w:rPr>
          <w:rFonts w:ascii="Garamond" w:hAnsi="Garamond" w:cs="Times New Roman"/>
          <w:i/>
          <w:iCs/>
          <w:sz w:val="24"/>
          <w:szCs w:val="24"/>
        </w:rPr>
        <w:t xml:space="preserve"> « </w:t>
      </w:r>
      <w:r w:rsidRPr="00205909">
        <w:rPr>
          <w:rFonts w:ascii="Garamond" w:hAnsi="Garamond" w:cs="Times New Roman"/>
          <w:sz w:val="24"/>
          <w:szCs w:val="24"/>
        </w:rPr>
        <w:t>guerre hors limites</w:t>
      </w:r>
      <w:r w:rsidRPr="00205909">
        <w:rPr>
          <w:rFonts w:ascii="Garamond" w:hAnsi="Garamond" w:cs="Times New Roman"/>
          <w:i/>
          <w:iCs/>
          <w:sz w:val="24"/>
          <w:szCs w:val="24"/>
        </w:rPr>
        <w:t> »</w:t>
      </w:r>
      <w:r w:rsidRPr="00205909">
        <w:rPr>
          <w:rStyle w:val="Appelnotedebasdep"/>
          <w:rFonts w:ascii="Garamond" w:hAnsi="Garamond" w:cs="Times New Roman"/>
          <w:sz w:val="24"/>
          <w:szCs w:val="24"/>
        </w:rPr>
        <w:footnoteReference w:id="20"/>
      </w:r>
      <w:r w:rsidRPr="00205909">
        <w:rPr>
          <w:rFonts w:ascii="Garamond" w:hAnsi="Garamond" w:cs="Times New Roman"/>
          <w:sz w:val="24"/>
          <w:szCs w:val="24"/>
        </w:rPr>
        <w:t xml:space="preserve"> où le droit est saisi « comme un nouveau moyen et espace de conflictualité, dans le cadre d’un élargissement du champ de la lutte, au-delà de la seule sphère militaire »</w:t>
      </w:r>
      <w:r w:rsidRPr="00205909">
        <w:rPr>
          <w:rStyle w:val="Appelnotedebasdep"/>
          <w:rFonts w:ascii="Garamond" w:hAnsi="Garamond" w:cs="Times New Roman"/>
          <w:sz w:val="24"/>
          <w:szCs w:val="24"/>
        </w:rPr>
        <w:footnoteReference w:id="21"/>
      </w:r>
      <w:r w:rsidR="00211211" w:rsidRPr="00205909">
        <w:rPr>
          <w:rFonts w:ascii="Garamond" w:hAnsi="Garamond" w:cs="Times New Roman"/>
          <w:sz w:val="24"/>
          <w:szCs w:val="24"/>
        </w:rPr>
        <w:t>.</w:t>
      </w:r>
      <w:r w:rsidR="00D13758" w:rsidRPr="00205909">
        <w:rPr>
          <w:rFonts w:ascii="Garamond" w:hAnsi="Garamond" w:cs="Times New Roman"/>
          <w:sz w:val="24"/>
          <w:szCs w:val="24"/>
        </w:rPr>
        <w:t xml:space="preserve"> </w:t>
      </w:r>
    </w:p>
    <w:p w14:paraId="4AE7B577" w14:textId="453D7D90" w:rsidR="005B215C" w:rsidRPr="00205909" w:rsidRDefault="00991CB2" w:rsidP="007F1788">
      <w:pPr>
        <w:widowControl w:val="0"/>
        <w:spacing w:after="0" w:line="240" w:lineRule="auto"/>
        <w:ind w:right="-1" w:firstLine="426"/>
        <w:jc w:val="both"/>
        <w:rPr>
          <w:rFonts w:ascii="Garamond" w:hAnsi="Garamond" w:cs="Times New Roman"/>
          <w:sz w:val="24"/>
          <w:szCs w:val="24"/>
        </w:rPr>
      </w:pPr>
      <w:r w:rsidRPr="00205909">
        <w:rPr>
          <w:rFonts w:ascii="Garamond" w:hAnsi="Garamond" w:cs="Times New Roman"/>
          <w:sz w:val="24"/>
          <w:szCs w:val="24"/>
        </w:rPr>
        <w:t xml:space="preserve">A bien des égards cependant, ce sont là deux fonctions distinctes : le </w:t>
      </w:r>
      <w:proofErr w:type="spellStart"/>
      <w:r w:rsidRPr="00205909">
        <w:rPr>
          <w:rFonts w:ascii="Garamond" w:hAnsi="Garamond" w:cs="Times New Roman"/>
          <w:i/>
          <w:iCs/>
          <w:sz w:val="24"/>
          <w:szCs w:val="24"/>
        </w:rPr>
        <w:t>lawfare</w:t>
      </w:r>
      <w:proofErr w:type="spellEnd"/>
      <w:r w:rsidRPr="00205909">
        <w:rPr>
          <w:rFonts w:ascii="Garamond" w:hAnsi="Garamond" w:cs="Times New Roman"/>
          <w:i/>
          <w:iCs/>
          <w:sz w:val="24"/>
          <w:szCs w:val="24"/>
        </w:rPr>
        <w:t xml:space="preserve"> compliance</w:t>
      </w:r>
      <w:r w:rsidRPr="00205909">
        <w:rPr>
          <w:rFonts w:ascii="Garamond" w:hAnsi="Garamond" w:cs="Times New Roman"/>
          <w:sz w:val="24"/>
          <w:szCs w:val="24"/>
        </w:rPr>
        <w:t xml:space="preserve"> est s</w:t>
      </w:r>
      <w:r w:rsidR="00B02C88" w:rsidRPr="00205909">
        <w:rPr>
          <w:rFonts w:ascii="Garamond" w:hAnsi="Garamond" w:cs="Times New Roman"/>
          <w:sz w:val="24"/>
          <w:szCs w:val="24"/>
        </w:rPr>
        <w:t>ouvent utilisé dans des conflits asymétriques par l’adversaire le plus faible, cette utilisation du droit des conflits armés (dénonciation de crimes de guerre, réels ou supposés, peu important que l’auteur des dénonciations ne respectent en rien le principe même de ces règles dans ses actions</w:t>
      </w:r>
      <w:r w:rsidR="00083E6D" w:rsidRPr="00205909">
        <w:rPr>
          <w:rFonts w:ascii="Garamond" w:hAnsi="Garamond" w:cs="Times New Roman"/>
          <w:sz w:val="24"/>
          <w:szCs w:val="24"/>
        </w:rPr>
        <w:t>, de violation plus généralement des droits humains, environnementaux, sanitaires, etc.</w:t>
      </w:r>
      <w:r w:rsidR="00B02C88" w:rsidRPr="00205909">
        <w:rPr>
          <w:rFonts w:ascii="Garamond" w:hAnsi="Garamond" w:cs="Times New Roman"/>
          <w:sz w:val="24"/>
          <w:szCs w:val="24"/>
        </w:rPr>
        <w:t xml:space="preserve">) est très efficace contre des acteurs à la puissance </w:t>
      </w:r>
      <w:r w:rsidR="00083E6D" w:rsidRPr="00205909">
        <w:rPr>
          <w:rFonts w:ascii="Garamond" w:hAnsi="Garamond" w:cs="Times New Roman"/>
          <w:sz w:val="24"/>
          <w:szCs w:val="24"/>
        </w:rPr>
        <w:t xml:space="preserve">économique ou </w:t>
      </w:r>
      <w:r w:rsidR="00B02C88" w:rsidRPr="00205909">
        <w:rPr>
          <w:rFonts w:ascii="Garamond" w:hAnsi="Garamond" w:cs="Times New Roman"/>
          <w:sz w:val="24"/>
          <w:szCs w:val="24"/>
        </w:rPr>
        <w:t>militaire considérable, mais limités dans leurs actions par l’</w:t>
      </w:r>
      <w:r w:rsidR="00E566C0" w:rsidRPr="00205909">
        <w:rPr>
          <w:rFonts w:ascii="Garamond" w:hAnsi="Garamond" w:cs="Times New Roman"/>
          <w:sz w:val="24"/>
          <w:szCs w:val="24"/>
        </w:rPr>
        <w:t>engagement de principe du respect, à tous les niveaux</w:t>
      </w:r>
      <w:r w:rsidR="00083E6D" w:rsidRPr="00205909">
        <w:rPr>
          <w:rFonts w:ascii="Garamond" w:hAnsi="Garamond" w:cs="Times New Roman"/>
          <w:sz w:val="24"/>
          <w:szCs w:val="24"/>
        </w:rPr>
        <w:t>,</w:t>
      </w:r>
      <w:r w:rsidR="00E566C0" w:rsidRPr="00205909">
        <w:rPr>
          <w:rFonts w:ascii="Garamond" w:hAnsi="Garamond" w:cs="Times New Roman"/>
          <w:sz w:val="24"/>
          <w:szCs w:val="24"/>
        </w:rPr>
        <w:t xml:space="preserve"> du droit </w:t>
      </w:r>
      <w:r w:rsidR="00083E6D" w:rsidRPr="00205909">
        <w:rPr>
          <w:rFonts w:ascii="Garamond" w:hAnsi="Garamond" w:cs="Times New Roman"/>
          <w:sz w:val="24"/>
          <w:szCs w:val="24"/>
        </w:rPr>
        <w:t>international</w:t>
      </w:r>
      <w:r w:rsidR="00E566C0" w:rsidRPr="00205909">
        <w:rPr>
          <w:rFonts w:ascii="Garamond" w:hAnsi="Garamond" w:cs="Times New Roman"/>
          <w:sz w:val="24"/>
          <w:szCs w:val="24"/>
        </w:rPr>
        <w:t>.</w:t>
      </w:r>
      <w:r w:rsidR="005B257A" w:rsidRPr="00205909">
        <w:rPr>
          <w:rFonts w:ascii="Garamond" w:hAnsi="Garamond" w:cs="Times New Roman"/>
          <w:sz w:val="24"/>
          <w:szCs w:val="24"/>
        </w:rPr>
        <w:t xml:space="preserve"> </w:t>
      </w:r>
      <w:r w:rsidR="00E566C0" w:rsidRPr="00205909">
        <w:rPr>
          <w:rFonts w:ascii="Garamond" w:hAnsi="Garamond" w:cs="Times New Roman"/>
          <w:sz w:val="24"/>
          <w:szCs w:val="24"/>
        </w:rPr>
        <w:t>Ce</w:t>
      </w:r>
      <w:r w:rsidRPr="00205909">
        <w:rPr>
          <w:rFonts w:ascii="Garamond" w:hAnsi="Garamond" w:cs="Times New Roman"/>
          <w:sz w:val="24"/>
          <w:szCs w:val="24"/>
        </w:rPr>
        <w:t>tte « technique »</w:t>
      </w:r>
      <w:r w:rsidR="00E566C0" w:rsidRPr="00205909">
        <w:rPr>
          <w:rFonts w:ascii="Garamond" w:hAnsi="Garamond" w:cs="Times New Roman"/>
          <w:sz w:val="24"/>
          <w:szCs w:val="24"/>
        </w:rPr>
        <w:t xml:space="preserve"> est cel</w:t>
      </w:r>
      <w:r w:rsidRPr="00205909">
        <w:rPr>
          <w:rFonts w:ascii="Garamond" w:hAnsi="Garamond" w:cs="Times New Roman"/>
          <w:sz w:val="24"/>
          <w:szCs w:val="24"/>
        </w:rPr>
        <w:t>le</w:t>
      </w:r>
      <w:r w:rsidR="00E566C0" w:rsidRPr="00205909">
        <w:rPr>
          <w:rFonts w:ascii="Garamond" w:hAnsi="Garamond" w:cs="Times New Roman"/>
          <w:sz w:val="24"/>
          <w:szCs w:val="24"/>
        </w:rPr>
        <w:t xml:space="preserve"> qui est l</w:t>
      </w:r>
      <w:r w:rsidRPr="00205909">
        <w:rPr>
          <w:rFonts w:ascii="Garamond" w:hAnsi="Garamond" w:cs="Times New Roman"/>
          <w:sz w:val="24"/>
          <w:szCs w:val="24"/>
        </w:rPr>
        <w:t>a</w:t>
      </w:r>
      <w:r w:rsidR="00E566C0" w:rsidRPr="00205909">
        <w:rPr>
          <w:rFonts w:ascii="Garamond" w:hAnsi="Garamond" w:cs="Times New Roman"/>
          <w:sz w:val="24"/>
          <w:szCs w:val="24"/>
        </w:rPr>
        <w:t xml:space="preserve"> plus utilisé</w:t>
      </w:r>
      <w:r w:rsidRPr="00205909">
        <w:rPr>
          <w:rFonts w:ascii="Garamond" w:hAnsi="Garamond" w:cs="Times New Roman"/>
          <w:sz w:val="24"/>
          <w:szCs w:val="24"/>
        </w:rPr>
        <w:t>e</w:t>
      </w:r>
      <w:r w:rsidR="00E566C0" w:rsidRPr="00205909">
        <w:rPr>
          <w:rFonts w:ascii="Garamond" w:hAnsi="Garamond" w:cs="Times New Roman"/>
          <w:sz w:val="24"/>
          <w:szCs w:val="24"/>
        </w:rPr>
        <w:t xml:space="preserve"> dans les conflits modernes, principalement asymétriques, depuis les années 1960.</w:t>
      </w:r>
      <w:r w:rsidRPr="00205909">
        <w:rPr>
          <w:rFonts w:ascii="Garamond" w:hAnsi="Garamond" w:cs="Times New Roman"/>
          <w:sz w:val="24"/>
          <w:szCs w:val="24"/>
        </w:rPr>
        <w:t xml:space="preserve"> </w:t>
      </w:r>
    </w:p>
    <w:p w14:paraId="394A5574" w14:textId="23BA913D" w:rsidR="005B257A" w:rsidRPr="00205909" w:rsidRDefault="00991CB2" w:rsidP="007F1788">
      <w:pPr>
        <w:widowControl w:val="0"/>
        <w:spacing w:after="0" w:line="240" w:lineRule="auto"/>
        <w:ind w:right="-1" w:firstLine="426"/>
        <w:jc w:val="both"/>
        <w:rPr>
          <w:rFonts w:ascii="Garamond" w:hAnsi="Garamond" w:cs="Times New Roman"/>
          <w:sz w:val="24"/>
          <w:szCs w:val="24"/>
        </w:rPr>
      </w:pPr>
      <w:r w:rsidRPr="00205909">
        <w:rPr>
          <w:rFonts w:ascii="Garamond" w:hAnsi="Garamond" w:cs="Times New Roman"/>
          <w:sz w:val="24"/>
          <w:szCs w:val="24"/>
        </w:rPr>
        <w:t xml:space="preserve">En revanche, le </w:t>
      </w:r>
      <w:r w:rsidR="005B215C" w:rsidRPr="00205909">
        <w:rPr>
          <w:rFonts w:ascii="Garamond" w:hAnsi="Garamond" w:cs="Times New Roman"/>
          <w:sz w:val="24"/>
          <w:szCs w:val="24"/>
        </w:rPr>
        <w:t>« </w:t>
      </w:r>
      <w:r w:rsidRPr="00205909">
        <w:rPr>
          <w:rFonts w:ascii="Garamond" w:hAnsi="Garamond" w:cs="Times New Roman"/>
          <w:sz w:val="24"/>
          <w:szCs w:val="24"/>
        </w:rPr>
        <w:t>contournement de la lutte armée</w:t>
      </w:r>
      <w:r w:rsidR="005B215C" w:rsidRPr="00205909">
        <w:rPr>
          <w:rFonts w:ascii="Garamond" w:hAnsi="Garamond" w:cs="Times New Roman"/>
          <w:sz w:val="24"/>
          <w:szCs w:val="24"/>
        </w:rPr>
        <w:t> »</w:t>
      </w:r>
      <w:r w:rsidRPr="00205909">
        <w:rPr>
          <w:rFonts w:ascii="Garamond" w:hAnsi="Garamond" w:cs="Times New Roman"/>
          <w:sz w:val="24"/>
          <w:szCs w:val="24"/>
        </w:rPr>
        <w:t xml:space="preserve"> </w:t>
      </w:r>
      <w:r w:rsidR="005B215C" w:rsidRPr="00205909">
        <w:rPr>
          <w:rFonts w:ascii="Garamond" w:hAnsi="Garamond" w:cs="Times New Roman"/>
          <w:sz w:val="24"/>
          <w:szCs w:val="24"/>
        </w:rPr>
        <w:t>et, surtout,</w:t>
      </w:r>
      <w:r w:rsidRPr="00205909">
        <w:rPr>
          <w:rFonts w:ascii="Garamond" w:hAnsi="Garamond" w:cs="Times New Roman"/>
          <w:sz w:val="24"/>
          <w:szCs w:val="24"/>
        </w:rPr>
        <w:t xml:space="preserve"> la </w:t>
      </w:r>
      <w:r w:rsidR="005B215C" w:rsidRPr="00205909">
        <w:rPr>
          <w:rFonts w:ascii="Garamond" w:hAnsi="Garamond" w:cs="Times New Roman"/>
          <w:sz w:val="24"/>
          <w:szCs w:val="24"/>
        </w:rPr>
        <w:t>« </w:t>
      </w:r>
      <w:r w:rsidRPr="00205909">
        <w:rPr>
          <w:rFonts w:ascii="Garamond" w:hAnsi="Garamond" w:cs="Times New Roman"/>
          <w:sz w:val="24"/>
          <w:szCs w:val="24"/>
        </w:rPr>
        <w:t>guerre hors limites</w:t>
      </w:r>
      <w:r w:rsidR="005B215C" w:rsidRPr="00205909">
        <w:rPr>
          <w:rFonts w:ascii="Garamond" w:hAnsi="Garamond" w:cs="Times New Roman"/>
          <w:sz w:val="24"/>
          <w:szCs w:val="24"/>
        </w:rPr>
        <w:t> »</w:t>
      </w:r>
      <w:r w:rsidRPr="00205909">
        <w:rPr>
          <w:rFonts w:ascii="Garamond" w:hAnsi="Garamond" w:cs="Times New Roman"/>
          <w:sz w:val="24"/>
          <w:szCs w:val="24"/>
        </w:rPr>
        <w:t xml:space="preserve"> chinoise renvoie</w:t>
      </w:r>
      <w:r w:rsidR="005B215C" w:rsidRPr="00205909">
        <w:rPr>
          <w:rFonts w:ascii="Garamond" w:hAnsi="Garamond" w:cs="Times New Roman"/>
          <w:sz w:val="24"/>
          <w:szCs w:val="24"/>
        </w:rPr>
        <w:t>nt</w:t>
      </w:r>
      <w:r w:rsidRPr="00205909">
        <w:rPr>
          <w:rFonts w:ascii="Garamond" w:hAnsi="Garamond" w:cs="Times New Roman"/>
          <w:sz w:val="24"/>
          <w:szCs w:val="24"/>
        </w:rPr>
        <w:t xml:space="preserve"> à une idée très différente et beaucoup plus large</w:t>
      </w:r>
      <w:r w:rsidR="007D664D" w:rsidRPr="00205909">
        <w:rPr>
          <w:rFonts w:ascii="Garamond" w:hAnsi="Garamond" w:cs="Times New Roman"/>
          <w:sz w:val="24"/>
          <w:szCs w:val="24"/>
        </w:rPr>
        <w:t>,</w:t>
      </w:r>
      <w:r w:rsidR="005B215C" w:rsidRPr="00205909">
        <w:rPr>
          <w:rFonts w:ascii="Garamond" w:hAnsi="Garamond" w:cs="Times New Roman"/>
          <w:sz w:val="24"/>
          <w:szCs w:val="24"/>
        </w:rPr>
        <w:t xml:space="preserve"> celle faisant du droit, entendu comme le droit international, un champ </w:t>
      </w:r>
      <w:r w:rsidR="005B215C" w:rsidRPr="00205909">
        <w:rPr>
          <w:rFonts w:ascii="Garamond" w:hAnsi="Garamond" w:cs="Times New Roman"/>
          <w:i/>
          <w:iCs/>
          <w:sz w:val="24"/>
          <w:szCs w:val="24"/>
        </w:rPr>
        <w:t>militaire</w:t>
      </w:r>
      <w:r w:rsidR="005B215C" w:rsidRPr="00205909">
        <w:rPr>
          <w:rFonts w:ascii="Garamond" w:hAnsi="Garamond" w:cs="Times New Roman"/>
          <w:sz w:val="24"/>
          <w:szCs w:val="24"/>
        </w:rPr>
        <w:t xml:space="preserve"> visant à</w:t>
      </w:r>
      <w:r w:rsidR="00E566C0" w:rsidRPr="00205909">
        <w:rPr>
          <w:rFonts w:ascii="Garamond" w:hAnsi="Garamond" w:cs="Times New Roman"/>
          <w:sz w:val="24"/>
          <w:szCs w:val="24"/>
        </w:rPr>
        <w:t xml:space="preserve"> </w:t>
      </w:r>
      <w:r w:rsidR="005B215C" w:rsidRPr="00205909">
        <w:rPr>
          <w:rFonts w:ascii="Garamond" w:hAnsi="Garamond" w:cs="Times New Roman"/>
          <w:sz w:val="24"/>
          <w:szCs w:val="24"/>
        </w:rPr>
        <w:t xml:space="preserve">réinterpréter les règles du droit international par une négation de l’existant et sa réécriture dans un sens servant les intérêts politiques de domination de son promoteur. C’est d’ailleurs le sens de l’action chinoise dans le champ international depuis une dizaine d’années et du « partenariat sans limite » conclu </w:t>
      </w:r>
      <w:r w:rsidR="007D664D" w:rsidRPr="00205909">
        <w:rPr>
          <w:rFonts w:ascii="Garamond" w:hAnsi="Garamond" w:cs="Times New Roman"/>
          <w:sz w:val="24"/>
          <w:szCs w:val="24"/>
        </w:rPr>
        <w:t xml:space="preserve">entre </w:t>
      </w:r>
      <w:r w:rsidR="005B215C" w:rsidRPr="00205909">
        <w:rPr>
          <w:rFonts w:ascii="Garamond" w:hAnsi="Garamond" w:cs="Times New Roman"/>
          <w:sz w:val="24"/>
          <w:szCs w:val="24"/>
        </w:rPr>
        <w:t xml:space="preserve">la Russie </w:t>
      </w:r>
      <w:r w:rsidR="007D664D" w:rsidRPr="00205909">
        <w:rPr>
          <w:rFonts w:ascii="Garamond" w:hAnsi="Garamond" w:cs="Times New Roman"/>
          <w:sz w:val="24"/>
          <w:szCs w:val="24"/>
        </w:rPr>
        <w:t xml:space="preserve">et la Chine </w:t>
      </w:r>
      <w:r w:rsidR="005B215C" w:rsidRPr="00205909">
        <w:rPr>
          <w:rFonts w:ascii="Garamond" w:hAnsi="Garamond" w:cs="Times New Roman"/>
          <w:sz w:val="24"/>
          <w:szCs w:val="24"/>
        </w:rPr>
        <w:t xml:space="preserve">en février 2022 </w:t>
      </w:r>
      <w:r w:rsidR="007D664D" w:rsidRPr="00205909">
        <w:rPr>
          <w:rFonts w:ascii="Garamond" w:hAnsi="Garamond" w:cs="Times New Roman"/>
          <w:sz w:val="24"/>
          <w:szCs w:val="24"/>
        </w:rPr>
        <w:t xml:space="preserve">et </w:t>
      </w:r>
      <w:r w:rsidR="005B215C" w:rsidRPr="00205909">
        <w:rPr>
          <w:rFonts w:ascii="Garamond" w:hAnsi="Garamond" w:cs="Times New Roman"/>
          <w:sz w:val="24"/>
          <w:szCs w:val="24"/>
        </w:rPr>
        <w:t>renforcé en 2023 où les objectifs politiques alternatifs à ceux de l’Occident sont clairement établis</w:t>
      </w:r>
      <w:r w:rsidR="005B215C" w:rsidRPr="00205909">
        <w:rPr>
          <w:rStyle w:val="Appelnotedebasdep"/>
          <w:rFonts w:ascii="Garamond" w:hAnsi="Garamond" w:cs="Times New Roman"/>
          <w:sz w:val="24"/>
          <w:szCs w:val="24"/>
        </w:rPr>
        <w:footnoteReference w:id="22"/>
      </w:r>
      <w:r w:rsidR="005B215C" w:rsidRPr="00205909">
        <w:rPr>
          <w:rFonts w:ascii="Garamond" w:hAnsi="Garamond" w:cs="Times New Roman"/>
          <w:sz w:val="24"/>
          <w:szCs w:val="24"/>
        </w:rPr>
        <w:t>.</w:t>
      </w:r>
      <w:r w:rsidR="000325D0" w:rsidRPr="00205909">
        <w:rPr>
          <w:rFonts w:ascii="Garamond" w:hAnsi="Garamond" w:cs="Times New Roman"/>
          <w:sz w:val="24"/>
          <w:szCs w:val="24"/>
        </w:rPr>
        <w:t xml:space="preserve"> Il s’agit véritablement d’une logique de </w:t>
      </w:r>
      <w:proofErr w:type="spellStart"/>
      <w:r w:rsidR="000325D0" w:rsidRPr="00205909">
        <w:rPr>
          <w:rFonts w:ascii="Garamond" w:hAnsi="Garamond" w:cs="Times New Roman"/>
          <w:i/>
          <w:iCs/>
          <w:sz w:val="24"/>
          <w:szCs w:val="24"/>
        </w:rPr>
        <w:t>political</w:t>
      </w:r>
      <w:proofErr w:type="spellEnd"/>
      <w:r w:rsidR="000325D0" w:rsidRPr="00205909">
        <w:rPr>
          <w:rFonts w:ascii="Garamond" w:hAnsi="Garamond" w:cs="Times New Roman"/>
          <w:i/>
          <w:iCs/>
          <w:sz w:val="24"/>
          <w:szCs w:val="24"/>
        </w:rPr>
        <w:t xml:space="preserve"> </w:t>
      </w:r>
      <w:proofErr w:type="spellStart"/>
      <w:r w:rsidR="007D664D" w:rsidRPr="00205909">
        <w:rPr>
          <w:rFonts w:ascii="Garamond" w:hAnsi="Garamond" w:cs="Times New Roman"/>
          <w:i/>
          <w:iCs/>
          <w:sz w:val="24"/>
          <w:szCs w:val="24"/>
        </w:rPr>
        <w:t>law</w:t>
      </w:r>
      <w:r w:rsidR="000325D0" w:rsidRPr="00205909">
        <w:rPr>
          <w:rFonts w:ascii="Garamond" w:hAnsi="Garamond" w:cs="Times New Roman"/>
          <w:i/>
          <w:iCs/>
          <w:sz w:val="24"/>
          <w:szCs w:val="24"/>
        </w:rPr>
        <w:t>fare</w:t>
      </w:r>
      <w:proofErr w:type="spellEnd"/>
      <w:r w:rsidR="006A5DF8" w:rsidRPr="00205909">
        <w:rPr>
          <w:rFonts w:ascii="Garamond" w:hAnsi="Garamond" w:cs="Times New Roman"/>
          <w:i/>
          <w:iCs/>
          <w:sz w:val="24"/>
          <w:szCs w:val="24"/>
        </w:rPr>
        <w:t>.</w:t>
      </w:r>
      <w:r w:rsidR="000325D0" w:rsidRPr="00205909">
        <w:rPr>
          <w:rFonts w:ascii="Garamond" w:hAnsi="Garamond" w:cs="Times New Roman"/>
          <w:sz w:val="24"/>
          <w:szCs w:val="24"/>
        </w:rPr>
        <w:t xml:space="preserve"> </w:t>
      </w:r>
    </w:p>
    <w:p w14:paraId="4A05AF38" w14:textId="77777777" w:rsidR="002876B2" w:rsidRPr="00205909" w:rsidRDefault="002876B2" w:rsidP="002876B2">
      <w:pPr>
        <w:pStyle w:val="numerodeparagraphe"/>
        <w:numPr>
          <w:ilvl w:val="0"/>
          <w:numId w:val="0"/>
        </w:numPr>
        <w:spacing w:before="0"/>
        <w:ind w:left="454"/>
        <w:rPr>
          <w:rFonts w:ascii="Garamond" w:hAnsi="Garamond"/>
          <w:b/>
          <w:bCs/>
          <w:sz w:val="24"/>
          <w:szCs w:val="24"/>
        </w:rPr>
      </w:pPr>
    </w:p>
    <w:p w14:paraId="0446B96B" w14:textId="2EB17837" w:rsidR="00E832F1" w:rsidRPr="00205909" w:rsidRDefault="00211211" w:rsidP="007F1788">
      <w:pPr>
        <w:pStyle w:val="numerodeparagraphe"/>
        <w:spacing w:before="0"/>
        <w:rPr>
          <w:rFonts w:ascii="Garamond" w:hAnsi="Garamond"/>
          <w:b/>
          <w:bCs/>
          <w:sz w:val="24"/>
          <w:szCs w:val="24"/>
        </w:rPr>
      </w:pPr>
      <w:r w:rsidRPr="00205909">
        <w:rPr>
          <w:rFonts w:ascii="Garamond" w:hAnsi="Garamond"/>
          <w:sz w:val="24"/>
          <w:szCs w:val="24"/>
        </w:rPr>
        <w:t xml:space="preserve">Ces </w:t>
      </w:r>
      <w:r w:rsidR="000325D0" w:rsidRPr="00205909">
        <w:rPr>
          <w:rFonts w:ascii="Garamond" w:hAnsi="Garamond"/>
          <w:sz w:val="24"/>
          <w:szCs w:val="24"/>
        </w:rPr>
        <w:t xml:space="preserve">différents </w:t>
      </w:r>
      <w:r w:rsidRPr="00205909">
        <w:rPr>
          <w:rFonts w:ascii="Garamond" w:hAnsi="Garamond"/>
          <w:sz w:val="24"/>
          <w:szCs w:val="24"/>
        </w:rPr>
        <w:t xml:space="preserve">sens du </w:t>
      </w:r>
      <w:proofErr w:type="spellStart"/>
      <w:r w:rsidR="00B05FD8" w:rsidRPr="00205909">
        <w:rPr>
          <w:rFonts w:ascii="Garamond" w:hAnsi="Garamond"/>
          <w:i/>
          <w:iCs/>
          <w:sz w:val="24"/>
          <w:szCs w:val="24"/>
        </w:rPr>
        <w:t>lawfare</w:t>
      </w:r>
      <w:proofErr w:type="spellEnd"/>
      <w:r w:rsidRPr="00205909">
        <w:rPr>
          <w:rFonts w:ascii="Garamond" w:hAnsi="Garamond"/>
          <w:sz w:val="24"/>
          <w:szCs w:val="24"/>
        </w:rPr>
        <w:t>,</w:t>
      </w:r>
      <w:r w:rsidR="00B05FD8" w:rsidRPr="00205909">
        <w:rPr>
          <w:rFonts w:ascii="Garamond" w:hAnsi="Garamond"/>
          <w:i/>
          <w:iCs/>
          <w:sz w:val="24"/>
          <w:szCs w:val="24"/>
        </w:rPr>
        <w:t xml:space="preserve"> </w:t>
      </w:r>
      <w:r w:rsidR="005B257A" w:rsidRPr="00205909">
        <w:rPr>
          <w:rFonts w:ascii="Garamond" w:hAnsi="Garamond"/>
          <w:sz w:val="24"/>
          <w:szCs w:val="24"/>
        </w:rPr>
        <w:t>instrumental</w:t>
      </w:r>
      <w:r w:rsidR="000325D0" w:rsidRPr="00205909">
        <w:rPr>
          <w:rFonts w:ascii="Garamond" w:hAnsi="Garamond"/>
          <w:sz w:val="24"/>
          <w:szCs w:val="24"/>
        </w:rPr>
        <w:t>,</w:t>
      </w:r>
      <w:r w:rsidR="005B257A" w:rsidRPr="00205909">
        <w:rPr>
          <w:rFonts w:ascii="Garamond" w:hAnsi="Garamond"/>
          <w:sz w:val="24"/>
          <w:szCs w:val="24"/>
        </w:rPr>
        <w:t xml:space="preserve"> </w:t>
      </w:r>
      <w:r w:rsidRPr="00205909">
        <w:rPr>
          <w:rFonts w:ascii="Garamond" w:hAnsi="Garamond"/>
          <w:sz w:val="24"/>
          <w:szCs w:val="24"/>
        </w:rPr>
        <w:t>de compliance</w:t>
      </w:r>
      <w:r w:rsidR="000325D0" w:rsidRPr="00205909">
        <w:rPr>
          <w:rFonts w:ascii="Garamond" w:hAnsi="Garamond"/>
          <w:sz w:val="24"/>
          <w:szCs w:val="24"/>
        </w:rPr>
        <w:t xml:space="preserve"> et politique</w:t>
      </w:r>
      <w:r w:rsidR="00B05FD8" w:rsidRPr="00205909">
        <w:rPr>
          <w:rFonts w:ascii="Garamond" w:hAnsi="Garamond"/>
          <w:sz w:val="24"/>
          <w:szCs w:val="24"/>
        </w:rPr>
        <w:t xml:space="preserve">, </w:t>
      </w:r>
      <w:r w:rsidRPr="00205909">
        <w:rPr>
          <w:rFonts w:ascii="Garamond" w:hAnsi="Garamond"/>
          <w:sz w:val="24"/>
          <w:szCs w:val="24"/>
        </w:rPr>
        <w:t xml:space="preserve">sont devenus des </w:t>
      </w:r>
      <w:r w:rsidR="00B05FD8" w:rsidRPr="00205909">
        <w:rPr>
          <w:rFonts w:ascii="Garamond" w:hAnsi="Garamond"/>
          <w:sz w:val="24"/>
          <w:szCs w:val="24"/>
        </w:rPr>
        <w:t>technique</w:t>
      </w:r>
      <w:r w:rsidRPr="00205909">
        <w:rPr>
          <w:rFonts w:ascii="Garamond" w:hAnsi="Garamond"/>
          <w:sz w:val="24"/>
          <w:szCs w:val="24"/>
        </w:rPr>
        <w:t>s</w:t>
      </w:r>
      <w:r w:rsidR="00B05FD8" w:rsidRPr="00205909">
        <w:rPr>
          <w:rFonts w:ascii="Garamond" w:hAnsi="Garamond"/>
          <w:sz w:val="24"/>
          <w:szCs w:val="24"/>
        </w:rPr>
        <w:t xml:space="preserve"> ordinaire</w:t>
      </w:r>
      <w:r w:rsidRPr="00205909">
        <w:rPr>
          <w:rFonts w:ascii="Garamond" w:hAnsi="Garamond"/>
          <w:sz w:val="24"/>
          <w:szCs w:val="24"/>
        </w:rPr>
        <w:t>s</w:t>
      </w:r>
      <w:r w:rsidR="00B05FD8" w:rsidRPr="00205909">
        <w:rPr>
          <w:rFonts w:ascii="Garamond" w:hAnsi="Garamond"/>
          <w:sz w:val="24"/>
          <w:szCs w:val="24"/>
        </w:rPr>
        <w:t xml:space="preserve"> d</w:t>
      </w:r>
      <w:r w:rsidR="00E31778" w:rsidRPr="00205909">
        <w:rPr>
          <w:rFonts w:ascii="Garamond" w:hAnsi="Garamond"/>
          <w:sz w:val="24"/>
          <w:szCs w:val="24"/>
        </w:rPr>
        <w:t>u</w:t>
      </w:r>
      <w:r w:rsidR="00B05FD8" w:rsidRPr="00205909">
        <w:rPr>
          <w:rFonts w:ascii="Garamond" w:hAnsi="Garamond"/>
          <w:sz w:val="24"/>
          <w:szCs w:val="24"/>
        </w:rPr>
        <w:t xml:space="preserve"> droit des </w:t>
      </w:r>
      <w:r w:rsidR="00475E36" w:rsidRPr="00205909">
        <w:rPr>
          <w:rFonts w:ascii="Garamond" w:hAnsi="Garamond"/>
          <w:i/>
          <w:iCs/>
          <w:sz w:val="24"/>
          <w:szCs w:val="24"/>
        </w:rPr>
        <w:t xml:space="preserve">conflits, </w:t>
      </w:r>
      <w:r w:rsidR="00475E36" w:rsidRPr="00205909">
        <w:rPr>
          <w:rFonts w:ascii="Garamond" w:hAnsi="Garamond"/>
          <w:sz w:val="24"/>
          <w:szCs w:val="24"/>
        </w:rPr>
        <w:t>que ces conflits soient interétatiques, interentreprises, mixte</w:t>
      </w:r>
      <w:r w:rsidR="005B257A" w:rsidRPr="00205909">
        <w:rPr>
          <w:rFonts w:ascii="Garamond" w:hAnsi="Garamond"/>
          <w:sz w:val="24"/>
          <w:szCs w:val="24"/>
        </w:rPr>
        <w:t>s</w:t>
      </w:r>
      <w:r w:rsidR="00475E36" w:rsidRPr="00205909">
        <w:rPr>
          <w:rFonts w:ascii="Garamond" w:hAnsi="Garamond"/>
          <w:sz w:val="24"/>
          <w:szCs w:val="24"/>
        </w:rPr>
        <w:t>, armés ou non armés, d’</w:t>
      </w:r>
      <w:r w:rsidR="00B05FD8" w:rsidRPr="00205909">
        <w:rPr>
          <w:rFonts w:ascii="Garamond" w:hAnsi="Garamond"/>
          <w:sz w:val="24"/>
          <w:szCs w:val="24"/>
        </w:rPr>
        <w:t xml:space="preserve">affaires, notamment internationales. </w:t>
      </w:r>
      <w:r w:rsidR="000325D0" w:rsidRPr="00205909">
        <w:rPr>
          <w:rFonts w:ascii="Garamond" w:hAnsi="Garamond"/>
          <w:sz w:val="24"/>
          <w:szCs w:val="24"/>
        </w:rPr>
        <w:t xml:space="preserve">Tous renvoient à l’idée d’une situation de contestation, voire d’affrontement où il s’agit de nuire à un « ennemi » identifié mais non déclaré en vue de lui porter des coups, l’affaiblir et, dans le même temps, obtenir des gains stratégiques ou tactiques, </w:t>
      </w:r>
      <w:r w:rsidR="00D13758" w:rsidRPr="00205909">
        <w:rPr>
          <w:rFonts w:ascii="Garamond" w:hAnsi="Garamond"/>
          <w:sz w:val="24"/>
          <w:szCs w:val="24"/>
        </w:rPr>
        <w:t xml:space="preserve">publics ou privés, </w:t>
      </w:r>
      <w:r w:rsidR="000325D0" w:rsidRPr="00205909">
        <w:rPr>
          <w:rFonts w:ascii="Garamond" w:hAnsi="Garamond"/>
          <w:sz w:val="24"/>
          <w:szCs w:val="24"/>
        </w:rPr>
        <w:t>mais sans que ces termes ou résultats soient clairement exposés, précisément parce qu’alternatifs à des formes militaires de guerre, très visibles au contraire.</w:t>
      </w:r>
    </w:p>
    <w:p w14:paraId="1434C4B0" w14:textId="0E27AA4F" w:rsidR="00E832F1" w:rsidRPr="00205909" w:rsidRDefault="00397647" w:rsidP="007F1788">
      <w:pPr>
        <w:pStyle w:val="numerodeparagraphe"/>
        <w:numPr>
          <w:ilvl w:val="0"/>
          <w:numId w:val="0"/>
        </w:numPr>
        <w:spacing w:before="0"/>
        <w:ind w:firstLine="454"/>
        <w:rPr>
          <w:rFonts w:ascii="Garamond" w:hAnsi="Garamond"/>
          <w:b/>
          <w:bCs/>
          <w:sz w:val="24"/>
          <w:szCs w:val="24"/>
        </w:rPr>
      </w:pPr>
      <w:r w:rsidRPr="00205909">
        <w:rPr>
          <w:rFonts w:ascii="Garamond" w:hAnsi="Garamond"/>
          <w:sz w:val="24"/>
          <w:szCs w:val="24"/>
        </w:rPr>
        <w:t xml:space="preserve">A ce stade, l’association entre </w:t>
      </w:r>
      <w:proofErr w:type="spellStart"/>
      <w:r w:rsidRPr="00205909">
        <w:rPr>
          <w:rFonts w:ascii="Garamond" w:hAnsi="Garamond"/>
          <w:i/>
          <w:iCs/>
          <w:sz w:val="24"/>
          <w:szCs w:val="24"/>
        </w:rPr>
        <w:t>lawfare</w:t>
      </w:r>
      <w:proofErr w:type="spellEnd"/>
      <w:r w:rsidRPr="00205909">
        <w:rPr>
          <w:rFonts w:ascii="Garamond" w:hAnsi="Garamond"/>
          <w:i/>
          <w:iCs/>
          <w:sz w:val="24"/>
          <w:szCs w:val="24"/>
        </w:rPr>
        <w:t xml:space="preserve"> </w:t>
      </w:r>
      <w:r w:rsidRPr="00205909">
        <w:rPr>
          <w:rFonts w:ascii="Garamond" w:hAnsi="Garamond"/>
          <w:sz w:val="24"/>
          <w:szCs w:val="24"/>
        </w:rPr>
        <w:t>et conflits armés est trop réductrice. Il ne fait pas de doute que le terme, le concept, les études sont d’abord issues de la doctrine militaire et de stratégistes. En revanche, et comme déjà exposé</w:t>
      </w:r>
      <w:r w:rsidRPr="00205909">
        <w:rPr>
          <w:rStyle w:val="Appelnotedebasdep"/>
          <w:rFonts w:ascii="Garamond" w:hAnsi="Garamond"/>
          <w:sz w:val="24"/>
          <w:szCs w:val="24"/>
        </w:rPr>
        <w:footnoteReference w:id="23"/>
      </w:r>
      <w:r w:rsidR="006C5673" w:rsidRPr="00205909">
        <w:rPr>
          <w:rFonts w:ascii="Garamond" w:hAnsi="Garamond"/>
          <w:sz w:val="24"/>
          <w:szCs w:val="24"/>
        </w:rPr>
        <w:t xml:space="preserve">, réduire la « guerre » aux conflits armés ne rend pas compte des évolutions </w:t>
      </w:r>
      <w:r w:rsidR="00D13758" w:rsidRPr="00205909">
        <w:rPr>
          <w:rFonts w:ascii="Garamond" w:hAnsi="Garamond"/>
          <w:sz w:val="24"/>
          <w:szCs w:val="24"/>
        </w:rPr>
        <w:t xml:space="preserve">contemporaines </w:t>
      </w:r>
      <w:r w:rsidR="006C5673" w:rsidRPr="00205909">
        <w:rPr>
          <w:rFonts w:ascii="Garamond" w:hAnsi="Garamond"/>
          <w:sz w:val="24"/>
          <w:szCs w:val="24"/>
        </w:rPr>
        <w:t xml:space="preserve">des </w:t>
      </w:r>
      <w:r w:rsidR="00D13758" w:rsidRPr="00205909">
        <w:rPr>
          <w:rFonts w:ascii="Garamond" w:hAnsi="Garamond"/>
          <w:sz w:val="24"/>
          <w:szCs w:val="24"/>
        </w:rPr>
        <w:t xml:space="preserve">nouvelles formes </w:t>
      </w:r>
      <w:r w:rsidR="006C5673" w:rsidRPr="00205909">
        <w:rPr>
          <w:rFonts w:ascii="Garamond" w:hAnsi="Garamond"/>
          <w:sz w:val="24"/>
          <w:szCs w:val="24"/>
        </w:rPr>
        <w:t>de conflictualité</w:t>
      </w:r>
      <w:r w:rsidR="00D13758" w:rsidRPr="00205909">
        <w:rPr>
          <w:rFonts w:ascii="Garamond" w:hAnsi="Garamond"/>
          <w:sz w:val="24"/>
          <w:szCs w:val="24"/>
        </w:rPr>
        <w:t xml:space="preserve">, </w:t>
      </w:r>
      <w:r w:rsidR="006C5673" w:rsidRPr="00205909">
        <w:rPr>
          <w:rFonts w:ascii="Garamond" w:hAnsi="Garamond"/>
          <w:sz w:val="24"/>
          <w:szCs w:val="24"/>
        </w:rPr>
        <w:t>lorsque les intérêts supérieur</w:t>
      </w:r>
      <w:r w:rsidR="00EB3B2D" w:rsidRPr="00205909">
        <w:rPr>
          <w:rFonts w:ascii="Garamond" w:hAnsi="Garamond"/>
          <w:sz w:val="24"/>
          <w:szCs w:val="24"/>
        </w:rPr>
        <w:t>s</w:t>
      </w:r>
      <w:r w:rsidR="006C5673" w:rsidRPr="00205909">
        <w:rPr>
          <w:rFonts w:ascii="Garamond" w:hAnsi="Garamond"/>
          <w:sz w:val="24"/>
          <w:szCs w:val="24"/>
        </w:rPr>
        <w:t xml:space="preserve"> d’au moins un Etat sont en jeu</w:t>
      </w:r>
      <w:r w:rsidR="00EB3B2D" w:rsidRPr="00205909">
        <w:rPr>
          <w:rFonts w:ascii="Garamond" w:hAnsi="Garamond"/>
          <w:sz w:val="24"/>
          <w:szCs w:val="24"/>
        </w:rPr>
        <w:t xml:space="preserve">, une « ambiance de guerre ». </w:t>
      </w:r>
      <w:r w:rsidR="00E832F1" w:rsidRPr="00205909">
        <w:rPr>
          <w:rFonts w:ascii="Garamond" w:hAnsi="Garamond"/>
          <w:sz w:val="24"/>
          <w:szCs w:val="24"/>
        </w:rPr>
        <w:t xml:space="preserve">Dans cette conception extensive, </w:t>
      </w:r>
      <w:r w:rsidR="00D66B6E" w:rsidRPr="00205909">
        <w:rPr>
          <w:rFonts w:ascii="Garamond" w:hAnsi="Garamond"/>
          <w:sz w:val="24"/>
          <w:szCs w:val="24"/>
        </w:rPr>
        <w:t xml:space="preserve">la logique de </w:t>
      </w:r>
      <w:proofErr w:type="spellStart"/>
      <w:r w:rsidR="00D66B6E" w:rsidRPr="00205909">
        <w:rPr>
          <w:rFonts w:ascii="Garamond" w:hAnsi="Garamond"/>
          <w:i/>
          <w:iCs/>
          <w:sz w:val="24"/>
          <w:szCs w:val="24"/>
        </w:rPr>
        <w:t>lawfare</w:t>
      </w:r>
      <w:proofErr w:type="spellEnd"/>
      <w:r w:rsidR="00D66B6E" w:rsidRPr="00205909">
        <w:rPr>
          <w:rFonts w:ascii="Garamond" w:hAnsi="Garamond"/>
          <w:i/>
          <w:iCs/>
          <w:sz w:val="24"/>
          <w:szCs w:val="24"/>
        </w:rPr>
        <w:t xml:space="preserve"> </w:t>
      </w:r>
      <w:r w:rsidR="00D66B6E" w:rsidRPr="00205909">
        <w:rPr>
          <w:rFonts w:ascii="Garamond" w:hAnsi="Garamond"/>
          <w:sz w:val="24"/>
          <w:szCs w:val="24"/>
        </w:rPr>
        <w:t xml:space="preserve">prend toute sa place et rend </w:t>
      </w:r>
      <w:r w:rsidR="00FA7E6E" w:rsidRPr="00205909">
        <w:rPr>
          <w:rFonts w:ascii="Garamond" w:hAnsi="Garamond"/>
          <w:sz w:val="24"/>
          <w:szCs w:val="24"/>
        </w:rPr>
        <w:t>peut-être</w:t>
      </w:r>
      <w:r w:rsidR="00D66B6E" w:rsidRPr="00205909">
        <w:rPr>
          <w:rFonts w:ascii="Garamond" w:hAnsi="Garamond"/>
          <w:sz w:val="24"/>
          <w:szCs w:val="24"/>
        </w:rPr>
        <w:t xml:space="preserve"> mieux compte de ses dimensions que dans le strict cadre des conflits armés.</w:t>
      </w:r>
    </w:p>
    <w:p w14:paraId="7B5B01B9" w14:textId="77777777" w:rsidR="002876B2" w:rsidRPr="00205909" w:rsidRDefault="002876B2" w:rsidP="002876B2">
      <w:pPr>
        <w:pStyle w:val="numerodeparagraphe"/>
        <w:numPr>
          <w:ilvl w:val="0"/>
          <w:numId w:val="0"/>
        </w:numPr>
        <w:spacing w:before="0"/>
        <w:ind w:left="454"/>
        <w:rPr>
          <w:rFonts w:ascii="Garamond" w:hAnsi="Garamond"/>
          <w:b/>
          <w:bCs/>
          <w:sz w:val="24"/>
          <w:szCs w:val="24"/>
        </w:rPr>
      </w:pPr>
    </w:p>
    <w:p w14:paraId="2415A5B7" w14:textId="00DA84C2" w:rsidR="00A25C54" w:rsidRPr="00205909" w:rsidRDefault="008D1DD9" w:rsidP="007F1788">
      <w:pPr>
        <w:pStyle w:val="numerodeparagraphe"/>
        <w:spacing w:before="0"/>
        <w:rPr>
          <w:rFonts w:ascii="Garamond" w:hAnsi="Garamond"/>
          <w:b/>
          <w:bCs/>
          <w:sz w:val="24"/>
          <w:szCs w:val="24"/>
        </w:rPr>
      </w:pPr>
      <w:r w:rsidRPr="00205909">
        <w:rPr>
          <w:rFonts w:ascii="Garamond" w:hAnsi="Garamond"/>
          <w:sz w:val="24"/>
          <w:szCs w:val="24"/>
        </w:rPr>
        <w:t xml:space="preserve">Si, en effet, le </w:t>
      </w:r>
      <w:r w:rsidRPr="00205909">
        <w:rPr>
          <w:rFonts w:ascii="Garamond" w:hAnsi="Garamond"/>
          <w:i/>
          <w:iCs/>
          <w:sz w:val="24"/>
          <w:szCs w:val="24"/>
        </w:rPr>
        <w:t xml:space="preserve">lawfare </w:t>
      </w:r>
      <w:r w:rsidRPr="00205909">
        <w:rPr>
          <w:rFonts w:ascii="Garamond" w:hAnsi="Garamond"/>
          <w:sz w:val="24"/>
          <w:szCs w:val="24"/>
        </w:rPr>
        <w:t xml:space="preserve">est une guerre du sens des normes dans un contexte de conflit </w:t>
      </w:r>
      <w:r w:rsidR="001176F8">
        <w:rPr>
          <w:rFonts w:ascii="Garamond" w:hAnsi="Garamond"/>
          <w:sz w:val="24"/>
          <w:szCs w:val="24"/>
        </w:rPr>
        <w:t>impliquant les intérêts supérieurs d’un Etat</w:t>
      </w:r>
      <w:r w:rsidRPr="00205909">
        <w:rPr>
          <w:rFonts w:ascii="Garamond" w:hAnsi="Garamond"/>
          <w:sz w:val="24"/>
          <w:szCs w:val="24"/>
        </w:rPr>
        <w:t>, il n’y a aucune raison de confiner ce concept aux seules relations interétatiques. D</w:t>
      </w:r>
      <w:r w:rsidR="00A25C54" w:rsidRPr="00205909">
        <w:rPr>
          <w:rFonts w:ascii="Garamond" w:hAnsi="Garamond"/>
          <w:sz w:val="24"/>
          <w:szCs w:val="24"/>
        </w:rPr>
        <w:t>e nombreuses entreprises</w:t>
      </w:r>
      <w:r w:rsidR="00762915" w:rsidRPr="00205909">
        <w:rPr>
          <w:rFonts w:ascii="Garamond" w:hAnsi="Garamond"/>
          <w:sz w:val="24"/>
          <w:szCs w:val="24"/>
        </w:rPr>
        <w:t>,</w:t>
      </w:r>
      <w:r w:rsidR="00A25C54" w:rsidRPr="00205909">
        <w:rPr>
          <w:rFonts w:ascii="Garamond" w:hAnsi="Garamond"/>
          <w:sz w:val="24"/>
          <w:szCs w:val="24"/>
        </w:rPr>
        <w:t xml:space="preserve"> </w:t>
      </w:r>
      <w:r w:rsidRPr="00205909">
        <w:rPr>
          <w:rFonts w:ascii="Garamond" w:hAnsi="Garamond"/>
          <w:sz w:val="24"/>
          <w:szCs w:val="24"/>
        </w:rPr>
        <w:t xml:space="preserve">et plus largement </w:t>
      </w:r>
      <w:r w:rsidR="00C060EF" w:rsidRPr="00205909">
        <w:rPr>
          <w:rFonts w:ascii="Garamond" w:hAnsi="Garamond"/>
          <w:sz w:val="24"/>
          <w:szCs w:val="24"/>
        </w:rPr>
        <w:t xml:space="preserve">des </w:t>
      </w:r>
      <w:r w:rsidRPr="00205909">
        <w:rPr>
          <w:rFonts w:ascii="Garamond" w:hAnsi="Garamond"/>
          <w:sz w:val="24"/>
          <w:szCs w:val="24"/>
        </w:rPr>
        <w:t>entité</w:t>
      </w:r>
      <w:r w:rsidR="00C060EF" w:rsidRPr="00205909">
        <w:rPr>
          <w:rFonts w:ascii="Garamond" w:hAnsi="Garamond"/>
          <w:sz w:val="24"/>
          <w:szCs w:val="24"/>
        </w:rPr>
        <w:t>s</w:t>
      </w:r>
      <w:r w:rsidRPr="00205909">
        <w:rPr>
          <w:rFonts w:ascii="Garamond" w:hAnsi="Garamond"/>
          <w:sz w:val="24"/>
          <w:szCs w:val="24"/>
        </w:rPr>
        <w:t xml:space="preserve"> privées de nature diverse</w:t>
      </w:r>
      <w:r w:rsidR="00C060EF" w:rsidRPr="00205909">
        <w:rPr>
          <w:rFonts w:ascii="Garamond" w:hAnsi="Garamond"/>
          <w:sz w:val="24"/>
          <w:szCs w:val="24"/>
        </w:rPr>
        <w:t xml:space="preserve"> (ONG, Sociétés militaires privées, sociétés criminelles, </w:t>
      </w:r>
      <w:r w:rsidR="006A5DF8" w:rsidRPr="00205909">
        <w:rPr>
          <w:rFonts w:ascii="Garamond" w:hAnsi="Garamond"/>
          <w:sz w:val="24"/>
          <w:szCs w:val="24"/>
        </w:rPr>
        <w:t>etc.</w:t>
      </w:r>
      <w:r w:rsidR="00C060EF" w:rsidRPr="00205909">
        <w:rPr>
          <w:rFonts w:ascii="Garamond" w:hAnsi="Garamond"/>
          <w:sz w:val="24"/>
          <w:szCs w:val="24"/>
        </w:rPr>
        <w:t>)</w:t>
      </w:r>
      <w:r w:rsidRPr="00205909">
        <w:rPr>
          <w:rFonts w:ascii="Garamond" w:hAnsi="Garamond"/>
          <w:sz w:val="24"/>
          <w:szCs w:val="24"/>
        </w:rPr>
        <w:t xml:space="preserve">, </w:t>
      </w:r>
      <w:r w:rsidR="00A25C54" w:rsidRPr="00205909">
        <w:rPr>
          <w:rFonts w:ascii="Garamond" w:hAnsi="Garamond"/>
          <w:sz w:val="24"/>
          <w:szCs w:val="24"/>
        </w:rPr>
        <w:t xml:space="preserve">sont internationales, et parfois transnationales, au sens où elles dépasseraient des contingences souveraines, atteignant des tailles et opérant sur des enjeux qui égalent voire surplombent parfois ceux de certains Etats, où certains de leurs dirigeants sont traités et reçus comme des chefs d’Etat, sont invités dans des conférences interétatiques, bref, sont en mesure de disposer d’objectifs politiques, d’élaborer des stratégies pour les réaliser, et d’user de moyens tactiques divers pour contourner les obstacles se dressant devant eux. </w:t>
      </w:r>
    </w:p>
    <w:p w14:paraId="71E1D872" w14:textId="2B074B3E" w:rsidR="006A5DF8" w:rsidRPr="00205909" w:rsidRDefault="00A25C54" w:rsidP="007F1788">
      <w:pPr>
        <w:widowControl w:val="0"/>
        <w:spacing w:after="0" w:line="240" w:lineRule="auto"/>
        <w:ind w:right="-1" w:firstLine="454"/>
        <w:jc w:val="both"/>
        <w:rPr>
          <w:rFonts w:ascii="Garamond" w:hAnsi="Garamond" w:cs="Times New Roman"/>
          <w:sz w:val="24"/>
          <w:szCs w:val="24"/>
        </w:rPr>
      </w:pPr>
      <w:r w:rsidRPr="00205909">
        <w:rPr>
          <w:rFonts w:ascii="Garamond" w:hAnsi="Garamond" w:cs="Times New Roman"/>
          <w:sz w:val="24"/>
          <w:szCs w:val="24"/>
        </w:rPr>
        <w:t>Ces entreprises transnationales</w:t>
      </w:r>
      <w:r w:rsidR="006A5DF8" w:rsidRPr="00205909">
        <w:rPr>
          <w:rFonts w:ascii="Garamond" w:hAnsi="Garamond" w:cs="Times New Roman"/>
          <w:sz w:val="24"/>
          <w:szCs w:val="24"/>
        </w:rPr>
        <w:t>, pour prendre cet exemple,</w:t>
      </w:r>
      <w:r w:rsidRPr="00205909">
        <w:rPr>
          <w:rFonts w:ascii="Garamond" w:hAnsi="Garamond" w:cs="Times New Roman"/>
          <w:sz w:val="24"/>
          <w:szCs w:val="24"/>
        </w:rPr>
        <w:t xml:space="preserve"> sont alors confrontées à des problématiques, dans la « conduite de leurs opérations » qui ressemble</w:t>
      </w:r>
      <w:r w:rsidR="005B257A" w:rsidRPr="00205909">
        <w:rPr>
          <w:rFonts w:ascii="Garamond" w:hAnsi="Garamond" w:cs="Times New Roman"/>
          <w:sz w:val="24"/>
          <w:szCs w:val="24"/>
        </w:rPr>
        <w:t>nt</w:t>
      </w:r>
      <w:r w:rsidRPr="00205909">
        <w:rPr>
          <w:rFonts w:ascii="Garamond" w:hAnsi="Garamond" w:cs="Times New Roman"/>
          <w:sz w:val="24"/>
          <w:szCs w:val="24"/>
        </w:rPr>
        <w:t xml:space="preserve"> à celles qui pourraient être dressés contre des Etats. A ce stade, ce constat n’est pas apprécié en termes axiologiques mais factuel</w:t>
      </w:r>
      <w:r w:rsidR="00D13758" w:rsidRPr="00205909">
        <w:rPr>
          <w:rFonts w:ascii="Garamond" w:hAnsi="Garamond" w:cs="Times New Roman"/>
          <w:sz w:val="24"/>
          <w:szCs w:val="24"/>
        </w:rPr>
        <w:t>s</w:t>
      </w:r>
      <w:r w:rsidRPr="00205909">
        <w:rPr>
          <w:rFonts w:ascii="Garamond" w:hAnsi="Garamond" w:cs="Times New Roman"/>
          <w:sz w:val="24"/>
          <w:szCs w:val="24"/>
        </w:rPr>
        <w:t xml:space="preserve"> : le nouvel ordre international depuis 1945, révisé après la chute de l’URSS, tolère parfaitement que des entités privées, que ce soient des entreprises, dans les secteurs industriels, financiers, numériques, de la distribution, etc., ou des « non-entreprises », comme certaines associations et ONG, entre</w:t>
      </w:r>
      <w:r w:rsidR="005B257A" w:rsidRPr="00205909">
        <w:rPr>
          <w:rFonts w:ascii="Garamond" w:hAnsi="Garamond" w:cs="Times New Roman"/>
          <w:sz w:val="24"/>
          <w:szCs w:val="24"/>
        </w:rPr>
        <w:t>nt</w:t>
      </w:r>
      <w:r w:rsidRPr="00205909">
        <w:rPr>
          <w:rFonts w:ascii="Garamond" w:hAnsi="Garamond" w:cs="Times New Roman"/>
          <w:sz w:val="24"/>
          <w:szCs w:val="24"/>
        </w:rPr>
        <w:t xml:space="preserve"> en concurrence avec des Etats qui, d’ailleurs, leur ont délégué</w:t>
      </w:r>
      <w:r w:rsidR="005B257A" w:rsidRPr="00205909">
        <w:rPr>
          <w:rFonts w:ascii="Garamond" w:hAnsi="Garamond" w:cs="Times New Roman"/>
          <w:sz w:val="24"/>
          <w:szCs w:val="24"/>
        </w:rPr>
        <w:t>s</w:t>
      </w:r>
      <w:r w:rsidRPr="00205909">
        <w:rPr>
          <w:rFonts w:ascii="Garamond" w:hAnsi="Garamond" w:cs="Times New Roman"/>
          <w:sz w:val="24"/>
          <w:szCs w:val="24"/>
        </w:rPr>
        <w:t xml:space="preserve"> certains de leurs pouvoirs. Où avant 1939, des entités privées étaient en mesure de concurrencer certaines activités d’</w:t>
      </w:r>
      <w:r w:rsidRPr="00205909">
        <w:rPr>
          <w:rFonts w:ascii="Garamond" w:hAnsi="Garamond" w:cs="Times New Roman"/>
          <w:i/>
          <w:iCs/>
          <w:sz w:val="24"/>
          <w:szCs w:val="24"/>
        </w:rPr>
        <w:t xml:space="preserve">un </w:t>
      </w:r>
      <w:r w:rsidRPr="00205909">
        <w:rPr>
          <w:rFonts w:ascii="Garamond" w:hAnsi="Garamond" w:cs="Times New Roman"/>
          <w:sz w:val="24"/>
          <w:szCs w:val="24"/>
        </w:rPr>
        <w:t>Etat, susceptibles d’être contr</w:t>
      </w:r>
      <w:r w:rsidR="006A5DF8" w:rsidRPr="00205909">
        <w:rPr>
          <w:rFonts w:ascii="Garamond" w:hAnsi="Garamond" w:cs="Times New Roman"/>
          <w:sz w:val="24"/>
          <w:szCs w:val="24"/>
        </w:rPr>
        <w:t>ées</w:t>
      </w:r>
      <w:r w:rsidRPr="00205909">
        <w:rPr>
          <w:rFonts w:ascii="Garamond" w:hAnsi="Garamond" w:cs="Times New Roman"/>
          <w:sz w:val="24"/>
          <w:szCs w:val="24"/>
        </w:rPr>
        <w:t xml:space="preserve"> par une nationalisation, désormais cette concurrence </w:t>
      </w:r>
      <w:r w:rsidRPr="00205909">
        <w:rPr>
          <w:rFonts w:ascii="Garamond" w:hAnsi="Garamond" w:cs="Times New Roman"/>
          <w:i/>
          <w:iCs/>
          <w:sz w:val="24"/>
          <w:szCs w:val="24"/>
        </w:rPr>
        <w:t>de tous les Etats</w:t>
      </w:r>
      <w:r w:rsidRPr="00205909">
        <w:rPr>
          <w:rFonts w:ascii="Garamond" w:hAnsi="Garamond" w:cs="Times New Roman"/>
          <w:sz w:val="24"/>
          <w:szCs w:val="24"/>
        </w:rPr>
        <w:t xml:space="preserve"> </w:t>
      </w:r>
      <w:r w:rsidR="00D13758" w:rsidRPr="00205909">
        <w:rPr>
          <w:rFonts w:ascii="Garamond" w:hAnsi="Garamond" w:cs="Times New Roman"/>
          <w:sz w:val="24"/>
          <w:szCs w:val="24"/>
        </w:rPr>
        <w:t xml:space="preserve">voire de </w:t>
      </w:r>
      <w:r w:rsidR="00D13758" w:rsidRPr="00205909">
        <w:rPr>
          <w:rFonts w:ascii="Garamond" w:hAnsi="Garamond" w:cs="Times New Roman"/>
          <w:i/>
          <w:iCs/>
          <w:sz w:val="24"/>
          <w:szCs w:val="24"/>
        </w:rPr>
        <w:t xml:space="preserve">toutes les entreprises de tous les Etats </w:t>
      </w:r>
      <w:r w:rsidRPr="00205909">
        <w:rPr>
          <w:rFonts w:ascii="Garamond" w:hAnsi="Garamond" w:cs="Times New Roman"/>
          <w:sz w:val="24"/>
          <w:szCs w:val="24"/>
        </w:rPr>
        <w:t xml:space="preserve">s’exerce au niveau international et ce sans même évoquer, le secteur plus gris, voire franchement sombre, des sociétés militaires privées, des sociétés criminelles, mafieuses, </w:t>
      </w:r>
      <w:r w:rsidR="006A5DF8" w:rsidRPr="00205909">
        <w:rPr>
          <w:rFonts w:ascii="Garamond" w:hAnsi="Garamond" w:cs="Times New Roman"/>
          <w:sz w:val="24"/>
          <w:szCs w:val="24"/>
        </w:rPr>
        <w:t xml:space="preserve">terroristes, </w:t>
      </w:r>
      <w:r w:rsidRPr="00205909">
        <w:rPr>
          <w:rFonts w:ascii="Garamond" w:hAnsi="Garamond" w:cs="Times New Roman"/>
          <w:sz w:val="24"/>
          <w:szCs w:val="24"/>
        </w:rPr>
        <w:t>etc., sans que l’on ne voit très bien comment un ou des Etats pourraient contrer efficacement</w:t>
      </w:r>
      <w:r w:rsidR="00D13758" w:rsidRPr="00205909">
        <w:rPr>
          <w:rFonts w:ascii="Garamond" w:hAnsi="Garamond" w:cs="Times New Roman"/>
          <w:sz w:val="24"/>
          <w:szCs w:val="24"/>
        </w:rPr>
        <w:t xml:space="preserve"> l’</w:t>
      </w:r>
      <w:r w:rsidRPr="00205909">
        <w:rPr>
          <w:rFonts w:ascii="Garamond" w:hAnsi="Garamond" w:cs="Times New Roman"/>
          <w:sz w:val="24"/>
          <w:szCs w:val="24"/>
        </w:rPr>
        <w:t xml:space="preserve">expansion. </w:t>
      </w:r>
    </w:p>
    <w:p w14:paraId="4F71762A" w14:textId="77777777" w:rsidR="002876B2" w:rsidRPr="00205909" w:rsidRDefault="002876B2" w:rsidP="002876B2">
      <w:pPr>
        <w:pStyle w:val="numerodeparagraphe"/>
        <w:numPr>
          <w:ilvl w:val="0"/>
          <w:numId w:val="0"/>
        </w:numPr>
        <w:spacing w:before="0"/>
        <w:ind w:left="454"/>
        <w:rPr>
          <w:rFonts w:ascii="Garamond" w:hAnsi="Garamond"/>
          <w:b/>
          <w:bCs/>
          <w:sz w:val="24"/>
          <w:szCs w:val="24"/>
        </w:rPr>
      </w:pPr>
    </w:p>
    <w:p w14:paraId="522A9CC1" w14:textId="3680AEAE" w:rsidR="00FC11B3" w:rsidRPr="00205909" w:rsidRDefault="007159C0" w:rsidP="004C1592">
      <w:pPr>
        <w:pStyle w:val="numerodeparagraphe"/>
        <w:spacing w:before="0"/>
        <w:ind w:right="-1"/>
        <w:rPr>
          <w:rFonts w:ascii="Garamond" w:hAnsi="Garamond"/>
          <w:sz w:val="24"/>
          <w:szCs w:val="24"/>
        </w:rPr>
      </w:pPr>
      <w:r w:rsidRPr="00205909">
        <w:rPr>
          <w:rFonts w:ascii="Garamond" w:hAnsi="Garamond"/>
          <w:sz w:val="24"/>
          <w:szCs w:val="24"/>
        </w:rPr>
        <w:t xml:space="preserve">Pour cette raison, </w:t>
      </w:r>
      <w:r w:rsidR="00A72153" w:rsidRPr="00205909">
        <w:rPr>
          <w:rFonts w:ascii="Garamond" w:hAnsi="Garamond"/>
          <w:sz w:val="24"/>
          <w:szCs w:val="24"/>
        </w:rPr>
        <w:t xml:space="preserve">la notion de </w:t>
      </w:r>
      <w:r w:rsidR="00A72153" w:rsidRPr="00205909">
        <w:rPr>
          <w:rFonts w:ascii="Garamond" w:hAnsi="Garamond"/>
          <w:i/>
          <w:iCs/>
          <w:sz w:val="24"/>
          <w:szCs w:val="24"/>
        </w:rPr>
        <w:t xml:space="preserve">lawfare </w:t>
      </w:r>
      <w:r w:rsidR="00A72153" w:rsidRPr="00205909">
        <w:rPr>
          <w:rFonts w:ascii="Garamond" w:hAnsi="Garamond"/>
          <w:sz w:val="24"/>
          <w:szCs w:val="24"/>
        </w:rPr>
        <w:t xml:space="preserve">doit être saisie pour ce qu’elle est, c’est-à-dire la manière dont elle a été « inventée », a été comprise par </w:t>
      </w:r>
      <w:r w:rsidR="006A5DF8" w:rsidRPr="00205909">
        <w:rPr>
          <w:rFonts w:ascii="Garamond" w:hAnsi="Garamond"/>
          <w:sz w:val="24"/>
          <w:szCs w:val="24"/>
        </w:rPr>
        <w:t>s</w:t>
      </w:r>
      <w:r w:rsidR="00A72153" w:rsidRPr="00205909">
        <w:rPr>
          <w:rFonts w:ascii="Garamond" w:hAnsi="Garamond"/>
          <w:sz w:val="24"/>
          <w:szCs w:val="24"/>
        </w:rPr>
        <w:t>es acteurs, a été critiquée, c’est-à-dire une notion péri-militaire, une sorte d</w:t>
      </w:r>
      <w:proofErr w:type="gramStart"/>
      <w:r w:rsidR="00A72153" w:rsidRPr="00205909">
        <w:rPr>
          <w:rFonts w:ascii="Garamond" w:hAnsi="Garamond"/>
          <w:sz w:val="24"/>
          <w:szCs w:val="24"/>
        </w:rPr>
        <w:t>’«</w:t>
      </w:r>
      <w:proofErr w:type="gramEnd"/>
      <w:r w:rsidR="00A72153" w:rsidRPr="00205909">
        <w:rPr>
          <w:rFonts w:ascii="Garamond" w:hAnsi="Garamond"/>
          <w:sz w:val="24"/>
          <w:szCs w:val="24"/>
        </w:rPr>
        <w:t xml:space="preserve"> arme » dont la caractéristique serait d’être juridique, et qui viendrait </w:t>
      </w:r>
      <w:r w:rsidR="002B75DB" w:rsidRPr="00205909">
        <w:rPr>
          <w:rFonts w:ascii="Garamond" w:hAnsi="Garamond"/>
          <w:sz w:val="24"/>
          <w:szCs w:val="24"/>
        </w:rPr>
        <w:t>se substituer à une opération militaire ou agressive de manière plus générale</w:t>
      </w:r>
      <w:r w:rsidR="00A72153" w:rsidRPr="00205909">
        <w:rPr>
          <w:rFonts w:ascii="Garamond" w:hAnsi="Garamond"/>
          <w:sz w:val="24"/>
          <w:szCs w:val="24"/>
        </w:rPr>
        <w:t xml:space="preserve">, une notion </w:t>
      </w:r>
      <w:r w:rsidR="002B75DB" w:rsidRPr="00205909">
        <w:rPr>
          <w:rFonts w:ascii="Garamond" w:hAnsi="Garamond"/>
          <w:sz w:val="24"/>
          <w:szCs w:val="24"/>
        </w:rPr>
        <w:t xml:space="preserve">proche </w:t>
      </w:r>
      <w:r w:rsidR="00A72153" w:rsidRPr="00205909">
        <w:rPr>
          <w:rFonts w:ascii="Garamond" w:hAnsi="Garamond"/>
          <w:sz w:val="24"/>
          <w:szCs w:val="24"/>
        </w:rPr>
        <w:t>du droit de la guerre donc.</w:t>
      </w:r>
      <w:r w:rsidR="00785378" w:rsidRPr="00205909">
        <w:rPr>
          <w:rFonts w:ascii="Garamond" w:hAnsi="Garamond"/>
          <w:sz w:val="24"/>
          <w:szCs w:val="24"/>
        </w:rPr>
        <w:t xml:space="preserve"> </w:t>
      </w:r>
      <w:r w:rsidR="002B75DB" w:rsidRPr="00205909">
        <w:rPr>
          <w:rFonts w:ascii="Garamond" w:hAnsi="Garamond"/>
          <w:sz w:val="24"/>
          <w:szCs w:val="24"/>
        </w:rPr>
        <w:t xml:space="preserve">Au-delà d’une histoire du </w:t>
      </w:r>
      <w:proofErr w:type="spellStart"/>
      <w:r w:rsidR="002B75DB" w:rsidRPr="00205909">
        <w:rPr>
          <w:rFonts w:ascii="Garamond" w:hAnsi="Garamond"/>
          <w:i/>
          <w:iCs/>
          <w:sz w:val="24"/>
          <w:szCs w:val="24"/>
        </w:rPr>
        <w:t>lawfare</w:t>
      </w:r>
      <w:proofErr w:type="spellEnd"/>
      <w:r w:rsidR="002B75DB" w:rsidRPr="00205909">
        <w:rPr>
          <w:rStyle w:val="Appelnotedebasdep"/>
          <w:rFonts w:ascii="Garamond" w:hAnsi="Garamond"/>
          <w:sz w:val="24"/>
          <w:szCs w:val="24"/>
        </w:rPr>
        <w:footnoteReference w:id="24"/>
      </w:r>
      <w:r w:rsidR="002B75DB" w:rsidRPr="00205909">
        <w:rPr>
          <w:rFonts w:ascii="Garamond" w:hAnsi="Garamond"/>
          <w:sz w:val="24"/>
          <w:szCs w:val="24"/>
        </w:rPr>
        <w:t xml:space="preserve"> ou d’une saisie, impossible, de l’ensemble du spectre du </w:t>
      </w:r>
      <w:proofErr w:type="spellStart"/>
      <w:r w:rsidR="002B75DB" w:rsidRPr="00205909">
        <w:rPr>
          <w:rFonts w:ascii="Garamond" w:hAnsi="Garamond"/>
          <w:i/>
          <w:iCs/>
          <w:sz w:val="24"/>
          <w:szCs w:val="24"/>
        </w:rPr>
        <w:t>lawfare</w:t>
      </w:r>
      <w:proofErr w:type="spellEnd"/>
      <w:r w:rsidR="002B75DB" w:rsidRPr="00205909">
        <w:rPr>
          <w:rFonts w:ascii="Garamond" w:hAnsi="Garamond"/>
          <w:sz w:val="24"/>
          <w:szCs w:val="24"/>
        </w:rPr>
        <w:t xml:space="preserve"> et conscient de ce que </w:t>
      </w:r>
      <w:r w:rsidR="00A72153" w:rsidRPr="00205909">
        <w:rPr>
          <w:rFonts w:ascii="Garamond" w:hAnsi="Garamond"/>
          <w:sz w:val="24"/>
          <w:szCs w:val="24"/>
        </w:rPr>
        <w:t xml:space="preserve">les juristes se méfient </w:t>
      </w:r>
      <w:r w:rsidR="002B75DB" w:rsidRPr="00205909">
        <w:rPr>
          <w:rFonts w:ascii="Garamond" w:hAnsi="Garamond"/>
          <w:sz w:val="24"/>
          <w:szCs w:val="24"/>
        </w:rPr>
        <w:t xml:space="preserve">en général </w:t>
      </w:r>
      <w:r w:rsidR="00A72153" w:rsidRPr="00205909">
        <w:rPr>
          <w:rFonts w:ascii="Garamond" w:hAnsi="Garamond"/>
          <w:sz w:val="24"/>
          <w:szCs w:val="24"/>
        </w:rPr>
        <w:t>de notions autopromues</w:t>
      </w:r>
      <w:r w:rsidR="002B75DB" w:rsidRPr="00205909">
        <w:rPr>
          <w:rFonts w:ascii="Garamond" w:hAnsi="Garamond"/>
          <w:sz w:val="24"/>
          <w:szCs w:val="24"/>
        </w:rPr>
        <w:t xml:space="preserve">, il s’agira ici d’envisager le </w:t>
      </w:r>
      <w:proofErr w:type="spellStart"/>
      <w:r w:rsidR="002B75DB" w:rsidRPr="00205909">
        <w:rPr>
          <w:rFonts w:ascii="Garamond" w:hAnsi="Garamond"/>
          <w:i/>
          <w:iCs/>
          <w:sz w:val="24"/>
          <w:szCs w:val="24"/>
        </w:rPr>
        <w:t>lawfare</w:t>
      </w:r>
      <w:proofErr w:type="spellEnd"/>
      <w:r w:rsidR="002B75DB" w:rsidRPr="00205909">
        <w:rPr>
          <w:rFonts w:ascii="Garamond" w:hAnsi="Garamond"/>
          <w:i/>
          <w:iCs/>
          <w:sz w:val="24"/>
          <w:szCs w:val="24"/>
        </w:rPr>
        <w:t xml:space="preserve"> </w:t>
      </w:r>
      <w:r w:rsidR="00112ADA" w:rsidRPr="00205909">
        <w:rPr>
          <w:rFonts w:ascii="Garamond" w:hAnsi="Garamond"/>
          <w:sz w:val="24"/>
          <w:szCs w:val="24"/>
        </w:rPr>
        <w:t>d’un point de vue juridique</w:t>
      </w:r>
      <w:r w:rsidR="00785378" w:rsidRPr="00205909">
        <w:rPr>
          <w:rFonts w:ascii="Garamond" w:hAnsi="Garamond"/>
          <w:sz w:val="24"/>
          <w:szCs w:val="24"/>
        </w:rPr>
        <w:t xml:space="preserve"> et </w:t>
      </w:r>
      <w:r w:rsidR="00112ADA" w:rsidRPr="00205909">
        <w:rPr>
          <w:rFonts w:ascii="Garamond" w:hAnsi="Garamond"/>
          <w:sz w:val="24"/>
          <w:szCs w:val="24"/>
        </w:rPr>
        <w:t>faire la part entre ce qui relève véritablement de notions juridiques et ce qui en est exclu, c’est-à-dire ne n’identifier que les pratiques juridiquement pertinentes.</w:t>
      </w:r>
    </w:p>
    <w:p w14:paraId="4C2A62FF" w14:textId="77777777" w:rsidR="009B161C" w:rsidRPr="00205909" w:rsidRDefault="009B161C" w:rsidP="007F1788">
      <w:pPr>
        <w:widowControl w:val="0"/>
        <w:spacing w:after="0" w:line="240" w:lineRule="auto"/>
        <w:ind w:right="-1" w:firstLine="454"/>
        <w:jc w:val="both"/>
        <w:rPr>
          <w:rFonts w:ascii="Garamond" w:hAnsi="Garamond" w:cs="Times New Roman"/>
          <w:sz w:val="24"/>
          <w:szCs w:val="24"/>
        </w:rPr>
      </w:pPr>
    </w:p>
    <w:p w14:paraId="6D45F97E" w14:textId="0C178EAF" w:rsidR="00433EE0" w:rsidRPr="00205909" w:rsidRDefault="00433EE0" w:rsidP="007F1788">
      <w:pPr>
        <w:widowControl w:val="0"/>
        <w:spacing w:after="0" w:line="240" w:lineRule="auto"/>
        <w:ind w:right="-1"/>
        <w:jc w:val="both"/>
        <w:rPr>
          <w:rFonts w:ascii="Garamond" w:hAnsi="Garamond" w:cs="Times New Roman"/>
          <w:b/>
          <w:bCs/>
          <w:smallCaps/>
          <w:sz w:val="24"/>
          <w:szCs w:val="24"/>
        </w:rPr>
      </w:pPr>
      <w:r w:rsidRPr="00205909">
        <w:rPr>
          <w:rFonts w:ascii="Garamond" w:hAnsi="Garamond" w:cs="Times New Roman"/>
          <w:b/>
          <w:bCs/>
          <w:smallCaps/>
          <w:sz w:val="24"/>
          <w:szCs w:val="24"/>
        </w:rPr>
        <w:t>I</w:t>
      </w:r>
      <w:r w:rsidR="001215BF" w:rsidRPr="00205909">
        <w:rPr>
          <w:rFonts w:ascii="Garamond" w:hAnsi="Garamond" w:cs="Times New Roman"/>
          <w:b/>
          <w:bCs/>
          <w:smallCaps/>
          <w:sz w:val="24"/>
          <w:szCs w:val="24"/>
        </w:rPr>
        <w:t>I</w:t>
      </w:r>
      <w:r w:rsidRPr="00205909">
        <w:rPr>
          <w:rFonts w:ascii="Garamond" w:hAnsi="Garamond" w:cs="Times New Roman"/>
          <w:b/>
          <w:bCs/>
          <w:smallCaps/>
          <w:sz w:val="24"/>
          <w:szCs w:val="24"/>
        </w:rPr>
        <w:t xml:space="preserve">. Le </w:t>
      </w:r>
      <w:proofErr w:type="spellStart"/>
      <w:r w:rsidR="002876B2" w:rsidRPr="00205909">
        <w:rPr>
          <w:rFonts w:ascii="Garamond" w:hAnsi="Garamond" w:cs="Times New Roman"/>
          <w:b/>
          <w:bCs/>
          <w:i/>
          <w:iCs/>
          <w:smallCaps/>
          <w:sz w:val="24"/>
          <w:szCs w:val="24"/>
        </w:rPr>
        <w:t>lawfare</w:t>
      </w:r>
      <w:proofErr w:type="spellEnd"/>
      <w:r w:rsidR="002876B2" w:rsidRPr="00205909">
        <w:rPr>
          <w:rFonts w:ascii="Garamond" w:hAnsi="Garamond" w:cs="Times New Roman"/>
          <w:b/>
          <w:bCs/>
          <w:smallCaps/>
          <w:sz w:val="24"/>
          <w:szCs w:val="24"/>
        </w:rPr>
        <w:t xml:space="preserve"> </w:t>
      </w:r>
      <w:r w:rsidR="00B53101" w:rsidRPr="00205909">
        <w:rPr>
          <w:rFonts w:ascii="Garamond" w:hAnsi="Garamond" w:cs="Times New Roman"/>
          <w:b/>
          <w:bCs/>
          <w:i/>
          <w:iCs/>
          <w:smallCaps/>
          <w:sz w:val="24"/>
          <w:szCs w:val="24"/>
        </w:rPr>
        <w:t xml:space="preserve">compliance </w:t>
      </w:r>
      <w:r w:rsidR="00B53101" w:rsidRPr="00205909">
        <w:rPr>
          <w:rFonts w:ascii="Garamond" w:hAnsi="Garamond" w:cs="Times New Roman"/>
          <w:b/>
          <w:bCs/>
          <w:smallCaps/>
          <w:sz w:val="24"/>
          <w:szCs w:val="24"/>
        </w:rPr>
        <w:t xml:space="preserve">et le </w:t>
      </w:r>
      <w:proofErr w:type="spellStart"/>
      <w:r w:rsidR="00B53101" w:rsidRPr="00205909">
        <w:rPr>
          <w:rFonts w:ascii="Garamond" w:hAnsi="Garamond" w:cs="Times New Roman"/>
          <w:b/>
          <w:bCs/>
          <w:i/>
          <w:iCs/>
          <w:smallCaps/>
          <w:sz w:val="24"/>
          <w:szCs w:val="24"/>
        </w:rPr>
        <w:t>lawfare</w:t>
      </w:r>
      <w:proofErr w:type="spellEnd"/>
      <w:r w:rsidR="006A5DF8" w:rsidRPr="00205909">
        <w:rPr>
          <w:rFonts w:ascii="Garamond" w:hAnsi="Garamond" w:cs="Times New Roman"/>
          <w:b/>
          <w:bCs/>
          <w:smallCaps/>
          <w:sz w:val="24"/>
          <w:szCs w:val="24"/>
        </w:rPr>
        <w:t> </w:t>
      </w:r>
      <w:r w:rsidR="002876B2" w:rsidRPr="00205909">
        <w:rPr>
          <w:rFonts w:ascii="Garamond" w:hAnsi="Garamond" w:cs="Times New Roman"/>
          <w:b/>
          <w:bCs/>
          <w:i/>
          <w:iCs/>
          <w:smallCaps/>
          <w:sz w:val="24"/>
          <w:szCs w:val="24"/>
        </w:rPr>
        <w:t xml:space="preserve">politique </w:t>
      </w:r>
      <w:r w:rsidR="006A5DF8" w:rsidRPr="00205909">
        <w:rPr>
          <w:rFonts w:ascii="Garamond" w:hAnsi="Garamond" w:cs="Times New Roman"/>
          <w:b/>
          <w:bCs/>
          <w:smallCaps/>
          <w:sz w:val="24"/>
          <w:szCs w:val="24"/>
        </w:rPr>
        <w:t>:</w:t>
      </w:r>
      <w:r w:rsidRPr="00205909">
        <w:rPr>
          <w:rFonts w:ascii="Garamond" w:hAnsi="Garamond" w:cs="Times New Roman"/>
          <w:b/>
          <w:bCs/>
          <w:smallCaps/>
          <w:sz w:val="24"/>
          <w:szCs w:val="24"/>
        </w:rPr>
        <w:t xml:space="preserve"> </w:t>
      </w:r>
      <w:r w:rsidR="008700CA" w:rsidRPr="00205909">
        <w:rPr>
          <w:rFonts w:ascii="Garamond" w:hAnsi="Garamond" w:cs="Times New Roman"/>
          <w:b/>
          <w:bCs/>
          <w:smallCaps/>
          <w:sz w:val="24"/>
          <w:szCs w:val="24"/>
        </w:rPr>
        <w:t xml:space="preserve">des </w:t>
      </w:r>
      <w:r w:rsidRPr="00205909">
        <w:rPr>
          <w:rFonts w:ascii="Garamond" w:hAnsi="Garamond" w:cs="Times New Roman"/>
          <w:b/>
          <w:bCs/>
          <w:smallCaps/>
          <w:sz w:val="24"/>
          <w:szCs w:val="24"/>
        </w:rPr>
        <w:t>figure</w:t>
      </w:r>
      <w:r w:rsidR="008700CA" w:rsidRPr="00205909">
        <w:rPr>
          <w:rFonts w:ascii="Garamond" w:hAnsi="Garamond" w:cs="Times New Roman"/>
          <w:b/>
          <w:bCs/>
          <w:smallCaps/>
          <w:sz w:val="24"/>
          <w:szCs w:val="24"/>
        </w:rPr>
        <w:t>s</w:t>
      </w:r>
      <w:r w:rsidRPr="00205909">
        <w:rPr>
          <w:rFonts w:ascii="Garamond" w:hAnsi="Garamond" w:cs="Times New Roman"/>
          <w:b/>
          <w:bCs/>
          <w:smallCaps/>
          <w:sz w:val="24"/>
          <w:szCs w:val="24"/>
        </w:rPr>
        <w:t xml:space="preserve"> </w:t>
      </w:r>
      <w:r w:rsidR="001215BF" w:rsidRPr="00205909">
        <w:rPr>
          <w:rFonts w:ascii="Garamond" w:hAnsi="Garamond" w:cs="Times New Roman"/>
          <w:b/>
          <w:bCs/>
          <w:smallCaps/>
          <w:sz w:val="24"/>
          <w:szCs w:val="24"/>
        </w:rPr>
        <w:t>non-</w:t>
      </w:r>
      <w:r w:rsidR="00A1612F" w:rsidRPr="00205909">
        <w:rPr>
          <w:rFonts w:ascii="Garamond" w:hAnsi="Garamond" w:cs="Times New Roman"/>
          <w:b/>
          <w:bCs/>
          <w:smallCaps/>
          <w:sz w:val="24"/>
          <w:szCs w:val="24"/>
        </w:rPr>
        <w:t>juridique</w:t>
      </w:r>
      <w:r w:rsidR="008700CA" w:rsidRPr="00205909">
        <w:rPr>
          <w:rFonts w:ascii="Garamond" w:hAnsi="Garamond" w:cs="Times New Roman"/>
          <w:b/>
          <w:bCs/>
          <w:smallCaps/>
          <w:sz w:val="24"/>
          <w:szCs w:val="24"/>
        </w:rPr>
        <w:t>s</w:t>
      </w:r>
      <w:r w:rsidR="00A1612F" w:rsidRPr="00205909">
        <w:rPr>
          <w:rFonts w:ascii="Garamond" w:hAnsi="Garamond" w:cs="Times New Roman"/>
          <w:b/>
          <w:bCs/>
          <w:smallCaps/>
          <w:sz w:val="24"/>
          <w:szCs w:val="24"/>
        </w:rPr>
        <w:t xml:space="preserve"> </w:t>
      </w:r>
    </w:p>
    <w:p w14:paraId="36236500" w14:textId="77777777" w:rsidR="00433EE0" w:rsidRPr="00205909" w:rsidRDefault="00433EE0" w:rsidP="007F1788">
      <w:pPr>
        <w:widowControl w:val="0"/>
        <w:spacing w:after="0" w:line="240" w:lineRule="auto"/>
        <w:ind w:right="-1" w:firstLine="454"/>
        <w:jc w:val="both"/>
        <w:rPr>
          <w:rFonts w:ascii="Garamond" w:hAnsi="Garamond" w:cs="Times New Roman"/>
          <w:smallCaps/>
          <w:sz w:val="24"/>
          <w:szCs w:val="24"/>
        </w:rPr>
      </w:pPr>
    </w:p>
    <w:p w14:paraId="43DD6109" w14:textId="00C4553B" w:rsidR="007F38F5" w:rsidRPr="00205909" w:rsidRDefault="00C62BD5" w:rsidP="007F1788">
      <w:pPr>
        <w:widowControl w:val="0"/>
        <w:numPr>
          <w:ilvl w:val="0"/>
          <w:numId w:val="2"/>
        </w:numPr>
        <w:spacing w:after="0" w:line="240" w:lineRule="auto"/>
        <w:ind w:right="-1"/>
        <w:jc w:val="both"/>
        <w:rPr>
          <w:rFonts w:ascii="Garamond" w:hAnsi="Garamond" w:cs="Times New Roman"/>
          <w:sz w:val="24"/>
          <w:szCs w:val="24"/>
        </w:rPr>
      </w:pPr>
      <w:r w:rsidRPr="00205909">
        <w:rPr>
          <w:rFonts w:ascii="Garamond" w:hAnsi="Garamond" w:cs="Times New Roman"/>
          <w:sz w:val="24"/>
          <w:szCs w:val="24"/>
        </w:rPr>
        <w:t>L</w:t>
      </w:r>
      <w:r w:rsidR="00BB0218" w:rsidRPr="00205909">
        <w:rPr>
          <w:rFonts w:ascii="Garamond" w:hAnsi="Garamond" w:cs="Times New Roman"/>
          <w:sz w:val="24"/>
          <w:szCs w:val="24"/>
        </w:rPr>
        <w:t xml:space="preserve">e </w:t>
      </w:r>
      <w:proofErr w:type="spellStart"/>
      <w:r w:rsidR="00BB0218" w:rsidRPr="00205909">
        <w:rPr>
          <w:rFonts w:ascii="Garamond" w:hAnsi="Garamond" w:cs="Times New Roman"/>
          <w:i/>
          <w:iCs/>
          <w:sz w:val="24"/>
          <w:szCs w:val="24"/>
        </w:rPr>
        <w:t>lawfare</w:t>
      </w:r>
      <w:proofErr w:type="spellEnd"/>
      <w:r w:rsidR="00BB0218" w:rsidRPr="00205909">
        <w:rPr>
          <w:rFonts w:ascii="Garamond" w:hAnsi="Garamond" w:cs="Times New Roman"/>
          <w:sz w:val="24"/>
          <w:szCs w:val="24"/>
        </w:rPr>
        <w:t xml:space="preserve"> </w:t>
      </w:r>
      <w:r w:rsidR="00B0188F" w:rsidRPr="00205909">
        <w:rPr>
          <w:rFonts w:ascii="Garamond" w:hAnsi="Garamond" w:cs="Times New Roman"/>
          <w:sz w:val="24"/>
          <w:szCs w:val="24"/>
        </w:rPr>
        <w:t xml:space="preserve">est </w:t>
      </w:r>
      <w:r w:rsidRPr="00205909">
        <w:rPr>
          <w:rFonts w:ascii="Garamond" w:hAnsi="Garamond" w:cs="Times New Roman"/>
          <w:sz w:val="24"/>
          <w:szCs w:val="24"/>
        </w:rPr>
        <w:t xml:space="preserve">depuis son apparition </w:t>
      </w:r>
      <w:r w:rsidR="00B0188F" w:rsidRPr="00205909">
        <w:rPr>
          <w:rFonts w:ascii="Garamond" w:hAnsi="Garamond" w:cs="Times New Roman"/>
          <w:sz w:val="24"/>
          <w:szCs w:val="24"/>
        </w:rPr>
        <w:t>une notion difficilement saisissable sinon d’un point de vue militaire</w:t>
      </w:r>
      <w:r w:rsidR="00987344" w:rsidRPr="00205909">
        <w:rPr>
          <w:rFonts w:ascii="Garamond" w:hAnsi="Garamond" w:cs="Times New Roman"/>
          <w:sz w:val="24"/>
          <w:szCs w:val="24"/>
        </w:rPr>
        <w:t xml:space="preserve">, </w:t>
      </w:r>
      <w:r w:rsidRPr="00205909">
        <w:rPr>
          <w:rFonts w:ascii="Garamond" w:hAnsi="Garamond" w:cs="Times New Roman"/>
          <w:sz w:val="24"/>
          <w:szCs w:val="24"/>
        </w:rPr>
        <w:t>du moins</w:t>
      </w:r>
      <w:r w:rsidR="00987344" w:rsidRPr="00205909">
        <w:rPr>
          <w:rFonts w:ascii="Garamond" w:hAnsi="Garamond" w:cs="Times New Roman"/>
          <w:sz w:val="24"/>
          <w:szCs w:val="24"/>
        </w:rPr>
        <w:t xml:space="preserve"> plus globalement, régalien</w:t>
      </w:r>
      <w:r w:rsidR="00B0188F" w:rsidRPr="00205909">
        <w:rPr>
          <w:rFonts w:ascii="Garamond" w:hAnsi="Garamond" w:cs="Times New Roman"/>
          <w:sz w:val="24"/>
          <w:szCs w:val="24"/>
        </w:rPr>
        <w:t xml:space="preserve">. </w:t>
      </w:r>
      <w:r w:rsidR="001A3FCA" w:rsidRPr="00205909">
        <w:rPr>
          <w:rFonts w:ascii="Garamond" w:hAnsi="Garamond" w:cs="Times New Roman"/>
          <w:sz w:val="24"/>
          <w:szCs w:val="24"/>
        </w:rPr>
        <w:t xml:space="preserve">La critique, générale ou particulière, de </w:t>
      </w:r>
      <w:r w:rsidR="00B0188F" w:rsidRPr="00205909">
        <w:rPr>
          <w:rFonts w:ascii="Garamond" w:hAnsi="Garamond" w:cs="Times New Roman"/>
          <w:sz w:val="24"/>
          <w:szCs w:val="24"/>
        </w:rPr>
        <w:t xml:space="preserve">l’ordre international </w:t>
      </w:r>
      <w:r w:rsidR="001A3FCA" w:rsidRPr="00205909">
        <w:rPr>
          <w:rFonts w:ascii="Garamond" w:hAnsi="Garamond" w:cs="Times New Roman"/>
          <w:sz w:val="24"/>
          <w:szCs w:val="24"/>
        </w:rPr>
        <w:t xml:space="preserve">n’a rien de nouveau : c’était </w:t>
      </w:r>
      <w:r w:rsidR="00B0188F" w:rsidRPr="00205909">
        <w:rPr>
          <w:rFonts w:ascii="Garamond" w:hAnsi="Garamond" w:cs="Times New Roman"/>
          <w:sz w:val="24"/>
          <w:szCs w:val="24"/>
        </w:rPr>
        <w:t xml:space="preserve">le cas dans les années 1930, alors que l’ordre international était fondé sur les traités conclus à partir du </w:t>
      </w:r>
      <w:r w:rsidR="00D761E2" w:rsidRPr="00205909">
        <w:rPr>
          <w:rFonts w:ascii="Garamond" w:hAnsi="Garamond" w:cs="Times New Roman"/>
          <w:sz w:val="24"/>
          <w:szCs w:val="24"/>
        </w:rPr>
        <w:t>T</w:t>
      </w:r>
      <w:r w:rsidR="00B0188F" w:rsidRPr="00205909">
        <w:rPr>
          <w:rFonts w:ascii="Garamond" w:hAnsi="Garamond" w:cs="Times New Roman"/>
          <w:sz w:val="24"/>
          <w:szCs w:val="24"/>
        </w:rPr>
        <w:t>raité de Versailles en 1919</w:t>
      </w:r>
      <w:r w:rsidR="001A28C9">
        <w:rPr>
          <w:rFonts w:ascii="Garamond" w:hAnsi="Garamond" w:cs="Times New Roman"/>
          <w:sz w:val="24"/>
          <w:szCs w:val="24"/>
        </w:rPr>
        <w:t xml:space="preserve"> et de</w:t>
      </w:r>
      <w:r w:rsidR="00B0188F" w:rsidRPr="00205909">
        <w:rPr>
          <w:rFonts w:ascii="Garamond" w:hAnsi="Garamond" w:cs="Times New Roman"/>
          <w:sz w:val="24"/>
          <w:szCs w:val="24"/>
        </w:rPr>
        <w:t xml:space="preserve"> la création de la SDN</w:t>
      </w:r>
      <w:r w:rsidR="00444135" w:rsidRPr="00205909">
        <w:rPr>
          <w:rStyle w:val="Appelnotedebasdep"/>
          <w:rFonts w:ascii="Garamond" w:hAnsi="Garamond" w:cs="Times New Roman"/>
          <w:sz w:val="24"/>
          <w:szCs w:val="24"/>
        </w:rPr>
        <w:footnoteReference w:id="25"/>
      </w:r>
      <w:r w:rsidR="00D10178" w:rsidRPr="00205909">
        <w:rPr>
          <w:rFonts w:ascii="Garamond" w:hAnsi="Garamond" w:cs="Times New Roman"/>
          <w:sz w:val="24"/>
          <w:szCs w:val="24"/>
        </w:rPr>
        <w:t> ; c’est encore le cas depuis le milieu des années 20</w:t>
      </w:r>
      <w:r w:rsidR="002C6482" w:rsidRPr="00205909">
        <w:rPr>
          <w:rFonts w:ascii="Garamond" w:hAnsi="Garamond" w:cs="Times New Roman"/>
          <w:sz w:val="24"/>
          <w:szCs w:val="24"/>
        </w:rPr>
        <w:t>0</w:t>
      </w:r>
      <w:r w:rsidR="00D10178" w:rsidRPr="00205909">
        <w:rPr>
          <w:rFonts w:ascii="Garamond" w:hAnsi="Garamond" w:cs="Times New Roman"/>
          <w:sz w:val="24"/>
          <w:szCs w:val="24"/>
        </w:rPr>
        <w:t>0, du fait des actions agressives de la Russie, la Chine, l’Iran notamment et la volonté de modifier l’ordre international né de la Charte des Nations-Unies</w:t>
      </w:r>
      <w:r w:rsidR="00B0188F" w:rsidRPr="00205909">
        <w:rPr>
          <w:rFonts w:ascii="Garamond" w:hAnsi="Garamond" w:cs="Times New Roman"/>
          <w:sz w:val="24"/>
          <w:szCs w:val="24"/>
        </w:rPr>
        <w:t xml:space="preserve">. </w:t>
      </w:r>
      <w:r w:rsidR="00D10178" w:rsidRPr="00205909">
        <w:rPr>
          <w:rFonts w:ascii="Garamond" w:hAnsi="Garamond" w:cs="Times New Roman"/>
          <w:sz w:val="24"/>
          <w:szCs w:val="24"/>
        </w:rPr>
        <w:t>Dans l’ordre international des affaires, cette critique s’observ</w:t>
      </w:r>
      <w:r w:rsidR="006A5DF8" w:rsidRPr="00205909">
        <w:rPr>
          <w:rFonts w:ascii="Garamond" w:hAnsi="Garamond" w:cs="Times New Roman"/>
          <w:sz w:val="24"/>
          <w:szCs w:val="24"/>
        </w:rPr>
        <w:t>e</w:t>
      </w:r>
      <w:r w:rsidR="00D10178" w:rsidRPr="00205909">
        <w:rPr>
          <w:rFonts w:ascii="Garamond" w:hAnsi="Garamond" w:cs="Times New Roman"/>
          <w:sz w:val="24"/>
          <w:szCs w:val="24"/>
        </w:rPr>
        <w:t xml:space="preserve"> également, par exemple dans la critique des modes de résolution des litiges d’investissement par exemple</w:t>
      </w:r>
      <w:r w:rsidR="006A5DF8" w:rsidRPr="00205909">
        <w:rPr>
          <w:rStyle w:val="Appelnotedebasdep"/>
          <w:rFonts w:ascii="Garamond" w:hAnsi="Garamond" w:cs="Times New Roman"/>
          <w:sz w:val="24"/>
          <w:szCs w:val="24"/>
        </w:rPr>
        <w:footnoteReference w:id="26"/>
      </w:r>
      <w:r w:rsidR="00D10178" w:rsidRPr="00205909">
        <w:rPr>
          <w:rFonts w:ascii="Garamond" w:hAnsi="Garamond" w:cs="Times New Roman"/>
          <w:sz w:val="24"/>
          <w:szCs w:val="24"/>
        </w:rPr>
        <w:t>.</w:t>
      </w:r>
    </w:p>
    <w:p w14:paraId="32AE3D48" w14:textId="3EFFA4BC" w:rsidR="002B331F" w:rsidRPr="00205909" w:rsidRDefault="007F38F5" w:rsidP="001A28C9">
      <w:pPr>
        <w:pStyle w:val="numerodeparagraphe"/>
        <w:numPr>
          <w:ilvl w:val="0"/>
          <w:numId w:val="0"/>
        </w:numPr>
        <w:spacing w:before="0"/>
        <w:ind w:firstLine="454"/>
        <w:rPr>
          <w:rFonts w:ascii="Garamond" w:hAnsi="Garamond"/>
          <w:sz w:val="24"/>
          <w:szCs w:val="24"/>
        </w:rPr>
      </w:pPr>
      <w:r w:rsidRPr="00205909">
        <w:rPr>
          <w:rFonts w:ascii="Garamond" w:hAnsi="Garamond"/>
          <w:sz w:val="24"/>
          <w:szCs w:val="24"/>
        </w:rPr>
        <w:t>Ce qui est nouveau, c’est l’utilisation d’un terme, ou d’un concept traduit de manière différente selon les cas</w:t>
      </w:r>
      <w:r w:rsidR="00DF2DA3" w:rsidRPr="00205909">
        <w:rPr>
          <w:rFonts w:ascii="Garamond" w:hAnsi="Garamond"/>
          <w:sz w:val="24"/>
          <w:szCs w:val="24"/>
        </w:rPr>
        <w:t xml:space="preserve">, </w:t>
      </w:r>
      <w:r w:rsidRPr="00205909">
        <w:rPr>
          <w:rFonts w:ascii="Garamond" w:hAnsi="Garamond"/>
          <w:sz w:val="24"/>
          <w:szCs w:val="24"/>
        </w:rPr>
        <w:t xml:space="preserve">présentant le droit comme une arme de guerre, ou une arme </w:t>
      </w:r>
      <w:r w:rsidRPr="00205909">
        <w:rPr>
          <w:rFonts w:ascii="Garamond" w:hAnsi="Garamond"/>
          <w:i/>
          <w:iCs/>
          <w:sz w:val="24"/>
          <w:szCs w:val="24"/>
        </w:rPr>
        <w:t xml:space="preserve">dans </w:t>
      </w:r>
      <w:r w:rsidRPr="00205909">
        <w:rPr>
          <w:rFonts w:ascii="Garamond" w:hAnsi="Garamond"/>
          <w:sz w:val="24"/>
          <w:szCs w:val="24"/>
        </w:rPr>
        <w:t xml:space="preserve">la guerre. Il faudrait d’ailleurs combiner l’approche de ce concept avec d’autres, dont </w:t>
      </w:r>
      <w:r w:rsidR="00D10178" w:rsidRPr="00205909">
        <w:rPr>
          <w:rFonts w:ascii="Garamond" w:hAnsi="Garamond"/>
          <w:sz w:val="24"/>
          <w:szCs w:val="24"/>
        </w:rPr>
        <w:t xml:space="preserve">celui de </w:t>
      </w:r>
      <w:r w:rsidRPr="00205909">
        <w:rPr>
          <w:rFonts w:ascii="Garamond" w:hAnsi="Garamond"/>
          <w:sz w:val="24"/>
          <w:szCs w:val="24"/>
        </w:rPr>
        <w:t xml:space="preserve">guerre informationnelle, les manipulations de l’information, le </w:t>
      </w:r>
      <w:r w:rsidR="002C6482" w:rsidRPr="00205909">
        <w:rPr>
          <w:rFonts w:ascii="Garamond" w:hAnsi="Garamond"/>
          <w:i/>
          <w:iCs/>
          <w:sz w:val="24"/>
          <w:szCs w:val="24"/>
        </w:rPr>
        <w:t>n</w:t>
      </w:r>
      <w:r w:rsidRPr="00205909">
        <w:rPr>
          <w:rFonts w:ascii="Garamond" w:hAnsi="Garamond"/>
          <w:i/>
          <w:iCs/>
          <w:sz w:val="24"/>
          <w:szCs w:val="24"/>
        </w:rPr>
        <w:t xml:space="preserve">arrative </w:t>
      </w:r>
      <w:proofErr w:type="spellStart"/>
      <w:r w:rsidR="002C6482" w:rsidRPr="00205909">
        <w:rPr>
          <w:rFonts w:ascii="Garamond" w:hAnsi="Garamond"/>
          <w:i/>
          <w:iCs/>
          <w:sz w:val="24"/>
          <w:szCs w:val="24"/>
        </w:rPr>
        <w:t>w</w:t>
      </w:r>
      <w:r w:rsidRPr="00205909">
        <w:rPr>
          <w:rFonts w:ascii="Garamond" w:hAnsi="Garamond"/>
          <w:i/>
          <w:iCs/>
          <w:sz w:val="24"/>
          <w:szCs w:val="24"/>
        </w:rPr>
        <w:t>arfare</w:t>
      </w:r>
      <w:proofErr w:type="spellEnd"/>
      <w:r w:rsidRPr="00205909">
        <w:rPr>
          <w:rFonts w:ascii="Garamond" w:hAnsi="Garamond"/>
          <w:sz w:val="24"/>
          <w:szCs w:val="24"/>
        </w:rPr>
        <w:t>, l’ingérence et la contre-ingérence, etc.</w:t>
      </w:r>
      <w:r w:rsidR="00D10178" w:rsidRPr="00205909">
        <w:rPr>
          <w:rFonts w:ascii="Garamond" w:hAnsi="Garamond"/>
          <w:sz w:val="24"/>
          <w:szCs w:val="24"/>
        </w:rPr>
        <w:t xml:space="preserve">, la </w:t>
      </w:r>
      <w:proofErr w:type="spellStart"/>
      <w:r w:rsidR="00D10178" w:rsidRPr="00205909">
        <w:rPr>
          <w:rFonts w:ascii="Garamond" w:hAnsi="Garamond"/>
          <w:i/>
          <w:iCs/>
          <w:sz w:val="24"/>
          <w:szCs w:val="24"/>
        </w:rPr>
        <w:t>cyberwarfare</w:t>
      </w:r>
      <w:proofErr w:type="spellEnd"/>
      <w:r w:rsidRPr="00205909">
        <w:rPr>
          <w:rFonts w:ascii="Garamond" w:hAnsi="Garamond"/>
          <w:sz w:val="24"/>
          <w:szCs w:val="24"/>
        </w:rPr>
        <w:t xml:space="preserve">, qui jouent sur le court-terme de la diffusion d’informations, vraies, fausses, discutables, contre le long-terme ou le flou de </w:t>
      </w:r>
      <w:r w:rsidR="001A28C9">
        <w:rPr>
          <w:rFonts w:ascii="Garamond" w:hAnsi="Garamond"/>
          <w:sz w:val="24"/>
          <w:szCs w:val="24"/>
        </w:rPr>
        <w:t xml:space="preserve">l’établissement de </w:t>
      </w:r>
      <w:r w:rsidRPr="00205909">
        <w:rPr>
          <w:rFonts w:ascii="Garamond" w:hAnsi="Garamond"/>
          <w:sz w:val="24"/>
          <w:szCs w:val="24"/>
        </w:rPr>
        <w:t>la vérité, notamment juridique ou judiciaire</w:t>
      </w:r>
      <w:r w:rsidR="002E5246" w:rsidRPr="00205909">
        <w:rPr>
          <w:rFonts w:ascii="Garamond" w:hAnsi="Garamond"/>
          <w:sz w:val="24"/>
          <w:szCs w:val="24"/>
        </w:rPr>
        <w:t>, mais aussi avec les moyens de défense, ceux d’un « </w:t>
      </w:r>
      <w:r w:rsidR="002E5246" w:rsidRPr="00205909">
        <w:rPr>
          <w:rFonts w:ascii="Garamond" w:hAnsi="Garamond"/>
          <w:i/>
          <w:iCs/>
          <w:sz w:val="24"/>
          <w:szCs w:val="24"/>
        </w:rPr>
        <w:t>contre-</w:t>
      </w:r>
      <w:proofErr w:type="spellStart"/>
      <w:r w:rsidR="002E5246" w:rsidRPr="00205909">
        <w:rPr>
          <w:rFonts w:ascii="Garamond" w:hAnsi="Garamond"/>
          <w:i/>
          <w:iCs/>
          <w:sz w:val="24"/>
          <w:szCs w:val="24"/>
        </w:rPr>
        <w:t>lawfare</w:t>
      </w:r>
      <w:proofErr w:type="spellEnd"/>
      <w:r w:rsidR="002E5246" w:rsidRPr="00205909">
        <w:rPr>
          <w:rFonts w:ascii="Garamond" w:hAnsi="Garamond"/>
          <w:i/>
          <w:iCs/>
          <w:sz w:val="24"/>
          <w:szCs w:val="24"/>
        </w:rPr>
        <w:t> »</w:t>
      </w:r>
      <w:r w:rsidR="002E5246" w:rsidRPr="00205909">
        <w:rPr>
          <w:rFonts w:ascii="Garamond" w:hAnsi="Garamond"/>
          <w:sz w:val="24"/>
          <w:szCs w:val="24"/>
        </w:rPr>
        <w:t xml:space="preserve"> à élaborer</w:t>
      </w:r>
      <w:r w:rsidRPr="00205909">
        <w:rPr>
          <w:rFonts w:ascii="Garamond" w:hAnsi="Garamond"/>
          <w:sz w:val="24"/>
          <w:szCs w:val="24"/>
        </w:rPr>
        <w:t>.</w:t>
      </w:r>
    </w:p>
    <w:p w14:paraId="565F9BDA" w14:textId="77777777" w:rsidR="002876B2" w:rsidRPr="00205909" w:rsidRDefault="002876B2" w:rsidP="002876B2">
      <w:pPr>
        <w:pStyle w:val="numerodeparagraphe"/>
        <w:numPr>
          <w:ilvl w:val="0"/>
          <w:numId w:val="0"/>
        </w:numPr>
        <w:spacing w:before="0"/>
        <w:ind w:left="454"/>
        <w:rPr>
          <w:rFonts w:ascii="Garamond" w:hAnsi="Garamond"/>
          <w:sz w:val="24"/>
          <w:szCs w:val="24"/>
        </w:rPr>
      </w:pPr>
    </w:p>
    <w:p w14:paraId="7C723CCD" w14:textId="1C1F6B15" w:rsidR="00375D94" w:rsidRPr="00205909" w:rsidRDefault="00D42129" w:rsidP="007F1788">
      <w:pPr>
        <w:pStyle w:val="numerodeparagraphe"/>
        <w:spacing w:before="0"/>
        <w:rPr>
          <w:rFonts w:ascii="Garamond" w:hAnsi="Garamond"/>
          <w:sz w:val="24"/>
          <w:szCs w:val="24"/>
        </w:rPr>
      </w:pPr>
      <w:r w:rsidRPr="00205909">
        <w:rPr>
          <w:rFonts w:ascii="Garamond" w:hAnsi="Garamond"/>
          <w:sz w:val="24"/>
          <w:szCs w:val="24"/>
        </w:rPr>
        <w:t>Certains</w:t>
      </w:r>
      <w:r w:rsidR="00542230" w:rsidRPr="00205909">
        <w:rPr>
          <w:rFonts w:ascii="Garamond" w:hAnsi="Garamond"/>
          <w:sz w:val="24"/>
          <w:szCs w:val="24"/>
        </w:rPr>
        <w:t xml:space="preserve"> Etats ont saisi </w:t>
      </w:r>
      <w:r w:rsidR="00EF4D0D" w:rsidRPr="00205909">
        <w:rPr>
          <w:rFonts w:ascii="Garamond" w:hAnsi="Garamond"/>
          <w:sz w:val="24"/>
          <w:szCs w:val="24"/>
        </w:rPr>
        <w:t xml:space="preserve">institutionnellement </w:t>
      </w:r>
      <w:r w:rsidR="00542230" w:rsidRPr="00205909">
        <w:rPr>
          <w:rFonts w:ascii="Garamond" w:hAnsi="Garamond"/>
          <w:sz w:val="24"/>
          <w:szCs w:val="24"/>
        </w:rPr>
        <w:t xml:space="preserve">la notion. Ainsi, en 2005, le </w:t>
      </w:r>
      <w:r w:rsidR="00542230" w:rsidRPr="00205909">
        <w:rPr>
          <w:rFonts w:ascii="Garamond" w:hAnsi="Garamond"/>
          <w:i/>
          <w:iCs/>
          <w:sz w:val="24"/>
          <w:szCs w:val="24"/>
        </w:rPr>
        <w:t xml:space="preserve">National </w:t>
      </w:r>
      <w:proofErr w:type="spellStart"/>
      <w:r w:rsidR="00542230" w:rsidRPr="00205909">
        <w:rPr>
          <w:rFonts w:ascii="Garamond" w:hAnsi="Garamond"/>
          <w:i/>
          <w:iCs/>
          <w:sz w:val="24"/>
          <w:szCs w:val="24"/>
        </w:rPr>
        <w:t>Defense</w:t>
      </w:r>
      <w:proofErr w:type="spellEnd"/>
      <w:r w:rsidR="00542230" w:rsidRPr="00205909">
        <w:rPr>
          <w:rFonts w:ascii="Garamond" w:hAnsi="Garamond"/>
          <w:i/>
          <w:iCs/>
          <w:sz w:val="24"/>
          <w:szCs w:val="24"/>
        </w:rPr>
        <w:t xml:space="preserve"> </w:t>
      </w:r>
      <w:proofErr w:type="spellStart"/>
      <w:r w:rsidR="00542230" w:rsidRPr="00205909">
        <w:rPr>
          <w:rFonts w:ascii="Garamond" w:hAnsi="Garamond"/>
          <w:i/>
          <w:iCs/>
          <w:sz w:val="24"/>
          <w:szCs w:val="24"/>
        </w:rPr>
        <w:t>Strategy</w:t>
      </w:r>
      <w:proofErr w:type="spellEnd"/>
      <w:r w:rsidR="00542230" w:rsidRPr="00205909">
        <w:rPr>
          <w:rFonts w:ascii="Garamond" w:hAnsi="Garamond"/>
          <w:sz w:val="24"/>
          <w:szCs w:val="24"/>
        </w:rPr>
        <w:t xml:space="preserve"> américain l’envisageait de manière négative, c’est-à-dire comme une agression assimilée au terrorisme : « </w:t>
      </w:r>
      <w:r w:rsidR="001A28C9" w:rsidRPr="001A28C9">
        <w:rPr>
          <w:rFonts w:ascii="Garamond" w:hAnsi="Garamond"/>
          <w:i/>
          <w:iCs/>
          <w:sz w:val="24"/>
          <w:szCs w:val="24"/>
        </w:rPr>
        <w:t>n</w:t>
      </w:r>
      <w:r w:rsidR="00542230" w:rsidRPr="001A28C9">
        <w:rPr>
          <w:rFonts w:ascii="Garamond" w:hAnsi="Garamond"/>
          <w:i/>
          <w:iCs/>
          <w:sz w:val="24"/>
          <w:szCs w:val="24"/>
        </w:rPr>
        <w:t>otre force en tant qu’État-nation continuera d’être contestée par ceux qui emploient une stratégie du faible en utilisant les forums internationaux, les recours juridiques et le terrorisme</w:t>
      </w:r>
      <w:r w:rsidR="00542230" w:rsidRPr="00205909">
        <w:rPr>
          <w:rFonts w:ascii="Garamond" w:hAnsi="Garamond"/>
          <w:sz w:val="24"/>
          <w:szCs w:val="24"/>
        </w:rPr>
        <w:t> »</w:t>
      </w:r>
      <w:r w:rsidR="00767010" w:rsidRPr="00205909">
        <w:rPr>
          <w:rStyle w:val="Appelnotedebasdep"/>
          <w:rFonts w:ascii="Garamond" w:hAnsi="Garamond"/>
          <w:sz w:val="24"/>
          <w:szCs w:val="24"/>
        </w:rPr>
        <w:footnoteReference w:id="27"/>
      </w:r>
      <w:r w:rsidR="00542230" w:rsidRPr="00205909">
        <w:rPr>
          <w:rFonts w:ascii="Garamond" w:hAnsi="Garamond"/>
          <w:sz w:val="24"/>
          <w:szCs w:val="24"/>
        </w:rPr>
        <w:t xml:space="preserve">. En France, plus tardivement, la </w:t>
      </w:r>
      <w:r w:rsidR="00542230" w:rsidRPr="00205909">
        <w:rPr>
          <w:rFonts w:ascii="Garamond" w:hAnsi="Garamond"/>
          <w:i/>
          <w:iCs/>
          <w:sz w:val="24"/>
          <w:szCs w:val="24"/>
        </w:rPr>
        <w:t xml:space="preserve">Revue Nationale Stratégique </w:t>
      </w:r>
      <w:r w:rsidR="00542230" w:rsidRPr="00205909">
        <w:rPr>
          <w:rFonts w:ascii="Garamond" w:hAnsi="Garamond"/>
          <w:sz w:val="24"/>
          <w:szCs w:val="24"/>
        </w:rPr>
        <w:t xml:space="preserve">de 2022 indiquait que : </w:t>
      </w:r>
      <w:r w:rsidR="00542230" w:rsidRPr="00205909">
        <w:rPr>
          <w:rFonts w:ascii="Garamond" w:hAnsi="Garamond"/>
          <w:i/>
          <w:iCs/>
          <w:sz w:val="24"/>
          <w:szCs w:val="24"/>
        </w:rPr>
        <w:t>« dans le champ de la lutte contre les manipulations de l’information venant de compétiteurs étrangers, la France doit disposer d’un large éventail d’options de réponse, au-delà de l’attribution publique, à l’image de ce qui se pratique dans le champ cyber. La France lutte contre l’utilisation du droit et de la norme comme outil stratégique (</w:t>
      </w:r>
      <w:proofErr w:type="spellStart"/>
      <w:r w:rsidR="00542230" w:rsidRPr="00205909">
        <w:rPr>
          <w:rFonts w:ascii="Garamond" w:hAnsi="Garamond"/>
          <w:i/>
          <w:iCs/>
          <w:sz w:val="24"/>
          <w:szCs w:val="24"/>
        </w:rPr>
        <w:t>lawfare</w:t>
      </w:r>
      <w:proofErr w:type="spellEnd"/>
      <w:r w:rsidR="00542230" w:rsidRPr="00205909">
        <w:rPr>
          <w:rFonts w:ascii="Garamond" w:hAnsi="Garamond"/>
          <w:i/>
          <w:iCs/>
          <w:sz w:val="24"/>
          <w:szCs w:val="24"/>
        </w:rPr>
        <w:t xml:space="preserve">) par ses compétiteurs. Elle appuie l’adoption d’outils européens concourant à la lutte contre l’extraterritorialité. La France développe des outils de riposte contre les sociétés militaires privées, groupes armés ou milices utilisés comme intermédiaires – </w:t>
      </w:r>
      <w:proofErr w:type="spellStart"/>
      <w:r w:rsidR="00542230" w:rsidRPr="00205909">
        <w:rPr>
          <w:rFonts w:ascii="Garamond" w:hAnsi="Garamond"/>
          <w:i/>
          <w:iCs/>
          <w:sz w:val="24"/>
          <w:szCs w:val="24"/>
        </w:rPr>
        <w:t>proxies</w:t>
      </w:r>
      <w:proofErr w:type="spellEnd"/>
      <w:r w:rsidR="00542230" w:rsidRPr="00205909">
        <w:rPr>
          <w:rFonts w:ascii="Garamond" w:hAnsi="Garamond"/>
          <w:i/>
          <w:iCs/>
          <w:sz w:val="24"/>
          <w:szCs w:val="24"/>
        </w:rPr>
        <w:t xml:space="preserve"> – par des puissances hostiles afin de démultiplier leurs actions de contestation ou de compétition, tout en maintenant un déni plausible. Diffusion d’informations, sanctions nationales ou européennes, poursuites judiciaires voire actions militaires pourront cibler ces groupes s’ils mènent des activités préjudiciables aux intérêts français ou s’ils sont responsables d’atteintes aux droits humains et de crimes de guerre »</w:t>
      </w:r>
      <w:r w:rsidR="00542230" w:rsidRPr="00205909">
        <w:rPr>
          <w:rStyle w:val="Appelnotedebasdep"/>
          <w:rFonts w:ascii="Garamond" w:hAnsi="Garamond"/>
          <w:sz w:val="24"/>
          <w:szCs w:val="24"/>
        </w:rPr>
        <w:footnoteReference w:id="28"/>
      </w:r>
      <w:r w:rsidR="00542230" w:rsidRPr="00205909">
        <w:rPr>
          <w:rFonts w:ascii="Garamond" w:hAnsi="Garamond"/>
          <w:sz w:val="24"/>
          <w:szCs w:val="24"/>
        </w:rPr>
        <w:t xml:space="preserve">. Le </w:t>
      </w:r>
      <w:proofErr w:type="spellStart"/>
      <w:r w:rsidR="00F04744" w:rsidRPr="00205909">
        <w:rPr>
          <w:rFonts w:ascii="Garamond" w:hAnsi="Garamond"/>
          <w:i/>
          <w:iCs/>
          <w:sz w:val="24"/>
          <w:szCs w:val="24"/>
        </w:rPr>
        <w:t>l</w:t>
      </w:r>
      <w:r w:rsidR="00542230" w:rsidRPr="00205909">
        <w:rPr>
          <w:rFonts w:ascii="Garamond" w:hAnsi="Garamond"/>
          <w:i/>
          <w:iCs/>
          <w:sz w:val="24"/>
          <w:szCs w:val="24"/>
        </w:rPr>
        <w:t>awfare</w:t>
      </w:r>
      <w:proofErr w:type="spellEnd"/>
      <w:r w:rsidR="00542230" w:rsidRPr="00205909">
        <w:rPr>
          <w:rFonts w:ascii="Garamond" w:hAnsi="Garamond"/>
          <w:sz w:val="24"/>
          <w:szCs w:val="24"/>
        </w:rPr>
        <w:t xml:space="preserve"> </w:t>
      </w:r>
      <w:r w:rsidR="00F04744" w:rsidRPr="00205909">
        <w:rPr>
          <w:rFonts w:ascii="Garamond" w:hAnsi="Garamond"/>
          <w:sz w:val="24"/>
          <w:szCs w:val="24"/>
        </w:rPr>
        <w:t>(</w:t>
      </w:r>
      <w:r w:rsidR="002C6482" w:rsidRPr="00205909">
        <w:rPr>
          <w:rFonts w:ascii="Garamond" w:hAnsi="Garamond"/>
          <w:sz w:val="24"/>
          <w:szCs w:val="24"/>
        </w:rPr>
        <w:t>compliance</w:t>
      </w:r>
      <w:r w:rsidR="002C6482" w:rsidRPr="00205909">
        <w:rPr>
          <w:rFonts w:ascii="Garamond" w:hAnsi="Garamond"/>
          <w:i/>
          <w:iCs/>
          <w:sz w:val="24"/>
          <w:szCs w:val="24"/>
        </w:rPr>
        <w:t xml:space="preserve"> </w:t>
      </w:r>
      <w:r w:rsidR="002C6482" w:rsidRPr="00205909">
        <w:rPr>
          <w:rFonts w:ascii="Garamond" w:hAnsi="Garamond"/>
          <w:sz w:val="24"/>
          <w:szCs w:val="24"/>
        </w:rPr>
        <w:t>ou politique</w:t>
      </w:r>
      <w:r w:rsidR="00F04744" w:rsidRPr="00205909">
        <w:rPr>
          <w:rFonts w:ascii="Garamond" w:hAnsi="Garamond"/>
          <w:sz w:val="24"/>
          <w:szCs w:val="24"/>
        </w:rPr>
        <w:t xml:space="preserve">) </w:t>
      </w:r>
      <w:r w:rsidR="00542230" w:rsidRPr="00205909">
        <w:rPr>
          <w:rFonts w:ascii="Garamond" w:hAnsi="Garamond"/>
          <w:sz w:val="24"/>
          <w:szCs w:val="24"/>
        </w:rPr>
        <w:t xml:space="preserve">y est donc saisi dans </w:t>
      </w:r>
      <w:r w:rsidR="006A5DF8" w:rsidRPr="00205909">
        <w:rPr>
          <w:rFonts w:ascii="Garamond" w:hAnsi="Garamond"/>
          <w:sz w:val="24"/>
          <w:szCs w:val="24"/>
        </w:rPr>
        <w:t>l</w:t>
      </w:r>
      <w:r w:rsidR="00542230" w:rsidRPr="00205909">
        <w:rPr>
          <w:rFonts w:ascii="Garamond" w:hAnsi="Garamond"/>
          <w:sz w:val="24"/>
          <w:szCs w:val="24"/>
        </w:rPr>
        <w:t xml:space="preserve">a conception négative </w:t>
      </w:r>
      <w:r w:rsidR="00022A6C" w:rsidRPr="00205909">
        <w:rPr>
          <w:rFonts w:ascii="Garamond" w:hAnsi="Garamond"/>
          <w:sz w:val="24"/>
          <w:szCs w:val="24"/>
        </w:rPr>
        <w:t xml:space="preserve">plus haut envisagée </w:t>
      </w:r>
      <w:r w:rsidR="00542230" w:rsidRPr="00205909">
        <w:rPr>
          <w:rFonts w:ascii="Garamond" w:hAnsi="Garamond"/>
          <w:sz w:val="24"/>
          <w:szCs w:val="24"/>
        </w:rPr>
        <w:t xml:space="preserve">et associé à d’autres comportements adverses. </w:t>
      </w:r>
      <w:r w:rsidR="007625A2" w:rsidRPr="00205909">
        <w:rPr>
          <w:rFonts w:ascii="Garamond" w:hAnsi="Garamond"/>
          <w:sz w:val="24"/>
          <w:szCs w:val="24"/>
        </w:rPr>
        <w:t xml:space="preserve">Il n’est pas certain, par ailleurs, que les concepts de </w:t>
      </w:r>
      <w:proofErr w:type="spellStart"/>
      <w:r w:rsidR="007625A2" w:rsidRPr="00205909">
        <w:rPr>
          <w:rFonts w:ascii="Garamond" w:hAnsi="Garamond"/>
          <w:i/>
          <w:iCs/>
          <w:sz w:val="24"/>
          <w:szCs w:val="24"/>
        </w:rPr>
        <w:t>lawfare</w:t>
      </w:r>
      <w:proofErr w:type="spellEnd"/>
      <w:r w:rsidR="007625A2" w:rsidRPr="00205909">
        <w:rPr>
          <w:rFonts w:ascii="Garamond" w:hAnsi="Garamond"/>
          <w:i/>
          <w:iCs/>
          <w:sz w:val="24"/>
          <w:szCs w:val="24"/>
        </w:rPr>
        <w:t xml:space="preserve"> </w:t>
      </w:r>
      <w:r w:rsidR="007625A2" w:rsidRPr="00205909">
        <w:rPr>
          <w:rFonts w:ascii="Garamond" w:hAnsi="Garamond"/>
          <w:sz w:val="24"/>
          <w:szCs w:val="24"/>
        </w:rPr>
        <w:t xml:space="preserve">compliance et de </w:t>
      </w:r>
      <w:proofErr w:type="spellStart"/>
      <w:r w:rsidR="007625A2" w:rsidRPr="00205909">
        <w:rPr>
          <w:rFonts w:ascii="Garamond" w:hAnsi="Garamond"/>
          <w:i/>
          <w:iCs/>
          <w:sz w:val="24"/>
          <w:szCs w:val="24"/>
        </w:rPr>
        <w:t>lawfare</w:t>
      </w:r>
      <w:proofErr w:type="spellEnd"/>
      <w:r w:rsidR="007625A2" w:rsidRPr="00205909">
        <w:rPr>
          <w:rFonts w:ascii="Garamond" w:hAnsi="Garamond"/>
          <w:i/>
          <w:iCs/>
          <w:sz w:val="24"/>
          <w:szCs w:val="24"/>
        </w:rPr>
        <w:t xml:space="preserve"> </w:t>
      </w:r>
      <w:r w:rsidR="007625A2" w:rsidRPr="00205909">
        <w:rPr>
          <w:rFonts w:ascii="Garamond" w:hAnsi="Garamond"/>
          <w:sz w:val="24"/>
          <w:szCs w:val="24"/>
        </w:rPr>
        <w:t>politique présente</w:t>
      </w:r>
      <w:r w:rsidR="00DF2DA3" w:rsidRPr="00205909">
        <w:rPr>
          <w:rFonts w:ascii="Garamond" w:hAnsi="Garamond"/>
          <w:sz w:val="24"/>
          <w:szCs w:val="24"/>
        </w:rPr>
        <w:t>nt</w:t>
      </w:r>
      <w:r w:rsidR="007625A2" w:rsidRPr="00205909">
        <w:rPr>
          <w:rFonts w:ascii="Garamond" w:hAnsi="Garamond"/>
          <w:sz w:val="24"/>
          <w:szCs w:val="24"/>
        </w:rPr>
        <w:t xml:space="preserve"> une quelconque consistance </w:t>
      </w:r>
      <w:r w:rsidR="007625A2" w:rsidRPr="00205909">
        <w:rPr>
          <w:rFonts w:ascii="Garamond" w:hAnsi="Garamond"/>
          <w:i/>
          <w:iCs/>
          <w:sz w:val="24"/>
          <w:szCs w:val="24"/>
        </w:rPr>
        <w:t>juridique</w:t>
      </w:r>
      <w:r w:rsidR="007625A2" w:rsidRPr="00205909">
        <w:rPr>
          <w:rFonts w:ascii="Garamond" w:hAnsi="Garamond"/>
          <w:sz w:val="24"/>
          <w:szCs w:val="24"/>
        </w:rPr>
        <w:t xml:space="preserve"> réelle</w:t>
      </w:r>
      <w:r w:rsidR="007625A2" w:rsidRPr="00205909">
        <w:rPr>
          <w:rStyle w:val="Appelnotedebasdep"/>
          <w:rFonts w:ascii="Garamond" w:hAnsi="Garamond"/>
          <w:sz w:val="24"/>
          <w:szCs w:val="24"/>
        </w:rPr>
        <w:footnoteReference w:id="29"/>
      </w:r>
      <w:r w:rsidR="007625A2" w:rsidRPr="00205909">
        <w:rPr>
          <w:rFonts w:ascii="Garamond" w:hAnsi="Garamond"/>
          <w:sz w:val="24"/>
          <w:szCs w:val="24"/>
        </w:rPr>
        <w:t>.</w:t>
      </w:r>
    </w:p>
    <w:p w14:paraId="4898A626" w14:textId="77777777" w:rsidR="002876B2" w:rsidRPr="00205909" w:rsidRDefault="002876B2" w:rsidP="002876B2">
      <w:pPr>
        <w:pStyle w:val="numerodeparagraphe"/>
        <w:numPr>
          <w:ilvl w:val="0"/>
          <w:numId w:val="0"/>
        </w:numPr>
        <w:spacing w:before="0"/>
        <w:ind w:left="454"/>
        <w:rPr>
          <w:rFonts w:ascii="Garamond" w:hAnsi="Garamond"/>
          <w:b/>
          <w:bCs/>
          <w:sz w:val="24"/>
          <w:szCs w:val="24"/>
        </w:rPr>
      </w:pPr>
    </w:p>
    <w:p w14:paraId="780A2DEC" w14:textId="2CEAD922" w:rsidR="006C4964" w:rsidRPr="00205909" w:rsidRDefault="00F04744" w:rsidP="007F1788">
      <w:pPr>
        <w:pStyle w:val="numerodeparagraphe"/>
        <w:spacing w:before="0"/>
        <w:rPr>
          <w:rFonts w:ascii="Garamond" w:hAnsi="Garamond"/>
          <w:b/>
          <w:bCs/>
          <w:sz w:val="24"/>
          <w:szCs w:val="24"/>
        </w:rPr>
      </w:pPr>
      <w:r w:rsidRPr="00205909">
        <w:rPr>
          <w:rFonts w:ascii="Garamond" w:hAnsi="Garamond"/>
          <w:sz w:val="24"/>
          <w:szCs w:val="24"/>
        </w:rPr>
        <w:t xml:space="preserve">Il est beaucoup moins certain que les Etats aient parfaitement saisi la dimension privée du </w:t>
      </w:r>
      <w:proofErr w:type="spellStart"/>
      <w:r w:rsidRPr="00205909">
        <w:rPr>
          <w:rFonts w:ascii="Garamond" w:hAnsi="Garamond"/>
          <w:i/>
          <w:iCs/>
          <w:sz w:val="24"/>
          <w:szCs w:val="24"/>
        </w:rPr>
        <w:t>lawfare</w:t>
      </w:r>
      <w:proofErr w:type="spellEnd"/>
      <w:r w:rsidRPr="00205909">
        <w:rPr>
          <w:rFonts w:ascii="Garamond" w:hAnsi="Garamond"/>
          <w:sz w:val="24"/>
          <w:szCs w:val="24"/>
        </w:rPr>
        <w:t xml:space="preserve">, sinon à travers des notions traditionnelles du droit pénal, par exemple en matière de </w:t>
      </w:r>
      <w:proofErr w:type="spellStart"/>
      <w:r w:rsidRPr="00205909">
        <w:rPr>
          <w:rFonts w:ascii="Garamond" w:hAnsi="Garamond"/>
          <w:i/>
          <w:iCs/>
          <w:sz w:val="24"/>
          <w:szCs w:val="24"/>
        </w:rPr>
        <w:t>cyberwarfare</w:t>
      </w:r>
      <w:proofErr w:type="spellEnd"/>
      <w:r w:rsidRPr="00205909">
        <w:rPr>
          <w:rFonts w:ascii="Garamond" w:hAnsi="Garamond"/>
          <w:sz w:val="24"/>
          <w:szCs w:val="24"/>
        </w:rPr>
        <w:t xml:space="preserve"> et encore très timidement</w:t>
      </w:r>
      <w:r w:rsidR="0043399A" w:rsidRPr="00205909">
        <w:rPr>
          <w:rFonts w:ascii="Garamond" w:hAnsi="Garamond"/>
          <w:sz w:val="24"/>
          <w:szCs w:val="24"/>
        </w:rPr>
        <w:t>, sur la base de cas, simplement décrits le plus souvent</w:t>
      </w:r>
      <w:r w:rsidR="00F910F3" w:rsidRPr="00205909">
        <w:rPr>
          <w:rFonts w:ascii="Garamond" w:hAnsi="Garamond"/>
          <w:sz w:val="24"/>
          <w:szCs w:val="24"/>
        </w:rPr>
        <w:t xml:space="preserve"> par VIGINUM et révélé au grand public sur décision politique du SGDSN (Secrétariat Général de la Défense et de la Sécurité Nationale)</w:t>
      </w:r>
      <w:r w:rsidR="00F6054C" w:rsidRPr="00205909">
        <w:rPr>
          <w:rFonts w:ascii="Garamond" w:hAnsi="Garamond"/>
          <w:sz w:val="24"/>
          <w:szCs w:val="24"/>
        </w:rPr>
        <w:t xml:space="preserve"> sous l’autorité du Premier ministre qui décide ou non de les publier. Depuis 2023, le SGDSN en a publié trois désignant des entités, russes principalement, à l’origine d’ingérences informationnelle, par exemple en diffusant des informations fausses en reprenant les codes de journaux français faisant déjà référence à l’atteinte à ces intérêts fondamentaux</w:t>
      </w:r>
      <w:r w:rsidR="00F6054C" w:rsidRPr="00205909">
        <w:rPr>
          <w:rFonts w:ascii="Garamond" w:hAnsi="Garamond"/>
          <w:sz w:val="24"/>
          <w:szCs w:val="24"/>
          <w:vertAlign w:val="superscript"/>
        </w:rPr>
        <w:footnoteReference w:id="30"/>
      </w:r>
      <w:r w:rsidR="00F6054C" w:rsidRPr="00205909">
        <w:rPr>
          <w:rFonts w:ascii="Garamond" w:hAnsi="Garamond"/>
          <w:sz w:val="24"/>
          <w:szCs w:val="24"/>
        </w:rPr>
        <w:t xml:space="preserve">, le réseau </w:t>
      </w:r>
      <w:r w:rsidR="00F6054C" w:rsidRPr="00205909">
        <w:rPr>
          <w:rFonts w:ascii="Garamond" w:hAnsi="Garamond"/>
          <w:i/>
          <w:iCs/>
          <w:sz w:val="24"/>
          <w:szCs w:val="24"/>
        </w:rPr>
        <w:t xml:space="preserve">« Portal </w:t>
      </w:r>
      <w:proofErr w:type="spellStart"/>
      <w:r w:rsidR="00F6054C" w:rsidRPr="00205909">
        <w:rPr>
          <w:rFonts w:ascii="Garamond" w:hAnsi="Garamond"/>
          <w:i/>
          <w:iCs/>
          <w:sz w:val="24"/>
          <w:szCs w:val="24"/>
        </w:rPr>
        <w:t>Kombat</w:t>
      </w:r>
      <w:proofErr w:type="spellEnd"/>
      <w:r w:rsidR="00F6054C" w:rsidRPr="00205909">
        <w:rPr>
          <w:rFonts w:ascii="Garamond" w:hAnsi="Garamond"/>
          <w:i/>
          <w:iCs/>
          <w:sz w:val="24"/>
          <w:szCs w:val="24"/>
        </w:rPr>
        <w:t> »</w:t>
      </w:r>
      <w:r w:rsidR="00F6054C" w:rsidRPr="00205909">
        <w:rPr>
          <w:rFonts w:ascii="Garamond" w:hAnsi="Garamond"/>
          <w:sz w:val="24"/>
          <w:szCs w:val="24"/>
        </w:rPr>
        <w:t xml:space="preserve"> russe</w:t>
      </w:r>
      <w:r w:rsidR="00F6054C" w:rsidRPr="00205909">
        <w:rPr>
          <w:rFonts w:ascii="Garamond" w:hAnsi="Garamond"/>
          <w:sz w:val="24"/>
          <w:szCs w:val="24"/>
          <w:vertAlign w:val="superscript"/>
        </w:rPr>
        <w:footnoteReference w:id="31"/>
      </w:r>
      <w:r w:rsidR="00F6054C" w:rsidRPr="00205909">
        <w:rPr>
          <w:rFonts w:ascii="Garamond" w:hAnsi="Garamond"/>
          <w:sz w:val="24"/>
          <w:szCs w:val="24"/>
        </w:rPr>
        <w:t xml:space="preserve"> ou de la Chine s’agissant de la campagne des élections européennes de 2024</w:t>
      </w:r>
      <w:r w:rsidR="00F6054C" w:rsidRPr="00205909">
        <w:rPr>
          <w:rFonts w:ascii="Garamond" w:hAnsi="Garamond"/>
          <w:sz w:val="24"/>
          <w:szCs w:val="24"/>
          <w:vertAlign w:val="superscript"/>
        </w:rPr>
        <w:footnoteReference w:id="32"/>
      </w:r>
      <w:r w:rsidR="00F6054C" w:rsidRPr="00205909">
        <w:rPr>
          <w:rFonts w:ascii="Garamond" w:hAnsi="Garamond"/>
          <w:sz w:val="24"/>
          <w:szCs w:val="24"/>
        </w:rPr>
        <w:t xml:space="preserve"> et vraisemblablement durant les législatives anticipées de juin 2024.</w:t>
      </w:r>
      <w:r w:rsidR="00207252" w:rsidRPr="00205909">
        <w:rPr>
          <w:rFonts w:ascii="Garamond" w:hAnsi="Garamond"/>
          <w:sz w:val="24"/>
          <w:szCs w:val="24"/>
        </w:rPr>
        <w:t xml:space="preserve"> </w:t>
      </w:r>
      <w:r w:rsidR="007625A2" w:rsidRPr="00205909">
        <w:rPr>
          <w:rFonts w:ascii="Garamond" w:hAnsi="Garamond"/>
          <w:sz w:val="24"/>
          <w:szCs w:val="24"/>
        </w:rPr>
        <w:t>Ici encore, sans une sanction pénale adaptée aux logiques d’ingérence, absente de la récente loi adoptée le 5 juin 2024 sur les ingérences étrangères, il est difficile d’identifier des enquêtes pénales,</w:t>
      </w:r>
      <w:r w:rsidR="007625A2" w:rsidRPr="00205909">
        <w:rPr>
          <w:rFonts w:ascii="Garamond" w:hAnsi="Garamond"/>
          <w:i/>
          <w:iCs/>
          <w:sz w:val="24"/>
          <w:szCs w:val="24"/>
        </w:rPr>
        <w:t xml:space="preserve"> a fortiori</w:t>
      </w:r>
      <w:r w:rsidR="007625A2" w:rsidRPr="00205909">
        <w:rPr>
          <w:rFonts w:ascii="Garamond" w:hAnsi="Garamond"/>
          <w:sz w:val="24"/>
          <w:szCs w:val="24"/>
        </w:rPr>
        <w:t xml:space="preserve"> des sanctions spécifiques, pour lutter contre celles-ci, sauf à les considérer comme des actes </w:t>
      </w:r>
      <w:r w:rsidR="00EA147A" w:rsidRPr="00205909">
        <w:rPr>
          <w:rFonts w:ascii="Garamond" w:hAnsi="Garamond"/>
          <w:sz w:val="24"/>
          <w:szCs w:val="24"/>
        </w:rPr>
        <w:t>d'entretien des intelligences avec une puissance étrangère de l’article L. 411-4 du Code pénal.</w:t>
      </w:r>
    </w:p>
    <w:p w14:paraId="3C1AB591" w14:textId="77777777" w:rsidR="002876B2" w:rsidRPr="00205909" w:rsidRDefault="002876B2" w:rsidP="002876B2">
      <w:pPr>
        <w:pStyle w:val="numerodeparagraphe"/>
        <w:numPr>
          <w:ilvl w:val="0"/>
          <w:numId w:val="0"/>
        </w:numPr>
        <w:spacing w:before="0"/>
        <w:ind w:left="454"/>
        <w:rPr>
          <w:rFonts w:ascii="Garamond" w:hAnsi="Garamond"/>
          <w:b/>
          <w:bCs/>
          <w:sz w:val="24"/>
          <w:szCs w:val="24"/>
        </w:rPr>
      </w:pPr>
    </w:p>
    <w:p w14:paraId="75FDC70F" w14:textId="1EB22A62" w:rsidR="0043218D" w:rsidRPr="0043218D" w:rsidRDefault="001A28C9" w:rsidP="008C19D3">
      <w:pPr>
        <w:pStyle w:val="numerodeparagraphe"/>
        <w:spacing w:before="0"/>
        <w:rPr>
          <w:rFonts w:ascii="Garamond" w:hAnsi="Garamond"/>
          <w:b/>
          <w:bCs/>
          <w:sz w:val="24"/>
          <w:szCs w:val="24"/>
        </w:rPr>
      </w:pPr>
      <w:r w:rsidRPr="0043218D">
        <w:rPr>
          <w:rFonts w:ascii="Garamond" w:hAnsi="Garamond"/>
          <w:sz w:val="24"/>
          <w:szCs w:val="24"/>
        </w:rPr>
        <w:t>L’utilisation</w:t>
      </w:r>
      <w:r w:rsidR="000C22B7" w:rsidRPr="0043218D">
        <w:rPr>
          <w:rFonts w:ascii="Garamond" w:hAnsi="Garamond"/>
          <w:sz w:val="24"/>
          <w:szCs w:val="24"/>
        </w:rPr>
        <w:t xml:space="preserve"> contre les Etats occidentaux le fait qu’ils respectent l’Etat de droit et les règles du droit international </w:t>
      </w:r>
      <w:r w:rsidRPr="0043218D">
        <w:rPr>
          <w:rFonts w:ascii="Garamond" w:hAnsi="Garamond"/>
          <w:sz w:val="24"/>
          <w:szCs w:val="24"/>
        </w:rPr>
        <w:t xml:space="preserve">chaque fois qu’un écart, réel ou vanté, se réalise </w:t>
      </w:r>
      <w:r w:rsidR="000C22B7" w:rsidRPr="0043218D">
        <w:rPr>
          <w:rFonts w:ascii="Garamond" w:hAnsi="Garamond"/>
          <w:sz w:val="24"/>
          <w:szCs w:val="24"/>
        </w:rPr>
        <w:t xml:space="preserve">n’a rien d’original. </w:t>
      </w:r>
      <w:r w:rsidR="0043218D" w:rsidRPr="0043218D">
        <w:rPr>
          <w:rFonts w:ascii="Garamond" w:hAnsi="Garamond"/>
          <w:sz w:val="24"/>
          <w:szCs w:val="24"/>
        </w:rPr>
        <w:t xml:space="preserve">De sorte que </w:t>
      </w:r>
      <w:r w:rsidR="0043218D">
        <w:rPr>
          <w:rFonts w:ascii="Garamond" w:hAnsi="Garamond"/>
          <w:sz w:val="24"/>
          <w:szCs w:val="24"/>
        </w:rPr>
        <w:t>l</w:t>
      </w:r>
      <w:r w:rsidR="000C22B7" w:rsidRPr="0043218D">
        <w:rPr>
          <w:rFonts w:ascii="Garamond" w:hAnsi="Garamond"/>
          <w:sz w:val="24"/>
          <w:szCs w:val="24"/>
        </w:rPr>
        <w:t xml:space="preserve">e </w:t>
      </w:r>
      <w:proofErr w:type="spellStart"/>
      <w:r w:rsidR="000C22B7" w:rsidRPr="0043218D">
        <w:rPr>
          <w:rFonts w:ascii="Garamond" w:hAnsi="Garamond"/>
          <w:i/>
          <w:iCs/>
          <w:sz w:val="24"/>
          <w:szCs w:val="24"/>
        </w:rPr>
        <w:t>lawfare</w:t>
      </w:r>
      <w:proofErr w:type="spellEnd"/>
      <w:r w:rsidR="000C22B7" w:rsidRPr="0043218D">
        <w:rPr>
          <w:rFonts w:ascii="Garamond" w:hAnsi="Garamond"/>
          <w:i/>
          <w:iCs/>
          <w:sz w:val="24"/>
          <w:szCs w:val="24"/>
        </w:rPr>
        <w:t xml:space="preserve"> compliance</w:t>
      </w:r>
      <w:r w:rsidR="00182395" w:rsidRPr="0043218D">
        <w:rPr>
          <w:rFonts w:ascii="Garamond" w:hAnsi="Garamond"/>
          <w:sz w:val="24"/>
          <w:szCs w:val="24"/>
        </w:rPr>
        <w:t>, quelle que soit son intensité,</w:t>
      </w:r>
      <w:r w:rsidR="000C22B7" w:rsidRPr="0043218D">
        <w:rPr>
          <w:rFonts w:ascii="Garamond" w:hAnsi="Garamond"/>
          <w:sz w:val="24"/>
          <w:szCs w:val="24"/>
        </w:rPr>
        <w:t xml:space="preserve"> n’emporte aucun</w:t>
      </w:r>
      <w:r w:rsidR="00881B24">
        <w:rPr>
          <w:rFonts w:ascii="Garamond" w:hAnsi="Garamond"/>
          <w:sz w:val="24"/>
          <w:szCs w:val="24"/>
        </w:rPr>
        <w:t xml:space="preserve">e difficulté </w:t>
      </w:r>
      <w:r w:rsidR="000C22B7" w:rsidRPr="0043218D">
        <w:rPr>
          <w:rFonts w:ascii="Garamond" w:hAnsi="Garamond"/>
          <w:sz w:val="24"/>
          <w:szCs w:val="24"/>
        </w:rPr>
        <w:t>juridique particuli</w:t>
      </w:r>
      <w:r w:rsidR="00881B24">
        <w:rPr>
          <w:rFonts w:ascii="Garamond" w:hAnsi="Garamond"/>
          <w:sz w:val="24"/>
          <w:szCs w:val="24"/>
        </w:rPr>
        <w:t>è</w:t>
      </w:r>
      <w:r w:rsidR="000C22B7" w:rsidRPr="0043218D">
        <w:rPr>
          <w:rFonts w:ascii="Garamond" w:hAnsi="Garamond"/>
          <w:sz w:val="24"/>
          <w:szCs w:val="24"/>
        </w:rPr>
        <w:t>r</w:t>
      </w:r>
      <w:r w:rsidR="00881B24">
        <w:rPr>
          <w:rFonts w:ascii="Garamond" w:hAnsi="Garamond"/>
          <w:sz w:val="24"/>
          <w:szCs w:val="24"/>
        </w:rPr>
        <w:t>e</w:t>
      </w:r>
      <w:r w:rsidR="000C22B7" w:rsidRPr="0043218D">
        <w:rPr>
          <w:rFonts w:ascii="Garamond" w:hAnsi="Garamond"/>
          <w:sz w:val="24"/>
          <w:szCs w:val="24"/>
        </w:rPr>
        <w:t>.</w:t>
      </w:r>
      <w:r w:rsidR="0007002D" w:rsidRPr="0043218D">
        <w:rPr>
          <w:rFonts w:ascii="Garamond" w:hAnsi="Garamond"/>
          <w:sz w:val="24"/>
          <w:szCs w:val="24"/>
        </w:rPr>
        <w:t xml:space="preserve"> L’idée même que l’autre partie commettrait des crimes de guerre, utiliserait des sanctuaires supposé</w:t>
      </w:r>
      <w:r w:rsidR="007D3A10" w:rsidRPr="0043218D">
        <w:rPr>
          <w:rFonts w:ascii="Garamond" w:hAnsi="Garamond"/>
          <w:sz w:val="24"/>
          <w:szCs w:val="24"/>
        </w:rPr>
        <w:t>s</w:t>
      </w:r>
      <w:r w:rsidR="0007002D" w:rsidRPr="0043218D">
        <w:rPr>
          <w:rFonts w:ascii="Garamond" w:hAnsi="Garamond"/>
          <w:sz w:val="24"/>
          <w:szCs w:val="24"/>
        </w:rPr>
        <w:t xml:space="preserve"> (dans des écoles, des hôpitaux, utilisation de boucliers humains, </w:t>
      </w:r>
      <w:r w:rsidR="00B87571">
        <w:rPr>
          <w:rFonts w:ascii="Garamond" w:hAnsi="Garamond"/>
          <w:sz w:val="24"/>
          <w:szCs w:val="24"/>
        </w:rPr>
        <w:t xml:space="preserve">des faux prisonniers ou faux blessés bardés d’explosifs, </w:t>
      </w:r>
      <w:r w:rsidR="0007002D" w:rsidRPr="0043218D">
        <w:rPr>
          <w:rFonts w:ascii="Garamond" w:hAnsi="Garamond"/>
          <w:sz w:val="24"/>
          <w:szCs w:val="24"/>
        </w:rPr>
        <w:t xml:space="preserve">etc.) et dénoncerait </w:t>
      </w:r>
      <w:r w:rsidR="0043218D">
        <w:rPr>
          <w:rFonts w:ascii="Garamond" w:hAnsi="Garamond"/>
          <w:sz w:val="24"/>
          <w:szCs w:val="24"/>
        </w:rPr>
        <w:t xml:space="preserve">dans le même temps </w:t>
      </w:r>
      <w:r w:rsidR="0007002D" w:rsidRPr="0043218D">
        <w:rPr>
          <w:rFonts w:ascii="Garamond" w:hAnsi="Garamond"/>
          <w:sz w:val="24"/>
          <w:szCs w:val="24"/>
        </w:rPr>
        <w:t xml:space="preserve">tout écart de la partie, occidentale par exemple, est évidement une contrainte majeure dans la conduite de ses opérations, mais doit précisément être intégrée dans la conduite et la planification de ses opérations. </w:t>
      </w:r>
    </w:p>
    <w:p w14:paraId="4725D1B1" w14:textId="3D566D12" w:rsidR="000C22B7" w:rsidRPr="0043218D" w:rsidRDefault="0007002D" w:rsidP="0043218D">
      <w:pPr>
        <w:pStyle w:val="numerodeparagraphe"/>
        <w:numPr>
          <w:ilvl w:val="0"/>
          <w:numId w:val="0"/>
        </w:numPr>
        <w:spacing w:before="0"/>
        <w:ind w:firstLine="454"/>
        <w:rPr>
          <w:rFonts w:ascii="Garamond" w:hAnsi="Garamond"/>
          <w:b/>
          <w:bCs/>
          <w:i/>
          <w:sz w:val="24"/>
          <w:szCs w:val="24"/>
        </w:rPr>
      </w:pPr>
      <w:r w:rsidRPr="0043218D">
        <w:rPr>
          <w:rFonts w:ascii="Garamond" w:hAnsi="Garamond"/>
          <w:sz w:val="24"/>
          <w:szCs w:val="24"/>
        </w:rPr>
        <w:t xml:space="preserve">La guerre, en effet, n’est pas, et n’a jamais été, une activité </w:t>
      </w:r>
      <w:r w:rsidRPr="0043218D">
        <w:rPr>
          <w:rFonts w:ascii="Garamond" w:hAnsi="Garamond"/>
          <w:i/>
          <w:iCs/>
          <w:sz w:val="24"/>
          <w:szCs w:val="24"/>
        </w:rPr>
        <w:t>égalitaire</w:t>
      </w:r>
      <w:r w:rsidRPr="0043218D">
        <w:rPr>
          <w:rFonts w:ascii="Garamond" w:hAnsi="Garamond"/>
          <w:sz w:val="24"/>
          <w:szCs w:val="24"/>
        </w:rPr>
        <w:t xml:space="preserve">, </w:t>
      </w:r>
      <w:r w:rsidRPr="0043218D">
        <w:rPr>
          <w:rFonts w:ascii="Garamond" w:hAnsi="Garamond"/>
          <w:i/>
          <w:iCs/>
          <w:sz w:val="24"/>
          <w:szCs w:val="24"/>
        </w:rPr>
        <w:t>loyale</w:t>
      </w:r>
      <w:r w:rsidRPr="0043218D">
        <w:rPr>
          <w:rFonts w:ascii="Garamond" w:hAnsi="Garamond"/>
          <w:sz w:val="24"/>
          <w:szCs w:val="24"/>
        </w:rPr>
        <w:t xml:space="preserve"> et de </w:t>
      </w:r>
      <w:r w:rsidRPr="0043218D">
        <w:rPr>
          <w:rFonts w:ascii="Garamond" w:hAnsi="Garamond"/>
          <w:i/>
          <w:iCs/>
          <w:sz w:val="24"/>
          <w:szCs w:val="24"/>
        </w:rPr>
        <w:t>gentlemen</w:t>
      </w:r>
      <w:r w:rsidRPr="0043218D">
        <w:rPr>
          <w:rFonts w:ascii="Garamond" w:hAnsi="Garamond"/>
          <w:sz w:val="24"/>
          <w:szCs w:val="24"/>
        </w:rPr>
        <w:t xml:space="preserve"> : elle est </w:t>
      </w:r>
      <w:r w:rsidR="00A8276D" w:rsidRPr="0043218D">
        <w:rPr>
          <w:rFonts w:ascii="Garamond" w:hAnsi="Garamond"/>
          <w:sz w:val="24"/>
          <w:szCs w:val="24"/>
        </w:rPr>
        <w:t>une « </w:t>
      </w:r>
      <w:r w:rsidR="00A8276D" w:rsidRPr="0043218D">
        <w:rPr>
          <w:rFonts w:ascii="Garamond" w:hAnsi="Garamond"/>
          <w:i/>
          <w:sz w:val="24"/>
          <w:szCs w:val="24"/>
        </w:rPr>
        <w:t>dialectique des volontés employant la force pour résoudre leur conflit </w:t>
      </w:r>
      <w:r w:rsidR="00A8276D" w:rsidRPr="0043218D">
        <w:rPr>
          <w:rFonts w:ascii="Garamond" w:hAnsi="Garamond"/>
          <w:iCs/>
          <w:sz w:val="24"/>
          <w:szCs w:val="24"/>
        </w:rPr>
        <w:t>»</w:t>
      </w:r>
      <w:r w:rsidR="00A8276D" w:rsidRPr="00205909">
        <w:rPr>
          <w:rFonts w:ascii="Garamond" w:hAnsi="Garamond"/>
          <w:iCs/>
          <w:sz w:val="24"/>
          <w:szCs w:val="24"/>
          <w:vertAlign w:val="superscript"/>
        </w:rPr>
        <w:footnoteReference w:id="33"/>
      </w:r>
      <w:r w:rsidR="00D91756" w:rsidRPr="0043218D">
        <w:rPr>
          <w:rFonts w:ascii="Garamond" w:hAnsi="Garamond"/>
          <w:iCs/>
          <w:sz w:val="24"/>
          <w:szCs w:val="24"/>
        </w:rPr>
        <w:t>. La force est une entreprise de destruction de l’ennemi</w:t>
      </w:r>
      <w:r w:rsidR="0043218D">
        <w:rPr>
          <w:rFonts w:ascii="Garamond" w:hAnsi="Garamond"/>
          <w:iCs/>
          <w:sz w:val="24"/>
          <w:szCs w:val="24"/>
        </w:rPr>
        <w:t xml:space="preserve"> ; </w:t>
      </w:r>
      <w:r w:rsidR="00D91756" w:rsidRPr="0043218D">
        <w:rPr>
          <w:rFonts w:ascii="Garamond" w:hAnsi="Garamond"/>
          <w:iCs/>
          <w:sz w:val="24"/>
          <w:szCs w:val="24"/>
        </w:rPr>
        <w:t>ce n’est pas la « force brute », stupide mais au contraire une rencontre entre deux intelligences opposées, utilisant la ruse, s’adaptant à l’autre en permanence et</w:t>
      </w:r>
      <w:r w:rsidR="00A8276D" w:rsidRPr="0043218D">
        <w:rPr>
          <w:rFonts w:ascii="Garamond" w:hAnsi="Garamond"/>
          <w:iCs/>
          <w:sz w:val="24"/>
          <w:szCs w:val="24"/>
        </w:rPr>
        <w:t xml:space="preserve"> où certes tous les coups ne sont </w:t>
      </w:r>
      <w:r w:rsidR="00ED1CBE" w:rsidRPr="0043218D">
        <w:rPr>
          <w:rFonts w:ascii="Garamond" w:hAnsi="Garamond"/>
          <w:iCs/>
          <w:sz w:val="24"/>
          <w:szCs w:val="24"/>
        </w:rPr>
        <w:t xml:space="preserve">pas </w:t>
      </w:r>
      <w:r w:rsidR="00A8276D" w:rsidRPr="0043218D">
        <w:rPr>
          <w:rFonts w:ascii="Garamond" w:hAnsi="Garamond"/>
          <w:iCs/>
          <w:sz w:val="24"/>
          <w:szCs w:val="24"/>
        </w:rPr>
        <w:t>p</w:t>
      </w:r>
      <w:r w:rsidR="00ED1CBE" w:rsidRPr="0043218D">
        <w:rPr>
          <w:rFonts w:ascii="Garamond" w:hAnsi="Garamond"/>
          <w:iCs/>
          <w:sz w:val="24"/>
          <w:szCs w:val="24"/>
        </w:rPr>
        <w:t>e</w:t>
      </w:r>
      <w:r w:rsidR="00A8276D" w:rsidRPr="0043218D">
        <w:rPr>
          <w:rFonts w:ascii="Garamond" w:hAnsi="Garamond"/>
          <w:iCs/>
          <w:sz w:val="24"/>
          <w:szCs w:val="24"/>
        </w:rPr>
        <w:t>rmis</w:t>
      </w:r>
      <w:r w:rsidR="00ED1CBE" w:rsidRPr="0043218D">
        <w:rPr>
          <w:rFonts w:ascii="Garamond" w:hAnsi="Garamond"/>
          <w:iCs/>
          <w:sz w:val="24"/>
          <w:szCs w:val="24"/>
        </w:rPr>
        <w:t>, mais qui</w:t>
      </w:r>
      <w:r w:rsidR="00D91756" w:rsidRPr="0043218D">
        <w:rPr>
          <w:rFonts w:ascii="Garamond" w:hAnsi="Garamond"/>
          <w:iCs/>
          <w:sz w:val="24"/>
          <w:szCs w:val="24"/>
        </w:rPr>
        <w:t xml:space="preserve"> n’interdit pas des méthodes utilisant les vulnérabilités de l’adversaire (et réciproquement)</w:t>
      </w:r>
      <w:r w:rsidR="00A8276D" w:rsidRPr="0043218D">
        <w:rPr>
          <w:rFonts w:ascii="Garamond" w:hAnsi="Garamond"/>
          <w:iCs/>
          <w:sz w:val="24"/>
          <w:szCs w:val="24"/>
        </w:rPr>
        <w:t>.</w:t>
      </w:r>
      <w:r w:rsidR="00D91756" w:rsidRPr="0043218D">
        <w:rPr>
          <w:rFonts w:ascii="Garamond" w:hAnsi="Garamond"/>
          <w:iCs/>
          <w:sz w:val="24"/>
          <w:szCs w:val="24"/>
        </w:rPr>
        <w:t xml:space="preserve"> A bien des égards, d’ailleurs, cette utilisation du </w:t>
      </w:r>
      <w:proofErr w:type="spellStart"/>
      <w:r w:rsidR="00D91756" w:rsidRPr="0043218D">
        <w:rPr>
          <w:rFonts w:ascii="Garamond" w:hAnsi="Garamond"/>
          <w:i/>
          <w:sz w:val="24"/>
          <w:szCs w:val="24"/>
        </w:rPr>
        <w:t>lawfare</w:t>
      </w:r>
      <w:proofErr w:type="spellEnd"/>
      <w:r w:rsidR="00D91756" w:rsidRPr="0043218D">
        <w:rPr>
          <w:rFonts w:ascii="Garamond" w:hAnsi="Garamond"/>
          <w:i/>
          <w:sz w:val="24"/>
          <w:szCs w:val="24"/>
        </w:rPr>
        <w:t xml:space="preserve"> compliance</w:t>
      </w:r>
      <w:r w:rsidR="00D91756" w:rsidRPr="0043218D">
        <w:rPr>
          <w:rFonts w:ascii="Garamond" w:hAnsi="Garamond"/>
          <w:iCs/>
          <w:sz w:val="24"/>
          <w:szCs w:val="24"/>
        </w:rPr>
        <w:t xml:space="preserve"> est une « simple » opération de</w:t>
      </w:r>
      <w:r w:rsidR="00F72EE0" w:rsidRPr="0043218D">
        <w:rPr>
          <w:rFonts w:ascii="Garamond" w:hAnsi="Garamond"/>
          <w:iCs/>
          <w:sz w:val="24"/>
          <w:szCs w:val="24"/>
        </w:rPr>
        <w:t xml:space="preserve"> propagande voire</w:t>
      </w:r>
      <w:r w:rsidR="00D91756" w:rsidRPr="0043218D">
        <w:rPr>
          <w:rFonts w:ascii="Garamond" w:hAnsi="Garamond"/>
          <w:iCs/>
          <w:sz w:val="24"/>
          <w:szCs w:val="24"/>
        </w:rPr>
        <w:t xml:space="preserve"> </w:t>
      </w:r>
      <w:r w:rsidR="007D3A10" w:rsidRPr="0043218D">
        <w:rPr>
          <w:rFonts w:ascii="Garamond" w:hAnsi="Garamond"/>
          <w:iCs/>
          <w:sz w:val="24"/>
          <w:szCs w:val="24"/>
        </w:rPr>
        <w:t xml:space="preserve">une </w:t>
      </w:r>
      <w:r w:rsidR="00D91756" w:rsidRPr="0043218D">
        <w:rPr>
          <w:rFonts w:ascii="Garamond" w:hAnsi="Garamond"/>
          <w:iCs/>
          <w:sz w:val="24"/>
          <w:szCs w:val="24"/>
        </w:rPr>
        <w:t>manipulation de l’information</w:t>
      </w:r>
      <w:r w:rsidR="004E3CAE" w:rsidRPr="0043218D">
        <w:rPr>
          <w:rFonts w:ascii="Garamond" w:hAnsi="Garamond"/>
          <w:iCs/>
          <w:sz w:val="24"/>
          <w:szCs w:val="24"/>
        </w:rPr>
        <w:t xml:space="preserve"> à destination de l’opinion publique de l’adversaire ou internationale</w:t>
      </w:r>
      <w:r w:rsidR="00D91756" w:rsidRPr="0043218D">
        <w:rPr>
          <w:rFonts w:ascii="Garamond" w:hAnsi="Garamond"/>
          <w:iCs/>
          <w:sz w:val="24"/>
          <w:szCs w:val="24"/>
        </w:rPr>
        <w:t>.</w:t>
      </w:r>
      <w:r w:rsidR="004E3CAE" w:rsidRPr="0043218D">
        <w:rPr>
          <w:rFonts w:ascii="Garamond" w:hAnsi="Garamond"/>
          <w:iCs/>
          <w:sz w:val="24"/>
          <w:szCs w:val="24"/>
        </w:rPr>
        <w:t xml:space="preserve"> </w:t>
      </w:r>
      <w:r w:rsidR="00EA14F2" w:rsidRPr="0043218D">
        <w:rPr>
          <w:rFonts w:ascii="Garamond" w:hAnsi="Garamond"/>
          <w:iCs/>
          <w:sz w:val="24"/>
          <w:szCs w:val="24"/>
        </w:rPr>
        <w:t>Rien n’interdit d’ailleurs au destinataire de ces utilisation</w:t>
      </w:r>
      <w:r w:rsidR="0043218D">
        <w:rPr>
          <w:rFonts w:ascii="Garamond" w:hAnsi="Garamond"/>
          <w:iCs/>
          <w:sz w:val="24"/>
          <w:szCs w:val="24"/>
        </w:rPr>
        <w:t>s</w:t>
      </w:r>
      <w:r w:rsidR="00EA14F2" w:rsidRPr="0043218D">
        <w:rPr>
          <w:rFonts w:ascii="Garamond" w:hAnsi="Garamond"/>
          <w:iCs/>
          <w:sz w:val="24"/>
          <w:szCs w:val="24"/>
        </w:rPr>
        <w:t xml:space="preserve"> du </w:t>
      </w:r>
      <w:proofErr w:type="spellStart"/>
      <w:r w:rsidR="00EA14F2" w:rsidRPr="0043218D">
        <w:rPr>
          <w:rFonts w:ascii="Garamond" w:hAnsi="Garamond"/>
          <w:i/>
          <w:sz w:val="24"/>
          <w:szCs w:val="24"/>
        </w:rPr>
        <w:t>lawfare</w:t>
      </w:r>
      <w:proofErr w:type="spellEnd"/>
      <w:r w:rsidR="00EA14F2" w:rsidRPr="0043218D">
        <w:rPr>
          <w:rFonts w:ascii="Garamond" w:hAnsi="Garamond"/>
          <w:i/>
          <w:sz w:val="24"/>
          <w:szCs w:val="24"/>
        </w:rPr>
        <w:t xml:space="preserve"> </w:t>
      </w:r>
      <w:r w:rsidR="00EA14F2" w:rsidRPr="0043218D">
        <w:rPr>
          <w:rFonts w:ascii="Garamond" w:hAnsi="Garamond"/>
          <w:iCs/>
          <w:sz w:val="24"/>
          <w:szCs w:val="24"/>
        </w:rPr>
        <w:t>compliance de faire de même : dénoncer le non-respect du droit international humanitaire, expliquer les limites et les possibilités offertes par celui-ci, etc. Le fait d’utiliser à des fins militaires un hôpital, une école, un centre culturel, éducationnel ou religieux déclasse ce site et y autorise des opérations militaires où sont simplement renforcées les exigences de proportionnalité ou de discrimination</w:t>
      </w:r>
      <w:r w:rsidR="00EA14F2" w:rsidRPr="00205909">
        <w:rPr>
          <w:rStyle w:val="Appelnotedebasdep"/>
          <w:rFonts w:ascii="Garamond" w:hAnsi="Garamond"/>
          <w:iCs/>
          <w:sz w:val="24"/>
          <w:szCs w:val="24"/>
        </w:rPr>
        <w:footnoteReference w:id="34"/>
      </w:r>
      <w:r w:rsidR="001D3624" w:rsidRPr="0043218D">
        <w:rPr>
          <w:rFonts w:ascii="Garamond" w:hAnsi="Garamond"/>
          <w:iCs/>
          <w:sz w:val="24"/>
          <w:szCs w:val="24"/>
        </w:rPr>
        <w:t>, lesquelles excusent les « dommages collatéraux</w:t>
      </w:r>
      <w:r w:rsidR="001D3624" w:rsidRPr="00205909">
        <w:rPr>
          <w:rStyle w:val="Appelnotedebasdep"/>
          <w:rFonts w:ascii="Garamond" w:hAnsi="Garamond"/>
          <w:iCs/>
          <w:sz w:val="24"/>
          <w:szCs w:val="24"/>
        </w:rPr>
        <w:footnoteReference w:id="35"/>
      </w:r>
      <w:r w:rsidR="00EA14F2" w:rsidRPr="0043218D">
        <w:rPr>
          <w:rFonts w:ascii="Garamond" w:hAnsi="Garamond"/>
          <w:iCs/>
          <w:sz w:val="24"/>
          <w:szCs w:val="24"/>
        </w:rPr>
        <w:t>.</w:t>
      </w:r>
      <w:r w:rsidR="00F72EE0" w:rsidRPr="0043218D">
        <w:rPr>
          <w:rFonts w:ascii="Garamond" w:hAnsi="Garamond"/>
          <w:iCs/>
          <w:sz w:val="24"/>
          <w:szCs w:val="24"/>
        </w:rPr>
        <w:t xml:space="preserve"> </w:t>
      </w:r>
      <w:r w:rsidR="00DF2DA3" w:rsidRPr="00205909">
        <w:rPr>
          <w:rFonts w:ascii="Garamond" w:hAnsi="Garamond"/>
          <w:iCs/>
          <w:sz w:val="24"/>
          <w:szCs w:val="24"/>
        </w:rPr>
        <w:t xml:space="preserve">Ce raisonnement, conçu pour les actions des Etats, </w:t>
      </w:r>
      <w:r w:rsidR="00D2722F">
        <w:rPr>
          <w:rFonts w:ascii="Garamond" w:hAnsi="Garamond"/>
          <w:iCs/>
          <w:sz w:val="24"/>
          <w:szCs w:val="24"/>
        </w:rPr>
        <w:t>devrait</w:t>
      </w:r>
      <w:r w:rsidR="00DF2DA3" w:rsidRPr="00205909">
        <w:rPr>
          <w:rFonts w:ascii="Garamond" w:hAnsi="Garamond"/>
          <w:iCs/>
          <w:sz w:val="24"/>
          <w:szCs w:val="24"/>
        </w:rPr>
        <w:t xml:space="preserve"> </w:t>
      </w:r>
      <w:r w:rsidR="0043218D">
        <w:rPr>
          <w:rFonts w:ascii="Garamond" w:hAnsi="Garamond"/>
          <w:iCs/>
          <w:sz w:val="24"/>
          <w:szCs w:val="24"/>
        </w:rPr>
        <w:t xml:space="preserve">d’ailleurs </w:t>
      </w:r>
      <w:r w:rsidR="00DF2DA3" w:rsidRPr="00205909">
        <w:rPr>
          <w:rFonts w:ascii="Garamond" w:hAnsi="Garamond"/>
          <w:iCs/>
          <w:sz w:val="24"/>
          <w:szCs w:val="24"/>
        </w:rPr>
        <w:t xml:space="preserve">pareillement </w:t>
      </w:r>
      <w:r w:rsidR="00D2722F">
        <w:rPr>
          <w:rFonts w:ascii="Garamond" w:hAnsi="Garamond"/>
          <w:iCs/>
          <w:sz w:val="24"/>
          <w:szCs w:val="24"/>
        </w:rPr>
        <w:t xml:space="preserve">valoir </w:t>
      </w:r>
      <w:r w:rsidR="00DF2DA3" w:rsidRPr="00205909">
        <w:rPr>
          <w:rFonts w:ascii="Garamond" w:hAnsi="Garamond"/>
          <w:iCs/>
          <w:sz w:val="24"/>
          <w:szCs w:val="24"/>
        </w:rPr>
        <w:t>pour les entités privées</w:t>
      </w:r>
      <w:r w:rsidR="00752FD3" w:rsidRPr="00205909">
        <w:rPr>
          <w:rFonts w:ascii="Garamond" w:hAnsi="Garamond"/>
          <w:iCs/>
          <w:sz w:val="24"/>
          <w:szCs w:val="24"/>
        </w:rPr>
        <w:t>.</w:t>
      </w:r>
    </w:p>
    <w:p w14:paraId="664C47EA" w14:textId="77777777" w:rsidR="002876B2" w:rsidRPr="00205909" w:rsidRDefault="002876B2" w:rsidP="002876B2">
      <w:pPr>
        <w:pStyle w:val="numerodeparagraphe"/>
        <w:numPr>
          <w:ilvl w:val="0"/>
          <w:numId w:val="0"/>
        </w:numPr>
        <w:spacing w:before="0"/>
        <w:ind w:left="454"/>
        <w:rPr>
          <w:rFonts w:ascii="Garamond" w:hAnsi="Garamond"/>
          <w:b/>
          <w:bCs/>
          <w:sz w:val="24"/>
          <w:szCs w:val="24"/>
        </w:rPr>
      </w:pPr>
    </w:p>
    <w:p w14:paraId="3FCA5DF9" w14:textId="77777777" w:rsidR="00881B24" w:rsidRPr="00881B24" w:rsidRDefault="002340B0" w:rsidP="007F1788">
      <w:pPr>
        <w:pStyle w:val="numerodeparagraphe"/>
        <w:spacing w:before="0"/>
        <w:rPr>
          <w:rFonts w:ascii="Garamond" w:hAnsi="Garamond"/>
          <w:b/>
          <w:bCs/>
          <w:sz w:val="24"/>
          <w:szCs w:val="24"/>
        </w:rPr>
      </w:pPr>
      <w:r w:rsidRPr="00205909">
        <w:rPr>
          <w:rFonts w:ascii="Garamond" w:hAnsi="Garamond"/>
          <w:sz w:val="24"/>
          <w:szCs w:val="24"/>
        </w:rPr>
        <w:t>De l</w:t>
      </w:r>
      <w:r w:rsidR="00D45D48" w:rsidRPr="00205909">
        <w:rPr>
          <w:rFonts w:ascii="Garamond" w:hAnsi="Garamond"/>
          <w:sz w:val="24"/>
          <w:szCs w:val="24"/>
        </w:rPr>
        <w:t>a</w:t>
      </w:r>
      <w:r w:rsidRPr="00205909">
        <w:rPr>
          <w:rFonts w:ascii="Garamond" w:hAnsi="Garamond"/>
          <w:sz w:val="24"/>
          <w:szCs w:val="24"/>
        </w:rPr>
        <w:t xml:space="preserve"> même manière</w:t>
      </w:r>
      <w:r w:rsidR="00D45D48" w:rsidRPr="00205909">
        <w:rPr>
          <w:rFonts w:ascii="Garamond" w:hAnsi="Garamond"/>
          <w:sz w:val="24"/>
          <w:szCs w:val="24"/>
        </w:rPr>
        <w:t>,</w:t>
      </w:r>
      <w:r w:rsidRPr="00205909">
        <w:rPr>
          <w:rFonts w:ascii="Garamond" w:hAnsi="Garamond"/>
          <w:sz w:val="24"/>
          <w:szCs w:val="24"/>
        </w:rPr>
        <w:t xml:space="preserve"> le </w:t>
      </w:r>
      <w:proofErr w:type="spellStart"/>
      <w:r w:rsidRPr="00205909">
        <w:rPr>
          <w:rFonts w:ascii="Garamond" w:hAnsi="Garamond"/>
          <w:i/>
          <w:iCs/>
          <w:sz w:val="24"/>
          <w:szCs w:val="24"/>
        </w:rPr>
        <w:t>lawfare</w:t>
      </w:r>
      <w:proofErr w:type="spellEnd"/>
      <w:r w:rsidRPr="00205909">
        <w:rPr>
          <w:rFonts w:ascii="Garamond" w:hAnsi="Garamond"/>
          <w:i/>
          <w:iCs/>
          <w:sz w:val="24"/>
          <w:szCs w:val="24"/>
        </w:rPr>
        <w:t xml:space="preserve"> </w:t>
      </w:r>
      <w:r w:rsidRPr="00205909">
        <w:rPr>
          <w:rFonts w:ascii="Garamond" w:hAnsi="Garamond"/>
          <w:sz w:val="24"/>
          <w:szCs w:val="24"/>
        </w:rPr>
        <w:t xml:space="preserve">politique, qui conduit un adversaire à tenter de critiquer, interpréter ou redéfinir le droit international n’est </w:t>
      </w:r>
      <w:r w:rsidR="00881B24">
        <w:rPr>
          <w:rFonts w:ascii="Garamond" w:hAnsi="Garamond"/>
          <w:sz w:val="24"/>
          <w:szCs w:val="24"/>
        </w:rPr>
        <w:t xml:space="preserve">pas </w:t>
      </w:r>
      <w:r w:rsidRPr="00205909">
        <w:rPr>
          <w:rFonts w:ascii="Garamond" w:hAnsi="Garamond"/>
          <w:sz w:val="24"/>
          <w:szCs w:val="24"/>
        </w:rPr>
        <w:t xml:space="preserve">une question juridique ou, plus exactement, est une question juridique ordinaire. Le droit, quel qu’il soit, produit des énoncés qui ne sont pas signifiant en soi. Plus exactement, et notamment en matière de droit international, des Etats ou des groupes d’Etats se font une conception du </w:t>
      </w:r>
      <w:r w:rsidRPr="00205909">
        <w:rPr>
          <w:rFonts w:ascii="Garamond" w:hAnsi="Garamond"/>
          <w:i/>
          <w:iCs/>
          <w:sz w:val="24"/>
          <w:szCs w:val="24"/>
        </w:rPr>
        <w:t xml:space="preserve">sens </w:t>
      </w:r>
      <w:r w:rsidRPr="00205909">
        <w:rPr>
          <w:rFonts w:ascii="Garamond" w:hAnsi="Garamond"/>
          <w:sz w:val="24"/>
          <w:szCs w:val="24"/>
        </w:rPr>
        <w:t xml:space="preserve">de telle règle de droit qui correspond à l’état de la jurisprudence, internationale ou interne, </w:t>
      </w:r>
      <w:r w:rsidR="001845A6" w:rsidRPr="00205909">
        <w:rPr>
          <w:rFonts w:ascii="Garamond" w:hAnsi="Garamond"/>
          <w:sz w:val="24"/>
          <w:szCs w:val="24"/>
        </w:rPr>
        <w:t xml:space="preserve">ou la doctrine juridique produite dans ces Etats. Ces énoncés ne sont cependant ni vrais ni faux et ne le deviennent que lorsqu’un juge établit le sens d’une telle norme. Or, </w:t>
      </w:r>
      <w:r w:rsidR="00881B24">
        <w:rPr>
          <w:rFonts w:ascii="Garamond" w:hAnsi="Garamond"/>
          <w:sz w:val="24"/>
          <w:szCs w:val="24"/>
        </w:rPr>
        <w:t xml:space="preserve">ce sens </w:t>
      </w:r>
      <w:r w:rsidR="001845A6" w:rsidRPr="00205909">
        <w:rPr>
          <w:rFonts w:ascii="Garamond" w:hAnsi="Garamond"/>
          <w:sz w:val="24"/>
          <w:szCs w:val="24"/>
        </w:rPr>
        <w:t>n’</w:t>
      </w:r>
      <w:r w:rsidR="00881B24">
        <w:rPr>
          <w:rFonts w:ascii="Garamond" w:hAnsi="Garamond"/>
          <w:sz w:val="24"/>
          <w:szCs w:val="24"/>
        </w:rPr>
        <w:t xml:space="preserve">est pas produit, ou </w:t>
      </w:r>
      <w:r w:rsidR="001845A6" w:rsidRPr="00205909">
        <w:rPr>
          <w:rFonts w:ascii="Garamond" w:hAnsi="Garamond"/>
          <w:sz w:val="24"/>
          <w:szCs w:val="24"/>
        </w:rPr>
        <w:t>imparfait</w:t>
      </w:r>
      <w:r w:rsidR="00881B24">
        <w:rPr>
          <w:rFonts w:ascii="Garamond" w:hAnsi="Garamond"/>
          <w:sz w:val="24"/>
          <w:szCs w:val="24"/>
        </w:rPr>
        <w:t>ement</w:t>
      </w:r>
      <w:r w:rsidR="001845A6" w:rsidRPr="00205909">
        <w:rPr>
          <w:rFonts w:ascii="Garamond" w:hAnsi="Garamond"/>
          <w:sz w:val="24"/>
          <w:szCs w:val="24"/>
        </w:rPr>
        <w:t> : la Cour Internationale de Justice produit des décisions non contraignantes et le Conseil de sécurité des Nations Unies qui produit des décisions contraignantes, a une fonction délibérative et exécutive, et non judiciaire. Ce n’est donc que très rarement que des réponses précises sont offertes</w:t>
      </w:r>
      <w:r w:rsidR="001845A6" w:rsidRPr="00205909">
        <w:rPr>
          <w:rStyle w:val="Appelnotedebasdep"/>
          <w:rFonts w:ascii="Garamond" w:hAnsi="Garamond"/>
          <w:sz w:val="24"/>
          <w:szCs w:val="24"/>
        </w:rPr>
        <w:t>.</w:t>
      </w:r>
      <w:r w:rsidR="001845A6" w:rsidRPr="00205909">
        <w:rPr>
          <w:rFonts w:ascii="Garamond" w:hAnsi="Garamond"/>
          <w:sz w:val="24"/>
          <w:szCs w:val="24"/>
        </w:rPr>
        <w:t xml:space="preserve"> Ainsi, une sentence arbitrale a été rendue le 12 juillet 2016, sous l’égide de la Cour Permanente d’Arbitrage, créée par la convention I de 1899, et sur le fondement de la convention de 1982 sur le droit de la mer</w:t>
      </w:r>
      <w:r w:rsidR="008700CA" w:rsidRPr="00205909">
        <w:rPr>
          <w:rFonts w:ascii="Garamond" w:hAnsi="Garamond"/>
          <w:sz w:val="24"/>
          <w:szCs w:val="24"/>
        </w:rPr>
        <w:t xml:space="preserve"> </w:t>
      </w:r>
      <w:r w:rsidR="001845A6" w:rsidRPr="00205909">
        <w:rPr>
          <w:rFonts w:ascii="Garamond" w:hAnsi="Garamond"/>
          <w:sz w:val="24"/>
          <w:szCs w:val="24"/>
        </w:rPr>
        <w:t>condamnant la délimitation unilatéralement choisie par la Chine, notamment la « ligne des neuf traits</w:t>
      </w:r>
      <w:r w:rsidR="001845A6" w:rsidRPr="00205909">
        <w:rPr>
          <w:rFonts w:ascii="Garamond" w:hAnsi="Garamond"/>
          <w:sz w:val="24"/>
          <w:szCs w:val="24"/>
          <w:vertAlign w:val="superscript"/>
        </w:rPr>
        <w:footnoteReference w:id="36"/>
      </w:r>
      <w:r w:rsidR="001845A6" w:rsidRPr="00205909">
        <w:rPr>
          <w:rFonts w:ascii="Garamond" w:hAnsi="Garamond"/>
          <w:sz w:val="24"/>
          <w:szCs w:val="24"/>
        </w:rPr>
        <w:t> », sans toutefois que la Chine ait changé son comportement. Par conséquent</w:t>
      </w:r>
      <w:r w:rsidR="008700CA" w:rsidRPr="00205909">
        <w:rPr>
          <w:rFonts w:ascii="Garamond" w:hAnsi="Garamond"/>
          <w:sz w:val="24"/>
          <w:szCs w:val="24"/>
        </w:rPr>
        <w:t xml:space="preserve">, le </w:t>
      </w:r>
      <w:proofErr w:type="spellStart"/>
      <w:r w:rsidR="008700CA" w:rsidRPr="00205909">
        <w:rPr>
          <w:rFonts w:ascii="Garamond" w:hAnsi="Garamond"/>
          <w:i/>
          <w:iCs/>
          <w:sz w:val="24"/>
          <w:szCs w:val="24"/>
        </w:rPr>
        <w:t>lawfare</w:t>
      </w:r>
      <w:proofErr w:type="spellEnd"/>
      <w:r w:rsidR="008700CA" w:rsidRPr="00205909">
        <w:rPr>
          <w:rFonts w:ascii="Garamond" w:hAnsi="Garamond"/>
          <w:i/>
          <w:iCs/>
          <w:sz w:val="24"/>
          <w:szCs w:val="24"/>
        </w:rPr>
        <w:t xml:space="preserve"> </w:t>
      </w:r>
      <w:r w:rsidR="008700CA" w:rsidRPr="00205909">
        <w:rPr>
          <w:rFonts w:ascii="Garamond" w:hAnsi="Garamond"/>
          <w:sz w:val="24"/>
          <w:szCs w:val="24"/>
        </w:rPr>
        <w:t>politique pose moins une difficulté juridique qu’informationnelle, là encore à destination d’une opinion publique, interne, ou internationale. La Russie ou la Chine par exemple réfutent par principe les règles de l’ordre international, propose</w:t>
      </w:r>
      <w:r w:rsidR="00881B24">
        <w:rPr>
          <w:rFonts w:ascii="Garamond" w:hAnsi="Garamond"/>
          <w:sz w:val="24"/>
          <w:szCs w:val="24"/>
        </w:rPr>
        <w:t>nt</w:t>
      </w:r>
      <w:r w:rsidR="008700CA" w:rsidRPr="00205909">
        <w:rPr>
          <w:rFonts w:ascii="Garamond" w:hAnsi="Garamond"/>
          <w:sz w:val="24"/>
          <w:szCs w:val="24"/>
        </w:rPr>
        <w:t xml:space="preserve"> des interprétations qui les favorisent, mais continuent de participer aux instances internationales, y compris pour tenter d’user de leur influence pour modifier ces règles, de l’intérieur.</w:t>
      </w:r>
      <w:r w:rsidR="00881B24">
        <w:rPr>
          <w:rFonts w:ascii="Garamond" w:hAnsi="Garamond"/>
          <w:sz w:val="24"/>
          <w:szCs w:val="24"/>
        </w:rPr>
        <w:t xml:space="preserve"> </w:t>
      </w:r>
    </w:p>
    <w:p w14:paraId="40AFEA79" w14:textId="7A4A0C4D" w:rsidR="00F04744" w:rsidRPr="00205909" w:rsidRDefault="00881B24" w:rsidP="00881B24">
      <w:pPr>
        <w:pStyle w:val="numerodeparagraphe"/>
        <w:numPr>
          <w:ilvl w:val="0"/>
          <w:numId w:val="0"/>
        </w:numPr>
        <w:spacing w:before="0"/>
        <w:ind w:firstLine="454"/>
        <w:rPr>
          <w:rFonts w:ascii="Garamond" w:hAnsi="Garamond"/>
          <w:b/>
          <w:bCs/>
          <w:sz w:val="24"/>
          <w:szCs w:val="24"/>
        </w:rPr>
      </w:pPr>
      <w:r>
        <w:rPr>
          <w:rFonts w:ascii="Garamond" w:hAnsi="Garamond"/>
          <w:sz w:val="24"/>
          <w:szCs w:val="24"/>
        </w:rPr>
        <w:t xml:space="preserve">Ces deux formes de </w:t>
      </w:r>
      <w:proofErr w:type="spellStart"/>
      <w:r w:rsidRPr="00881B24">
        <w:rPr>
          <w:rFonts w:ascii="Garamond" w:hAnsi="Garamond"/>
          <w:i/>
          <w:iCs/>
          <w:sz w:val="24"/>
          <w:szCs w:val="24"/>
        </w:rPr>
        <w:t>lawfare</w:t>
      </w:r>
      <w:proofErr w:type="spellEnd"/>
      <w:r>
        <w:rPr>
          <w:rFonts w:ascii="Garamond" w:hAnsi="Garamond"/>
          <w:sz w:val="24"/>
          <w:szCs w:val="24"/>
        </w:rPr>
        <w:t>, majoritairement utilisée pour l’illustrer ne sont donc pas des figures juridiques, ou alors, à la marge</w:t>
      </w:r>
      <w:r w:rsidR="00D2722F">
        <w:rPr>
          <w:rFonts w:ascii="Garamond" w:hAnsi="Garamond"/>
          <w:sz w:val="24"/>
          <w:szCs w:val="24"/>
        </w:rPr>
        <w:t>, celle de l’interprétation des règles</w:t>
      </w:r>
      <w:r w:rsidR="00407F60">
        <w:rPr>
          <w:rFonts w:ascii="Garamond" w:hAnsi="Garamond"/>
          <w:sz w:val="24"/>
          <w:szCs w:val="24"/>
        </w:rPr>
        <w:t>, activité diplomatique ou doctrinale,</w:t>
      </w:r>
      <w:r w:rsidR="00D2722F">
        <w:rPr>
          <w:rFonts w:ascii="Garamond" w:hAnsi="Garamond"/>
          <w:sz w:val="24"/>
          <w:szCs w:val="24"/>
        </w:rPr>
        <w:t xml:space="preserve"> ou de leur utilisation abusive à des fins diffamantes, par des acteurs </w:t>
      </w:r>
      <w:r w:rsidR="0005784E">
        <w:rPr>
          <w:rFonts w:ascii="Garamond" w:hAnsi="Garamond"/>
          <w:sz w:val="24"/>
          <w:szCs w:val="24"/>
        </w:rPr>
        <w:t>difficilement</w:t>
      </w:r>
      <w:r w:rsidR="00D2722F">
        <w:rPr>
          <w:rFonts w:ascii="Garamond" w:hAnsi="Garamond"/>
          <w:sz w:val="24"/>
          <w:szCs w:val="24"/>
        </w:rPr>
        <w:t xml:space="preserve"> sais</w:t>
      </w:r>
      <w:r w:rsidR="0005784E">
        <w:rPr>
          <w:rFonts w:ascii="Garamond" w:hAnsi="Garamond"/>
          <w:sz w:val="24"/>
          <w:szCs w:val="24"/>
        </w:rPr>
        <w:t>is</w:t>
      </w:r>
      <w:r w:rsidR="00D2722F">
        <w:rPr>
          <w:rFonts w:ascii="Garamond" w:hAnsi="Garamond"/>
          <w:sz w:val="24"/>
          <w:szCs w:val="24"/>
        </w:rPr>
        <w:t>sables</w:t>
      </w:r>
      <w:r>
        <w:rPr>
          <w:rFonts w:ascii="Garamond" w:hAnsi="Garamond"/>
          <w:sz w:val="24"/>
          <w:szCs w:val="24"/>
        </w:rPr>
        <w:t>.</w:t>
      </w:r>
    </w:p>
    <w:p w14:paraId="4622A0F5" w14:textId="77777777" w:rsidR="003E6057" w:rsidRPr="00205909" w:rsidRDefault="003E6057" w:rsidP="007F1788">
      <w:pPr>
        <w:pStyle w:val="Paragraphedeliste"/>
        <w:widowControl w:val="0"/>
        <w:spacing w:after="0" w:line="240" w:lineRule="auto"/>
        <w:ind w:left="814" w:right="-1"/>
        <w:jc w:val="both"/>
        <w:rPr>
          <w:rFonts w:ascii="Garamond" w:hAnsi="Garamond" w:cs="Times New Roman"/>
          <w:b/>
          <w:bCs/>
          <w:sz w:val="24"/>
          <w:szCs w:val="24"/>
        </w:rPr>
      </w:pPr>
    </w:p>
    <w:p w14:paraId="51F0CB19" w14:textId="7EC98478" w:rsidR="00B849E1" w:rsidRPr="00205909" w:rsidRDefault="008700CA" w:rsidP="007F1788">
      <w:pPr>
        <w:widowControl w:val="0"/>
        <w:spacing w:after="0" w:line="240" w:lineRule="auto"/>
        <w:ind w:right="-1"/>
        <w:rPr>
          <w:rFonts w:ascii="Garamond" w:hAnsi="Garamond" w:cs="Times New Roman"/>
          <w:b/>
          <w:bCs/>
          <w:smallCaps/>
          <w:sz w:val="24"/>
          <w:szCs w:val="24"/>
        </w:rPr>
      </w:pPr>
      <w:r w:rsidRPr="00205909">
        <w:rPr>
          <w:rFonts w:ascii="Garamond" w:hAnsi="Garamond" w:cs="Times New Roman"/>
          <w:b/>
          <w:bCs/>
          <w:smallCaps/>
          <w:sz w:val="24"/>
          <w:szCs w:val="24"/>
        </w:rPr>
        <w:t>II</w:t>
      </w:r>
      <w:r w:rsidR="001215BF" w:rsidRPr="00205909">
        <w:rPr>
          <w:rFonts w:ascii="Garamond" w:hAnsi="Garamond" w:cs="Times New Roman"/>
          <w:b/>
          <w:bCs/>
          <w:smallCaps/>
          <w:sz w:val="24"/>
          <w:szCs w:val="24"/>
        </w:rPr>
        <w:t>I</w:t>
      </w:r>
      <w:r w:rsidR="003E6057" w:rsidRPr="00205909">
        <w:rPr>
          <w:rFonts w:ascii="Garamond" w:hAnsi="Garamond" w:cs="Times New Roman"/>
          <w:b/>
          <w:bCs/>
          <w:smallCaps/>
          <w:sz w:val="24"/>
          <w:szCs w:val="24"/>
        </w:rPr>
        <w:t xml:space="preserve">. </w:t>
      </w:r>
      <w:r w:rsidR="002B331F" w:rsidRPr="00205909">
        <w:rPr>
          <w:rFonts w:ascii="Garamond" w:hAnsi="Garamond" w:cs="Times New Roman"/>
          <w:b/>
          <w:bCs/>
          <w:smallCaps/>
          <w:sz w:val="24"/>
          <w:szCs w:val="24"/>
        </w:rPr>
        <w:t xml:space="preserve">Le </w:t>
      </w:r>
      <w:r w:rsidR="00022A6C" w:rsidRPr="00205909">
        <w:rPr>
          <w:rFonts w:ascii="Garamond" w:hAnsi="Garamond" w:cs="Times New Roman"/>
          <w:b/>
          <w:bCs/>
          <w:smallCaps/>
          <w:sz w:val="24"/>
          <w:szCs w:val="24"/>
        </w:rPr>
        <w:t>« </w:t>
      </w:r>
      <w:proofErr w:type="spellStart"/>
      <w:r w:rsidR="002B331F" w:rsidRPr="00205909">
        <w:rPr>
          <w:rFonts w:ascii="Garamond" w:hAnsi="Garamond" w:cs="Times New Roman"/>
          <w:b/>
          <w:bCs/>
          <w:i/>
          <w:iCs/>
          <w:smallCaps/>
          <w:sz w:val="24"/>
          <w:szCs w:val="24"/>
        </w:rPr>
        <w:t>Lawfare</w:t>
      </w:r>
      <w:proofErr w:type="spellEnd"/>
      <w:r w:rsidR="00171457" w:rsidRPr="00205909">
        <w:rPr>
          <w:rFonts w:ascii="Garamond" w:hAnsi="Garamond" w:cs="Times New Roman"/>
          <w:b/>
          <w:bCs/>
          <w:smallCaps/>
          <w:sz w:val="24"/>
          <w:szCs w:val="24"/>
        </w:rPr>
        <w:t xml:space="preserve"> instrumenta</w:t>
      </w:r>
      <w:r w:rsidR="008921A6" w:rsidRPr="00205909">
        <w:rPr>
          <w:rFonts w:ascii="Garamond" w:hAnsi="Garamond" w:cs="Times New Roman"/>
          <w:b/>
          <w:bCs/>
          <w:smallCaps/>
          <w:sz w:val="24"/>
          <w:szCs w:val="24"/>
        </w:rPr>
        <w:t>ire</w:t>
      </w:r>
      <w:r w:rsidR="00022A6C" w:rsidRPr="00205909">
        <w:rPr>
          <w:rFonts w:ascii="Garamond" w:hAnsi="Garamond" w:cs="Times New Roman"/>
          <w:b/>
          <w:bCs/>
          <w:smallCaps/>
          <w:sz w:val="24"/>
          <w:szCs w:val="24"/>
        </w:rPr>
        <w:t> »</w:t>
      </w:r>
      <w:r w:rsidR="00FA7E6E" w:rsidRPr="00205909">
        <w:rPr>
          <w:rFonts w:ascii="Garamond" w:hAnsi="Garamond" w:cs="Times New Roman"/>
          <w:b/>
          <w:bCs/>
          <w:smallCaps/>
          <w:sz w:val="24"/>
          <w:szCs w:val="24"/>
        </w:rPr>
        <w:t>, une institution juridique originale</w:t>
      </w:r>
    </w:p>
    <w:p w14:paraId="1214C31B" w14:textId="77777777" w:rsidR="00D42129" w:rsidRPr="00205909" w:rsidRDefault="00D42129" w:rsidP="007F1788">
      <w:pPr>
        <w:widowControl w:val="0"/>
        <w:spacing w:after="0" w:line="240" w:lineRule="auto"/>
        <w:ind w:right="-1"/>
        <w:rPr>
          <w:rFonts w:ascii="Garamond" w:hAnsi="Garamond" w:cs="Times New Roman"/>
          <w:b/>
          <w:bCs/>
          <w:smallCaps/>
          <w:sz w:val="24"/>
          <w:szCs w:val="24"/>
        </w:rPr>
      </w:pPr>
    </w:p>
    <w:p w14:paraId="338959DE" w14:textId="76464003" w:rsidR="00B64D0F" w:rsidRPr="00205909" w:rsidRDefault="007F38F5" w:rsidP="007F1788">
      <w:pPr>
        <w:pStyle w:val="numerodeparagraphe"/>
        <w:spacing w:before="0"/>
        <w:rPr>
          <w:rFonts w:ascii="Garamond" w:hAnsi="Garamond"/>
          <w:sz w:val="24"/>
          <w:szCs w:val="24"/>
        </w:rPr>
      </w:pPr>
      <w:r w:rsidRPr="00205909">
        <w:rPr>
          <w:rFonts w:ascii="Garamond" w:hAnsi="Garamond"/>
          <w:sz w:val="24"/>
          <w:szCs w:val="24"/>
        </w:rPr>
        <w:t>Le concept</w:t>
      </w:r>
      <w:r w:rsidR="008975AF" w:rsidRPr="00205909">
        <w:rPr>
          <w:rFonts w:ascii="Garamond" w:hAnsi="Garamond"/>
          <w:sz w:val="24"/>
          <w:szCs w:val="24"/>
        </w:rPr>
        <w:t xml:space="preserve"> de</w:t>
      </w:r>
      <w:r w:rsidRPr="00205909">
        <w:rPr>
          <w:rFonts w:ascii="Garamond" w:hAnsi="Garamond"/>
          <w:sz w:val="24"/>
          <w:szCs w:val="24"/>
        </w:rPr>
        <w:t xml:space="preserve"> </w:t>
      </w:r>
      <w:proofErr w:type="spellStart"/>
      <w:r w:rsidR="00B849E1" w:rsidRPr="00205909">
        <w:rPr>
          <w:rFonts w:ascii="Garamond" w:hAnsi="Garamond"/>
          <w:i/>
          <w:iCs/>
          <w:sz w:val="24"/>
          <w:szCs w:val="24"/>
        </w:rPr>
        <w:t>lawfare</w:t>
      </w:r>
      <w:proofErr w:type="spellEnd"/>
      <w:r w:rsidR="00B849E1" w:rsidRPr="00205909">
        <w:rPr>
          <w:rFonts w:ascii="Garamond" w:hAnsi="Garamond"/>
          <w:i/>
          <w:iCs/>
          <w:sz w:val="24"/>
          <w:szCs w:val="24"/>
        </w:rPr>
        <w:t xml:space="preserve"> </w:t>
      </w:r>
      <w:r w:rsidR="008975AF" w:rsidRPr="00205909">
        <w:rPr>
          <w:rFonts w:ascii="Garamond" w:hAnsi="Garamond"/>
          <w:i/>
          <w:iCs/>
          <w:sz w:val="24"/>
          <w:szCs w:val="24"/>
        </w:rPr>
        <w:t>instrumenta</w:t>
      </w:r>
      <w:r w:rsidR="008921A6" w:rsidRPr="00205909">
        <w:rPr>
          <w:rFonts w:ascii="Garamond" w:hAnsi="Garamond"/>
          <w:i/>
          <w:iCs/>
          <w:sz w:val="24"/>
          <w:szCs w:val="24"/>
        </w:rPr>
        <w:t>ire</w:t>
      </w:r>
      <w:r w:rsidR="008921A6" w:rsidRPr="00205909">
        <w:rPr>
          <w:rFonts w:ascii="Garamond" w:hAnsi="Garamond"/>
          <w:sz w:val="24"/>
          <w:szCs w:val="24"/>
        </w:rPr>
        <w:t xml:space="preserve">, traduction immédiate de la formule </w:t>
      </w:r>
      <w:r w:rsidR="008921A6" w:rsidRPr="00205909">
        <w:rPr>
          <w:rFonts w:ascii="Garamond" w:hAnsi="Garamond"/>
          <w:i/>
          <w:iCs/>
          <w:sz w:val="24"/>
          <w:szCs w:val="24"/>
        </w:rPr>
        <w:t xml:space="preserve">instrumental </w:t>
      </w:r>
      <w:proofErr w:type="spellStart"/>
      <w:r w:rsidR="008921A6" w:rsidRPr="00205909">
        <w:rPr>
          <w:rFonts w:ascii="Garamond" w:hAnsi="Garamond"/>
          <w:i/>
          <w:iCs/>
          <w:sz w:val="24"/>
          <w:szCs w:val="24"/>
        </w:rPr>
        <w:t>lawfare</w:t>
      </w:r>
      <w:proofErr w:type="spellEnd"/>
      <w:r w:rsidR="008921A6" w:rsidRPr="00205909">
        <w:rPr>
          <w:rFonts w:ascii="Garamond" w:hAnsi="Garamond"/>
          <w:sz w:val="24"/>
          <w:szCs w:val="24"/>
        </w:rPr>
        <w:t xml:space="preserve"> utilisée par O. F. </w:t>
      </w:r>
      <w:proofErr w:type="spellStart"/>
      <w:r w:rsidR="008921A6" w:rsidRPr="00205909">
        <w:rPr>
          <w:rFonts w:ascii="Garamond" w:hAnsi="Garamond"/>
          <w:sz w:val="24"/>
          <w:szCs w:val="24"/>
        </w:rPr>
        <w:t>Kittrie</w:t>
      </w:r>
      <w:proofErr w:type="spellEnd"/>
      <w:r w:rsidR="008921A6" w:rsidRPr="00205909">
        <w:rPr>
          <w:rFonts w:ascii="Garamond" w:hAnsi="Garamond"/>
          <w:sz w:val="24"/>
          <w:szCs w:val="24"/>
        </w:rPr>
        <w:t xml:space="preserve"> dans une des premières études d’ampleur de cette institution</w:t>
      </w:r>
      <w:r w:rsidR="008921A6" w:rsidRPr="00205909">
        <w:rPr>
          <w:rStyle w:val="Appelnotedebasdep"/>
          <w:rFonts w:ascii="Garamond" w:hAnsi="Garamond"/>
          <w:sz w:val="20"/>
          <w:szCs w:val="20"/>
        </w:rPr>
        <w:footnoteReference w:id="37"/>
      </w:r>
      <w:r w:rsidR="0095581D" w:rsidRPr="00205909">
        <w:rPr>
          <w:rFonts w:ascii="Garamond" w:hAnsi="Garamond"/>
          <w:sz w:val="24"/>
          <w:szCs w:val="24"/>
        </w:rPr>
        <w:t>,</w:t>
      </w:r>
      <w:r w:rsidR="008975AF" w:rsidRPr="00205909">
        <w:rPr>
          <w:rFonts w:ascii="Garamond" w:hAnsi="Garamond"/>
          <w:sz w:val="24"/>
          <w:szCs w:val="24"/>
        </w:rPr>
        <w:t xml:space="preserve"> </w:t>
      </w:r>
      <w:r w:rsidR="00B11DA0" w:rsidRPr="00205909">
        <w:rPr>
          <w:rFonts w:ascii="Garamond" w:hAnsi="Garamond"/>
          <w:sz w:val="24"/>
          <w:szCs w:val="24"/>
        </w:rPr>
        <w:t>correspond à l’idée selon laquelle des règles de droit</w:t>
      </w:r>
      <w:r w:rsidR="0095581D" w:rsidRPr="00205909">
        <w:rPr>
          <w:rFonts w:ascii="Garamond" w:hAnsi="Garamond"/>
          <w:sz w:val="24"/>
          <w:szCs w:val="24"/>
        </w:rPr>
        <w:t>, des « instruments »,</w:t>
      </w:r>
      <w:r w:rsidR="00B11DA0" w:rsidRPr="00205909">
        <w:rPr>
          <w:rFonts w:ascii="Garamond" w:hAnsi="Garamond"/>
          <w:sz w:val="24"/>
          <w:szCs w:val="24"/>
        </w:rPr>
        <w:t xml:space="preserve"> pourraient être utilisées</w:t>
      </w:r>
      <w:r w:rsidR="008921A6" w:rsidRPr="00205909">
        <w:rPr>
          <w:rFonts w:ascii="Garamond" w:hAnsi="Garamond"/>
          <w:sz w:val="24"/>
          <w:szCs w:val="24"/>
        </w:rPr>
        <w:t>, au sens opérationnel du terme,</w:t>
      </w:r>
      <w:r w:rsidR="00B11DA0" w:rsidRPr="00205909">
        <w:rPr>
          <w:rFonts w:ascii="Garamond" w:hAnsi="Garamond"/>
          <w:sz w:val="24"/>
          <w:szCs w:val="24"/>
        </w:rPr>
        <w:t xml:space="preserve"> pour obtenir, par substitution ou addition, des effets équivalent à ceux d’une opération militaire</w:t>
      </w:r>
      <w:r w:rsidR="00187748" w:rsidRPr="00205909">
        <w:rPr>
          <w:rFonts w:ascii="Garamond" w:hAnsi="Garamond"/>
          <w:sz w:val="24"/>
          <w:szCs w:val="24"/>
        </w:rPr>
        <w:t>, armée, malveillante ou agressive</w:t>
      </w:r>
      <w:r w:rsidR="00B11DA0" w:rsidRPr="00205909">
        <w:rPr>
          <w:rFonts w:ascii="Garamond" w:hAnsi="Garamond"/>
          <w:sz w:val="24"/>
          <w:szCs w:val="24"/>
        </w:rPr>
        <w:t xml:space="preserve">. </w:t>
      </w:r>
      <w:r w:rsidR="00E7611A" w:rsidRPr="00205909">
        <w:rPr>
          <w:rFonts w:ascii="Garamond" w:hAnsi="Garamond"/>
          <w:sz w:val="24"/>
          <w:szCs w:val="24"/>
        </w:rPr>
        <w:t>Elle est souvent envisagée en France sous la formule « intelligence juridique »</w:t>
      </w:r>
      <w:r w:rsidR="008921A6" w:rsidRPr="00205909">
        <w:rPr>
          <w:rFonts w:ascii="Garamond" w:hAnsi="Garamond"/>
          <w:sz w:val="24"/>
          <w:szCs w:val="24"/>
        </w:rPr>
        <w:t xml:space="preserve"> et étudiée comme telle</w:t>
      </w:r>
      <w:r w:rsidR="0095581D" w:rsidRPr="00205909">
        <w:rPr>
          <w:rStyle w:val="Appelnotedebasdep"/>
          <w:rFonts w:ascii="Garamond" w:hAnsi="Garamond"/>
          <w:sz w:val="24"/>
          <w:szCs w:val="24"/>
        </w:rPr>
        <w:footnoteReference w:id="38"/>
      </w:r>
      <w:r w:rsidR="00E7611A" w:rsidRPr="00205909">
        <w:rPr>
          <w:rFonts w:ascii="Garamond" w:hAnsi="Garamond"/>
          <w:sz w:val="24"/>
          <w:szCs w:val="24"/>
        </w:rPr>
        <w:t>.</w:t>
      </w:r>
    </w:p>
    <w:p w14:paraId="35328566" w14:textId="77777777" w:rsidR="002876B2" w:rsidRPr="00205909" w:rsidRDefault="002876B2" w:rsidP="002876B2">
      <w:pPr>
        <w:pStyle w:val="numerodeparagraphe"/>
        <w:numPr>
          <w:ilvl w:val="0"/>
          <w:numId w:val="0"/>
        </w:numPr>
        <w:spacing w:before="0"/>
        <w:ind w:left="454"/>
        <w:rPr>
          <w:rFonts w:ascii="Garamond" w:hAnsi="Garamond"/>
          <w:sz w:val="24"/>
          <w:szCs w:val="24"/>
        </w:rPr>
      </w:pPr>
    </w:p>
    <w:p w14:paraId="424CD330" w14:textId="2FD94BFE" w:rsidR="0000280A" w:rsidRPr="00205909" w:rsidRDefault="00B11DA0" w:rsidP="007F1788">
      <w:pPr>
        <w:pStyle w:val="numerodeparagraphe"/>
        <w:spacing w:before="0"/>
        <w:rPr>
          <w:rFonts w:ascii="Garamond" w:hAnsi="Garamond"/>
          <w:sz w:val="24"/>
          <w:szCs w:val="24"/>
        </w:rPr>
      </w:pPr>
      <w:r w:rsidRPr="00205909">
        <w:rPr>
          <w:rFonts w:ascii="Garamond" w:hAnsi="Garamond"/>
          <w:sz w:val="24"/>
          <w:szCs w:val="24"/>
        </w:rPr>
        <w:t xml:space="preserve">Les exemples d’utilisation de cette forme de </w:t>
      </w:r>
      <w:proofErr w:type="spellStart"/>
      <w:r w:rsidRPr="00205909">
        <w:rPr>
          <w:rFonts w:ascii="Garamond" w:hAnsi="Garamond"/>
          <w:i/>
          <w:iCs/>
          <w:sz w:val="24"/>
          <w:szCs w:val="24"/>
        </w:rPr>
        <w:t>lawfare</w:t>
      </w:r>
      <w:proofErr w:type="spellEnd"/>
      <w:r w:rsidRPr="00205909">
        <w:rPr>
          <w:rFonts w:ascii="Garamond" w:hAnsi="Garamond"/>
          <w:i/>
          <w:iCs/>
          <w:sz w:val="24"/>
          <w:szCs w:val="24"/>
        </w:rPr>
        <w:t xml:space="preserve"> </w:t>
      </w:r>
      <w:r w:rsidRPr="00205909">
        <w:rPr>
          <w:rFonts w:ascii="Garamond" w:hAnsi="Garamond"/>
          <w:sz w:val="24"/>
          <w:szCs w:val="24"/>
        </w:rPr>
        <w:t>sont innombrables dans les relations internationales</w:t>
      </w:r>
      <w:r w:rsidR="00B64D0F" w:rsidRPr="00205909">
        <w:rPr>
          <w:rFonts w:ascii="Garamond" w:hAnsi="Garamond"/>
          <w:sz w:val="24"/>
          <w:szCs w:val="24"/>
        </w:rPr>
        <w:t xml:space="preserve">, mais également internes, de telle manière qu’il assez difficile de proposer une grille permettant de les catégoriser, ou, plus exactement, que plusieurs </w:t>
      </w:r>
      <w:r w:rsidR="0000280A" w:rsidRPr="00205909">
        <w:rPr>
          <w:rFonts w:ascii="Garamond" w:hAnsi="Garamond"/>
          <w:sz w:val="24"/>
          <w:szCs w:val="24"/>
        </w:rPr>
        <w:t xml:space="preserve">éléments, d’importance inégale, de distinction </w:t>
      </w:r>
      <w:r w:rsidR="00B64D0F" w:rsidRPr="00205909">
        <w:rPr>
          <w:rFonts w:ascii="Garamond" w:hAnsi="Garamond"/>
          <w:sz w:val="24"/>
          <w:szCs w:val="24"/>
        </w:rPr>
        <w:t xml:space="preserve">peuvent être utilisés </w:t>
      </w:r>
      <w:r w:rsidR="0000280A" w:rsidRPr="00205909">
        <w:rPr>
          <w:rFonts w:ascii="Garamond" w:hAnsi="Garamond"/>
          <w:sz w:val="24"/>
          <w:szCs w:val="24"/>
        </w:rPr>
        <w:t>(A), tandis que la question de l’appréciation de la validité</w:t>
      </w:r>
      <w:r w:rsidR="006C1B8E" w:rsidRPr="00205909">
        <w:rPr>
          <w:rFonts w:ascii="Garamond" w:hAnsi="Garamond"/>
          <w:sz w:val="24"/>
          <w:szCs w:val="24"/>
        </w:rPr>
        <w:t xml:space="preserve"> (B)</w:t>
      </w:r>
      <w:r w:rsidR="0000280A" w:rsidRPr="00205909">
        <w:rPr>
          <w:rFonts w:ascii="Garamond" w:hAnsi="Garamond"/>
          <w:sz w:val="24"/>
          <w:szCs w:val="24"/>
        </w:rPr>
        <w:t xml:space="preserve"> ou de l’efficacité </w:t>
      </w:r>
      <w:r w:rsidR="006C1B8E" w:rsidRPr="00205909">
        <w:rPr>
          <w:rFonts w:ascii="Garamond" w:hAnsi="Garamond"/>
          <w:sz w:val="24"/>
          <w:szCs w:val="24"/>
        </w:rPr>
        <w:t xml:space="preserve">(C) </w:t>
      </w:r>
      <w:r w:rsidR="0000280A" w:rsidRPr="00205909">
        <w:rPr>
          <w:rFonts w:ascii="Garamond" w:hAnsi="Garamond"/>
          <w:sz w:val="24"/>
          <w:szCs w:val="24"/>
        </w:rPr>
        <w:t>de ces règles reste à mesurer.</w:t>
      </w:r>
    </w:p>
    <w:p w14:paraId="31C717BC" w14:textId="77777777" w:rsidR="00ED3B69" w:rsidRPr="00205909" w:rsidRDefault="00ED3B69" w:rsidP="007F1788">
      <w:pPr>
        <w:widowControl w:val="0"/>
        <w:spacing w:after="0" w:line="240" w:lineRule="auto"/>
        <w:ind w:left="426" w:right="-1"/>
        <w:jc w:val="both"/>
        <w:rPr>
          <w:rFonts w:ascii="Garamond" w:hAnsi="Garamond" w:cs="Times New Roman"/>
          <w:sz w:val="24"/>
          <w:szCs w:val="24"/>
        </w:rPr>
      </w:pPr>
    </w:p>
    <w:p w14:paraId="6E130DB6" w14:textId="6430B5A9" w:rsidR="0000280A" w:rsidRPr="00205909" w:rsidRDefault="0000280A" w:rsidP="0000280A">
      <w:pPr>
        <w:pStyle w:val="numerodeparagraphe"/>
        <w:numPr>
          <w:ilvl w:val="0"/>
          <w:numId w:val="19"/>
        </w:numPr>
        <w:spacing w:before="0"/>
        <w:rPr>
          <w:rFonts w:ascii="Garamond" w:hAnsi="Garamond"/>
          <w:b/>
          <w:bCs/>
          <w:sz w:val="24"/>
          <w:szCs w:val="24"/>
        </w:rPr>
      </w:pPr>
      <w:r w:rsidRPr="00205909">
        <w:rPr>
          <w:rFonts w:ascii="Garamond" w:hAnsi="Garamond"/>
          <w:b/>
          <w:bCs/>
          <w:sz w:val="24"/>
          <w:szCs w:val="24"/>
        </w:rPr>
        <w:t>Eléments de distinction</w:t>
      </w:r>
      <w:r w:rsidR="00BB1BAA" w:rsidRPr="00205909">
        <w:rPr>
          <w:rFonts w:ascii="Garamond" w:hAnsi="Garamond"/>
          <w:b/>
          <w:bCs/>
          <w:sz w:val="24"/>
          <w:szCs w:val="24"/>
        </w:rPr>
        <w:t xml:space="preserve"> </w:t>
      </w:r>
      <w:r w:rsidR="006C1B8E" w:rsidRPr="00205909">
        <w:rPr>
          <w:rFonts w:ascii="Garamond" w:hAnsi="Garamond"/>
          <w:b/>
          <w:bCs/>
          <w:sz w:val="24"/>
          <w:szCs w:val="24"/>
        </w:rPr>
        <w:t xml:space="preserve">des règles du </w:t>
      </w:r>
      <w:proofErr w:type="spellStart"/>
      <w:r w:rsidR="006C1B8E" w:rsidRPr="00205909">
        <w:rPr>
          <w:rFonts w:ascii="Garamond" w:hAnsi="Garamond"/>
          <w:b/>
          <w:bCs/>
          <w:i/>
          <w:iCs/>
          <w:sz w:val="24"/>
          <w:szCs w:val="24"/>
        </w:rPr>
        <w:t>lawfare</w:t>
      </w:r>
      <w:proofErr w:type="spellEnd"/>
      <w:r w:rsidR="006C1B8E" w:rsidRPr="00205909">
        <w:rPr>
          <w:rFonts w:ascii="Garamond" w:hAnsi="Garamond"/>
          <w:b/>
          <w:bCs/>
          <w:i/>
          <w:iCs/>
          <w:sz w:val="24"/>
          <w:szCs w:val="24"/>
        </w:rPr>
        <w:t xml:space="preserve"> </w:t>
      </w:r>
      <w:proofErr w:type="spellStart"/>
      <w:r w:rsidR="006C1B8E" w:rsidRPr="00205909">
        <w:rPr>
          <w:rFonts w:ascii="Garamond" w:hAnsi="Garamond"/>
          <w:b/>
          <w:bCs/>
          <w:sz w:val="24"/>
          <w:szCs w:val="24"/>
        </w:rPr>
        <w:t>intrumentaire</w:t>
      </w:r>
      <w:proofErr w:type="spellEnd"/>
    </w:p>
    <w:p w14:paraId="2353A279" w14:textId="77777777" w:rsidR="0000280A" w:rsidRPr="00205909" w:rsidRDefault="0000280A" w:rsidP="007F1788">
      <w:pPr>
        <w:pStyle w:val="numerodeparagraphe"/>
        <w:numPr>
          <w:ilvl w:val="0"/>
          <w:numId w:val="0"/>
        </w:numPr>
        <w:spacing w:before="0"/>
        <w:ind w:left="454"/>
        <w:rPr>
          <w:rFonts w:ascii="Garamond" w:hAnsi="Garamond"/>
          <w:b/>
          <w:bCs/>
          <w:sz w:val="24"/>
          <w:szCs w:val="24"/>
        </w:rPr>
      </w:pPr>
    </w:p>
    <w:p w14:paraId="6F153F9D" w14:textId="7E20D8B9" w:rsidR="0095581D" w:rsidRPr="00205909" w:rsidRDefault="00122722" w:rsidP="00122722">
      <w:pPr>
        <w:pStyle w:val="numerodeparagraphe"/>
        <w:spacing w:before="0"/>
        <w:rPr>
          <w:rFonts w:ascii="Garamond" w:hAnsi="Garamond"/>
          <w:sz w:val="24"/>
          <w:szCs w:val="24"/>
        </w:rPr>
      </w:pPr>
      <w:r w:rsidRPr="00205909">
        <w:rPr>
          <w:rFonts w:ascii="Garamond" w:hAnsi="Garamond"/>
          <w:sz w:val="24"/>
          <w:szCs w:val="24"/>
        </w:rPr>
        <w:t xml:space="preserve">Les règles de </w:t>
      </w:r>
      <w:proofErr w:type="spellStart"/>
      <w:r w:rsidRPr="00205909">
        <w:rPr>
          <w:rFonts w:ascii="Garamond" w:hAnsi="Garamond"/>
          <w:i/>
          <w:iCs/>
          <w:sz w:val="24"/>
          <w:szCs w:val="24"/>
        </w:rPr>
        <w:t>lawfare</w:t>
      </w:r>
      <w:proofErr w:type="spellEnd"/>
      <w:r w:rsidRPr="00205909">
        <w:rPr>
          <w:rFonts w:ascii="Garamond" w:hAnsi="Garamond"/>
          <w:i/>
          <w:iCs/>
          <w:sz w:val="24"/>
          <w:szCs w:val="24"/>
        </w:rPr>
        <w:t xml:space="preserve"> </w:t>
      </w:r>
      <w:r w:rsidRPr="00205909">
        <w:rPr>
          <w:rFonts w:ascii="Garamond" w:hAnsi="Garamond"/>
          <w:sz w:val="24"/>
          <w:szCs w:val="24"/>
        </w:rPr>
        <w:t>ne sont pas nécessairement identifiées comme telles</w:t>
      </w:r>
      <w:r w:rsidR="0005784E">
        <w:rPr>
          <w:rFonts w:ascii="Garamond" w:hAnsi="Garamond"/>
          <w:sz w:val="24"/>
          <w:szCs w:val="24"/>
        </w:rPr>
        <w:t xml:space="preserve">, sinon de manière très </w:t>
      </w:r>
      <w:r w:rsidRPr="00205909">
        <w:rPr>
          <w:rFonts w:ascii="Garamond" w:hAnsi="Garamond"/>
          <w:sz w:val="24"/>
          <w:szCs w:val="24"/>
        </w:rPr>
        <w:t>rare. C’est le cas des lois de blocage, des règles en matière de quérulence au Québec ou encore les sanctions économiques secondaires américaines : elles ont expressément pour objet de saisir</w:t>
      </w:r>
      <w:r w:rsidR="0005784E">
        <w:rPr>
          <w:rFonts w:ascii="Garamond" w:hAnsi="Garamond"/>
          <w:sz w:val="24"/>
          <w:szCs w:val="24"/>
        </w:rPr>
        <w:t>, de manière souvent agressive,</w:t>
      </w:r>
      <w:r w:rsidRPr="00205909">
        <w:rPr>
          <w:rFonts w:ascii="Garamond" w:hAnsi="Garamond"/>
          <w:sz w:val="24"/>
          <w:szCs w:val="24"/>
        </w:rPr>
        <w:t xml:space="preserve"> un objectif spécifique, les demandes exagérées de documents</w:t>
      </w:r>
      <w:r w:rsidR="0095581D" w:rsidRPr="00205909">
        <w:rPr>
          <w:rFonts w:ascii="Garamond" w:hAnsi="Garamond"/>
          <w:sz w:val="24"/>
          <w:szCs w:val="24"/>
        </w:rPr>
        <w:t xml:space="preserve"> (« </w:t>
      </w:r>
      <w:proofErr w:type="spellStart"/>
      <w:r w:rsidR="0095581D" w:rsidRPr="00205909">
        <w:rPr>
          <w:rFonts w:ascii="Garamond" w:hAnsi="Garamond"/>
          <w:i/>
          <w:iCs/>
          <w:sz w:val="24"/>
          <w:szCs w:val="24"/>
        </w:rPr>
        <w:t>fishing</w:t>
      </w:r>
      <w:proofErr w:type="spellEnd"/>
      <w:r w:rsidR="0095581D" w:rsidRPr="00205909">
        <w:rPr>
          <w:rFonts w:ascii="Garamond" w:hAnsi="Garamond"/>
          <w:i/>
          <w:iCs/>
          <w:sz w:val="24"/>
          <w:szCs w:val="24"/>
        </w:rPr>
        <w:t xml:space="preserve"> expéditions »</w:t>
      </w:r>
      <w:r w:rsidR="0005784E">
        <w:rPr>
          <w:rFonts w:ascii="Garamond" w:hAnsi="Garamond"/>
          <w:sz w:val="24"/>
          <w:szCs w:val="24"/>
        </w:rPr>
        <w:t>)</w:t>
      </w:r>
      <w:r w:rsidRPr="00205909">
        <w:rPr>
          <w:rFonts w:ascii="Garamond" w:hAnsi="Garamond"/>
          <w:sz w:val="24"/>
          <w:szCs w:val="24"/>
        </w:rPr>
        <w:t xml:space="preserve">, les actions en justice répétitives sans objet sérieux ou le contournement des sanctions primaires. D’autres en revanche n’ont pas un objet </w:t>
      </w:r>
      <w:proofErr w:type="spellStart"/>
      <w:r w:rsidRPr="00205909">
        <w:rPr>
          <w:rFonts w:ascii="Garamond" w:hAnsi="Garamond"/>
          <w:i/>
          <w:iCs/>
          <w:sz w:val="24"/>
          <w:szCs w:val="24"/>
        </w:rPr>
        <w:t>lawfare</w:t>
      </w:r>
      <w:proofErr w:type="spellEnd"/>
      <w:r w:rsidRPr="00205909">
        <w:rPr>
          <w:rFonts w:ascii="Garamond" w:hAnsi="Garamond"/>
          <w:i/>
          <w:iCs/>
          <w:sz w:val="24"/>
          <w:szCs w:val="24"/>
        </w:rPr>
        <w:t xml:space="preserve"> </w:t>
      </w:r>
      <w:r w:rsidRPr="00205909">
        <w:rPr>
          <w:rFonts w:ascii="Garamond" w:hAnsi="Garamond"/>
          <w:sz w:val="24"/>
          <w:szCs w:val="24"/>
        </w:rPr>
        <w:t>ou contre-</w:t>
      </w:r>
      <w:proofErr w:type="spellStart"/>
      <w:r w:rsidRPr="00205909">
        <w:rPr>
          <w:rFonts w:ascii="Garamond" w:hAnsi="Garamond"/>
          <w:i/>
          <w:iCs/>
          <w:sz w:val="24"/>
          <w:szCs w:val="24"/>
        </w:rPr>
        <w:t>lawfare</w:t>
      </w:r>
      <w:proofErr w:type="spellEnd"/>
      <w:r w:rsidRPr="00205909">
        <w:rPr>
          <w:rFonts w:ascii="Garamond" w:hAnsi="Garamond"/>
          <w:i/>
          <w:iCs/>
          <w:sz w:val="24"/>
          <w:szCs w:val="24"/>
        </w:rPr>
        <w:t xml:space="preserve"> </w:t>
      </w:r>
      <w:r w:rsidRPr="00205909">
        <w:rPr>
          <w:rFonts w:ascii="Garamond" w:hAnsi="Garamond"/>
          <w:sz w:val="24"/>
          <w:szCs w:val="24"/>
        </w:rPr>
        <w:t>apparent. Les règles pénales sanctionnant les atteintes aux intérêts fondamentaux de la Nation sont des règles pénales « ordinaires », de même que les règles du FCPA américain, en matière de lutte contre la corruption, ne sont pas spécifiquement d’application extrate</w:t>
      </w:r>
      <w:r w:rsidR="00045139" w:rsidRPr="00205909">
        <w:rPr>
          <w:rFonts w:ascii="Garamond" w:hAnsi="Garamond"/>
          <w:sz w:val="24"/>
          <w:szCs w:val="24"/>
        </w:rPr>
        <w:t>r</w:t>
      </w:r>
      <w:r w:rsidRPr="00205909">
        <w:rPr>
          <w:rFonts w:ascii="Garamond" w:hAnsi="Garamond"/>
          <w:sz w:val="24"/>
          <w:szCs w:val="24"/>
        </w:rPr>
        <w:t>ritor</w:t>
      </w:r>
      <w:r w:rsidR="00045139" w:rsidRPr="00205909">
        <w:rPr>
          <w:rFonts w:ascii="Garamond" w:hAnsi="Garamond"/>
          <w:sz w:val="24"/>
          <w:szCs w:val="24"/>
        </w:rPr>
        <w:t>i</w:t>
      </w:r>
      <w:r w:rsidRPr="00205909">
        <w:rPr>
          <w:rFonts w:ascii="Garamond" w:hAnsi="Garamond"/>
          <w:sz w:val="24"/>
          <w:szCs w:val="24"/>
        </w:rPr>
        <w:t>ale : elles visent aussi bien les ressortissants américains qu’étrangers</w:t>
      </w:r>
      <w:r w:rsidR="0095581D" w:rsidRPr="00205909">
        <w:rPr>
          <w:rFonts w:ascii="Garamond" w:hAnsi="Garamond"/>
          <w:sz w:val="24"/>
          <w:szCs w:val="24"/>
        </w:rPr>
        <w:t xml:space="preserve"> de sorte que l’application extraterritoriale de ces règles, discutée par ailleurs y compris aux Etats-Unis, n’apparaît que</w:t>
      </w:r>
      <w:r w:rsidR="00045139" w:rsidRPr="00205909">
        <w:rPr>
          <w:rFonts w:ascii="Garamond" w:hAnsi="Garamond"/>
          <w:sz w:val="24"/>
          <w:szCs w:val="24"/>
        </w:rPr>
        <w:t xml:space="preserve"> si un lien, même ténu, avec le territoire des Etats-Unis</w:t>
      </w:r>
      <w:r w:rsidR="0095581D" w:rsidRPr="00205909">
        <w:rPr>
          <w:rFonts w:ascii="Garamond" w:hAnsi="Garamond"/>
          <w:sz w:val="24"/>
          <w:szCs w:val="24"/>
        </w:rPr>
        <w:t xml:space="preserve"> peut être identifié à l’endroit d’une non-américain pour des pratiques situées hors de ce territoire</w:t>
      </w:r>
      <w:r w:rsidR="00045139" w:rsidRPr="00205909">
        <w:rPr>
          <w:rFonts w:ascii="Garamond" w:hAnsi="Garamond"/>
          <w:sz w:val="24"/>
          <w:szCs w:val="24"/>
        </w:rPr>
        <w:t xml:space="preserve">. </w:t>
      </w:r>
      <w:r w:rsidRPr="00205909">
        <w:rPr>
          <w:rFonts w:ascii="Garamond" w:hAnsi="Garamond"/>
          <w:sz w:val="24"/>
          <w:szCs w:val="24"/>
        </w:rPr>
        <w:t>Limiter, alors</w:t>
      </w:r>
      <w:r w:rsidR="00045139" w:rsidRPr="00205909">
        <w:rPr>
          <w:rFonts w:ascii="Garamond" w:hAnsi="Garamond"/>
          <w:sz w:val="24"/>
          <w:szCs w:val="24"/>
        </w:rPr>
        <w:t xml:space="preserve">, ces remarques aux seules </w:t>
      </w:r>
      <w:r w:rsidRPr="00205909">
        <w:rPr>
          <w:rFonts w:ascii="Garamond" w:hAnsi="Garamond"/>
          <w:sz w:val="24"/>
          <w:szCs w:val="24"/>
        </w:rPr>
        <w:t>règles estampillées</w:t>
      </w:r>
      <w:r w:rsidR="00045139" w:rsidRPr="00205909">
        <w:rPr>
          <w:rFonts w:ascii="Garamond" w:hAnsi="Garamond"/>
          <w:sz w:val="24"/>
          <w:szCs w:val="24"/>
        </w:rPr>
        <w:t xml:space="preserve"> </w:t>
      </w:r>
      <w:proofErr w:type="spellStart"/>
      <w:r w:rsidR="00045139" w:rsidRPr="00205909">
        <w:rPr>
          <w:rFonts w:ascii="Garamond" w:hAnsi="Garamond"/>
          <w:i/>
          <w:iCs/>
          <w:sz w:val="24"/>
          <w:szCs w:val="24"/>
        </w:rPr>
        <w:t>lawfare</w:t>
      </w:r>
      <w:proofErr w:type="spellEnd"/>
      <w:r w:rsidRPr="00205909">
        <w:rPr>
          <w:rFonts w:ascii="Garamond" w:hAnsi="Garamond"/>
          <w:sz w:val="24"/>
          <w:szCs w:val="24"/>
        </w:rPr>
        <w:t xml:space="preserve"> </w:t>
      </w:r>
      <w:r w:rsidR="00045139" w:rsidRPr="00205909">
        <w:rPr>
          <w:rFonts w:ascii="Garamond" w:hAnsi="Garamond"/>
          <w:sz w:val="24"/>
          <w:szCs w:val="24"/>
        </w:rPr>
        <w:t xml:space="preserve">serait </w:t>
      </w:r>
      <w:r w:rsidRPr="00205909">
        <w:rPr>
          <w:rFonts w:ascii="Garamond" w:hAnsi="Garamond"/>
          <w:sz w:val="24"/>
          <w:szCs w:val="24"/>
        </w:rPr>
        <w:t xml:space="preserve">particulièrement réducteur. </w:t>
      </w:r>
    </w:p>
    <w:p w14:paraId="3CAE9A53" w14:textId="31C44BBF" w:rsidR="00045139" w:rsidRDefault="0095581D" w:rsidP="006C1B8E">
      <w:pPr>
        <w:pStyle w:val="numerodeparagraphe"/>
        <w:numPr>
          <w:ilvl w:val="0"/>
          <w:numId w:val="0"/>
        </w:numPr>
        <w:spacing w:before="0"/>
        <w:ind w:firstLine="454"/>
        <w:rPr>
          <w:rFonts w:ascii="Garamond" w:hAnsi="Garamond"/>
          <w:sz w:val="24"/>
          <w:szCs w:val="24"/>
        </w:rPr>
      </w:pPr>
      <w:r w:rsidRPr="00205909">
        <w:rPr>
          <w:rFonts w:ascii="Garamond" w:hAnsi="Garamond"/>
          <w:sz w:val="24"/>
          <w:szCs w:val="24"/>
        </w:rPr>
        <w:t xml:space="preserve">Les règles </w:t>
      </w:r>
      <w:r w:rsidR="002C378E" w:rsidRPr="00205909">
        <w:rPr>
          <w:rFonts w:ascii="Garamond" w:hAnsi="Garamond"/>
          <w:sz w:val="24"/>
          <w:szCs w:val="24"/>
        </w:rPr>
        <w:t xml:space="preserve">ayant un objet ou une fonction </w:t>
      </w:r>
      <w:proofErr w:type="spellStart"/>
      <w:r w:rsidR="002C378E" w:rsidRPr="00205909">
        <w:rPr>
          <w:rFonts w:ascii="Garamond" w:hAnsi="Garamond"/>
          <w:i/>
          <w:iCs/>
          <w:sz w:val="24"/>
          <w:szCs w:val="24"/>
        </w:rPr>
        <w:t>lawfare</w:t>
      </w:r>
      <w:proofErr w:type="spellEnd"/>
      <w:r w:rsidR="002C378E" w:rsidRPr="00205909">
        <w:rPr>
          <w:rFonts w:ascii="Garamond" w:hAnsi="Garamond"/>
          <w:i/>
          <w:iCs/>
          <w:sz w:val="24"/>
          <w:szCs w:val="24"/>
        </w:rPr>
        <w:t xml:space="preserve"> </w:t>
      </w:r>
      <w:r w:rsidR="00045139" w:rsidRPr="00205909">
        <w:rPr>
          <w:rFonts w:ascii="Garamond" w:hAnsi="Garamond"/>
          <w:sz w:val="24"/>
          <w:szCs w:val="24"/>
        </w:rPr>
        <w:t xml:space="preserve">ne sont toutefois pas innombrables, dans la mesure où </w:t>
      </w:r>
      <w:r w:rsidR="00056C73" w:rsidRPr="00205909">
        <w:rPr>
          <w:rFonts w:ascii="Garamond" w:hAnsi="Garamond"/>
          <w:sz w:val="24"/>
          <w:szCs w:val="24"/>
        </w:rPr>
        <w:t>cette</w:t>
      </w:r>
      <w:r w:rsidR="00045139" w:rsidRPr="00205909">
        <w:rPr>
          <w:rFonts w:ascii="Garamond" w:hAnsi="Garamond"/>
          <w:sz w:val="24"/>
          <w:szCs w:val="24"/>
        </w:rPr>
        <w:t xml:space="preserve"> « fonction</w:t>
      </w:r>
      <w:r w:rsidR="00056C73" w:rsidRPr="00205909">
        <w:rPr>
          <w:rFonts w:ascii="Garamond" w:hAnsi="Garamond"/>
          <w:sz w:val="24"/>
          <w:szCs w:val="24"/>
        </w:rPr>
        <w:t> »</w:t>
      </w:r>
      <w:r w:rsidR="00045139" w:rsidRPr="00205909">
        <w:rPr>
          <w:rFonts w:ascii="Garamond" w:hAnsi="Garamond"/>
          <w:sz w:val="24"/>
          <w:szCs w:val="24"/>
        </w:rPr>
        <w:t xml:space="preserve"> </w:t>
      </w:r>
      <w:r w:rsidR="00056C73" w:rsidRPr="00205909">
        <w:rPr>
          <w:rFonts w:ascii="Garamond" w:hAnsi="Garamond"/>
          <w:sz w:val="24"/>
          <w:szCs w:val="24"/>
        </w:rPr>
        <w:t xml:space="preserve">repose </w:t>
      </w:r>
      <w:r w:rsidR="00045139" w:rsidRPr="00205909">
        <w:rPr>
          <w:rFonts w:ascii="Garamond" w:hAnsi="Garamond"/>
          <w:sz w:val="24"/>
          <w:szCs w:val="24"/>
        </w:rPr>
        <w:t xml:space="preserve">sur l’idée que cette règle peut être utilisée comme une « arme », c’est-à-dire une agression ou une contre-agression, </w:t>
      </w:r>
      <w:r w:rsidR="00B92CAB" w:rsidRPr="00205909">
        <w:rPr>
          <w:rFonts w:ascii="Garamond" w:hAnsi="Garamond"/>
          <w:sz w:val="24"/>
          <w:szCs w:val="24"/>
        </w:rPr>
        <w:t xml:space="preserve">qui présente la spécificité que </w:t>
      </w:r>
      <w:r w:rsidR="00045139" w:rsidRPr="00205909">
        <w:rPr>
          <w:rFonts w:ascii="Garamond" w:hAnsi="Garamond"/>
          <w:sz w:val="24"/>
          <w:szCs w:val="24"/>
        </w:rPr>
        <w:t>les intérêts fondamentaux d’un Etat sont en jeu</w:t>
      </w:r>
      <w:r w:rsidR="00B92CAB" w:rsidRPr="00205909">
        <w:rPr>
          <w:rFonts w:ascii="Garamond" w:hAnsi="Garamond"/>
          <w:sz w:val="24"/>
          <w:szCs w:val="24"/>
        </w:rPr>
        <w:t>, quand bien même l’agression ne concernerait que des entités privées</w:t>
      </w:r>
      <w:r w:rsidR="00045139" w:rsidRPr="00205909">
        <w:rPr>
          <w:rFonts w:ascii="Garamond" w:hAnsi="Garamond"/>
          <w:sz w:val="24"/>
          <w:szCs w:val="24"/>
        </w:rPr>
        <w:t xml:space="preserve">. Bien des règles peuvent </w:t>
      </w:r>
      <w:r w:rsidR="0005784E">
        <w:rPr>
          <w:rFonts w:ascii="Garamond" w:hAnsi="Garamond"/>
          <w:sz w:val="24"/>
          <w:szCs w:val="24"/>
        </w:rPr>
        <w:t xml:space="preserve">ainsi </w:t>
      </w:r>
      <w:r w:rsidR="00045139" w:rsidRPr="00205909">
        <w:rPr>
          <w:rFonts w:ascii="Garamond" w:hAnsi="Garamond"/>
          <w:sz w:val="24"/>
          <w:szCs w:val="24"/>
        </w:rPr>
        <w:t>être utilisées de manière agressive, mais sans que les intérêts d’un Etat soi</w:t>
      </w:r>
      <w:r w:rsidR="00D860DB">
        <w:rPr>
          <w:rFonts w:ascii="Garamond" w:hAnsi="Garamond"/>
          <w:sz w:val="24"/>
          <w:szCs w:val="24"/>
        </w:rPr>
        <w:t>en</w:t>
      </w:r>
      <w:r w:rsidR="00045139" w:rsidRPr="00205909">
        <w:rPr>
          <w:rFonts w:ascii="Garamond" w:hAnsi="Garamond"/>
          <w:sz w:val="24"/>
          <w:szCs w:val="24"/>
        </w:rPr>
        <w:t>t affecté</w:t>
      </w:r>
      <w:r w:rsidR="00D860DB">
        <w:rPr>
          <w:rFonts w:ascii="Garamond" w:hAnsi="Garamond"/>
          <w:sz w:val="24"/>
          <w:szCs w:val="24"/>
        </w:rPr>
        <w:t>s</w:t>
      </w:r>
      <w:r w:rsidR="00045139" w:rsidRPr="00205909">
        <w:rPr>
          <w:rFonts w:ascii="Garamond" w:hAnsi="Garamond"/>
          <w:sz w:val="24"/>
          <w:szCs w:val="24"/>
        </w:rPr>
        <w:t>, et réciproquement. Par exemple, le mécanisme de l’imprévision en droit des contrats, la résiliation</w:t>
      </w:r>
      <w:r w:rsidR="00B92CAB" w:rsidRPr="00205909">
        <w:rPr>
          <w:rFonts w:ascii="Garamond" w:hAnsi="Garamond"/>
          <w:sz w:val="24"/>
          <w:szCs w:val="24"/>
        </w:rPr>
        <w:t xml:space="preserve"> brutale ou abusive</w:t>
      </w:r>
      <w:r w:rsidR="00045139" w:rsidRPr="00205909">
        <w:rPr>
          <w:rFonts w:ascii="Garamond" w:hAnsi="Garamond"/>
          <w:sz w:val="24"/>
          <w:szCs w:val="24"/>
        </w:rPr>
        <w:t xml:space="preserve"> d’un contrat</w:t>
      </w:r>
      <w:r w:rsidR="0005784E">
        <w:rPr>
          <w:rFonts w:ascii="Garamond" w:hAnsi="Garamond"/>
          <w:sz w:val="24"/>
          <w:szCs w:val="24"/>
        </w:rPr>
        <w:t>,</w:t>
      </w:r>
      <w:r w:rsidR="00045139" w:rsidRPr="00205909">
        <w:rPr>
          <w:rFonts w:ascii="Garamond" w:hAnsi="Garamond"/>
          <w:sz w:val="24"/>
          <w:szCs w:val="24"/>
        </w:rPr>
        <w:t xml:space="preserve"> peuvent être considéré</w:t>
      </w:r>
      <w:r w:rsidR="00B92CAB" w:rsidRPr="00205909">
        <w:rPr>
          <w:rFonts w:ascii="Garamond" w:hAnsi="Garamond"/>
          <w:sz w:val="24"/>
          <w:szCs w:val="24"/>
        </w:rPr>
        <w:t>s</w:t>
      </w:r>
      <w:r w:rsidR="00045139" w:rsidRPr="00205909">
        <w:rPr>
          <w:rFonts w:ascii="Garamond" w:hAnsi="Garamond"/>
          <w:sz w:val="24"/>
          <w:szCs w:val="24"/>
        </w:rPr>
        <w:t xml:space="preserve"> comme des « brutalités » dans des rapports privés, notamment par comparaison avec les règles d’un autre Etat, mais ne sont pas </w:t>
      </w:r>
      <w:r w:rsidR="00045139" w:rsidRPr="00205909">
        <w:rPr>
          <w:rFonts w:ascii="Garamond" w:hAnsi="Garamond"/>
          <w:i/>
          <w:iCs/>
          <w:sz w:val="24"/>
          <w:szCs w:val="24"/>
        </w:rPr>
        <w:t>a priori</w:t>
      </w:r>
      <w:r w:rsidR="00045139" w:rsidRPr="00205909">
        <w:rPr>
          <w:rFonts w:ascii="Garamond" w:hAnsi="Garamond"/>
          <w:sz w:val="24"/>
          <w:szCs w:val="24"/>
        </w:rPr>
        <w:t xml:space="preserve"> des règles de </w:t>
      </w:r>
      <w:proofErr w:type="spellStart"/>
      <w:r w:rsidR="00045139" w:rsidRPr="00205909">
        <w:rPr>
          <w:rFonts w:ascii="Garamond" w:hAnsi="Garamond"/>
          <w:i/>
          <w:iCs/>
          <w:sz w:val="24"/>
          <w:szCs w:val="24"/>
        </w:rPr>
        <w:t>lawfare</w:t>
      </w:r>
      <w:proofErr w:type="spellEnd"/>
      <w:r w:rsidR="00045139" w:rsidRPr="00205909">
        <w:rPr>
          <w:rFonts w:ascii="Garamond" w:hAnsi="Garamond"/>
          <w:i/>
          <w:iCs/>
          <w:sz w:val="24"/>
          <w:szCs w:val="24"/>
        </w:rPr>
        <w:t xml:space="preserve">. </w:t>
      </w:r>
      <w:r w:rsidR="00B92CAB" w:rsidRPr="00205909">
        <w:rPr>
          <w:rFonts w:ascii="Garamond" w:hAnsi="Garamond"/>
          <w:sz w:val="24"/>
          <w:szCs w:val="24"/>
        </w:rPr>
        <w:t>En revanche, et pour reprendre cet exemple, la tentative de faire des règles du droit de la négociation commerciale ou des pratiques restrictives de concurrence des règles à vocation extraterr</w:t>
      </w:r>
      <w:r w:rsidR="006C1B8E" w:rsidRPr="00205909">
        <w:rPr>
          <w:rFonts w:ascii="Garamond" w:hAnsi="Garamond"/>
          <w:sz w:val="24"/>
          <w:szCs w:val="24"/>
        </w:rPr>
        <w:t>i</w:t>
      </w:r>
      <w:r w:rsidR="00B92CAB" w:rsidRPr="00205909">
        <w:rPr>
          <w:rFonts w:ascii="Garamond" w:hAnsi="Garamond"/>
          <w:sz w:val="24"/>
          <w:szCs w:val="24"/>
        </w:rPr>
        <w:t xml:space="preserve">toriale est une règle à fonction </w:t>
      </w:r>
      <w:proofErr w:type="spellStart"/>
      <w:r w:rsidR="00B92CAB" w:rsidRPr="00205909">
        <w:rPr>
          <w:rFonts w:ascii="Garamond" w:hAnsi="Garamond"/>
          <w:i/>
          <w:iCs/>
          <w:sz w:val="24"/>
          <w:szCs w:val="24"/>
        </w:rPr>
        <w:t>lawfare</w:t>
      </w:r>
      <w:proofErr w:type="spellEnd"/>
      <w:r w:rsidR="00B92CAB" w:rsidRPr="00D860DB">
        <w:rPr>
          <w:rStyle w:val="Appelnotedebasdep"/>
          <w:rFonts w:ascii="Garamond" w:hAnsi="Garamond"/>
          <w:sz w:val="24"/>
          <w:szCs w:val="24"/>
        </w:rPr>
        <w:footnoteReference w:id="39"/>
      </w:r>
      <w:r w:rsidR="00B92CAB" w:rsidRPr="00205909">
        <w:rPr>
          <w:rFonts w:ascii="Garamond" w:hAnsi="Garamond"/>
          <w:sz w:val="24"/>
          <w:szCs w:val="24"/>
        </w:rPr>
        <w:t>.</w:t>
      </w:r>
    </w:p>
    <w:p w14:paraId="11F9B902" w14:textId="37D0FFE7" w:rsidR="0005784E" w:rsidRPr="0005784E" w:rsidRDefault="0005784E" w:rsidP="006C1B8E">
      <w:pPr>
        <w:pStyle w:val="numerodeparagraphe"/>
        <w:numPr>
          <w:ilvl w:val="0"/>
          <w:numId w:val="0"/>
        </w:numPr>
        <w:spacing w:before="0"/>
        <w:ind w:firstLine="454"/>
        <w:rPr>
          <w:rFonts w:ascii="Garamond" w:hAnsi="Garamond"/>
          <w:sz w:val="24"/>
          <w:szCs w:val="24"/>
        </w:rPr>
      </w:pPr>
      <w:r>
        <w:rPr>
          <w:rFonts w:ascii="Garamond" w:hAnsi="Garamond"/>
          <w:sz w:val="24"/>
          <w:szCs w:val="24"/>
        </w:rPr>
        <w:t xml:space="preserve">Il convient donc moins de recenser les règles </w:t>
      </w:r>
      <w:proofErr w:type="spellStart"/>
      <w:r>
        <w:rPr>
          <w:rFonts w:ascii="Garamond" w:hAnsi="Garamond"/>
          <w:i/>
          <w:iCs/>
          <w:sz w:val="24"/>
          <w:szCs w:val="24"/>
        </w:rPr>
        <w:t>lawfare</w:t>
      </w:r>
      <w:proofErr w:type="spellEnd"/>
      <w:r>
        <w:rPr>
          <w:rFonts w:ascii="Garamond" w:hAnsi="Garamond"/>
          <w:sz w:val="24"/>
          <w:szCs w:val="24"/>
        </w:rPr>
        <w:t xml:space="preserve"> que pour telles règles considérées et utilisées comme telles d’en mesurer les caractères</w:t>
      </w:r>
      <w:r w:rsidR="00526F10">
        <w:rPr>
          <w:rFonts w:ascii="Garamond" w:hAnsi="Garamond"/>
          <w:sz w:val="24"/>
          <w:szCs w:val="24"/>
        </w:rPr>
        <w:t>, éventuellement utiles</w:t>
      </w:r>
      <w:r>
        <w:rPr>
          <w:rFonts w:ascii="Garamond" w:hAnsi="Garamond"/>
          <w:sz w:val="24"/>
          <w:szCs w:val="24"/>
        </w:rPr>
        <w:t xml:space="preserve">, procédural, substantiel ou technique (1.), public </w:t>
      </w:r>
      <w:r w:rsidR="002C03B9">
        <w:rPr>
          <w:rFonts w:ascii="Garamond" w:hAnsi="Garamond"/>
          <w:sz w:val="24"/>
          <w:szCs w:val="24"/>
        </w:rPr>
        <w:t>ou privé (2.), interne ou international (3.), défensif ou offensif (4.).</w:t>
      </w:r>
    </w:p>
    <w:p w14:paraId="502F30C2" w14:textId="77777777" w:rsidR="00122722" w:rsidRPr="00205909" w:rsidRDefault="00122722" w:rsidP="007F1788">
      <w:pPr>
        <w:pStyle w:val="numerodeparagraphe"/>
        <w:numPr>
          <w:ilvl w:val="0"/>
          <w:numId w:val="0"/>
        </w:numPr>
        <w:spacing w:before="0"/>
        <w:ind w:left="454"/>
        <w:rPr>
          <w:rFonts w:ascii="Garamond" w:hAnsi="Garamond"/>
          <w:b/>
          <w:bCs/>
          <w:sz w:val="24"/>
          <w:szCs w:val="24"/>
        </w:rPr>
      </w:pPr>
    </w:p>
    <w:p w14:paraId="2CAADCEC" w14:textId="7FBC1417" w:rsidR="00BB1BAA" w:rsidRPr="00205909" w:rsidRDefault="0000280A" w:rsidP="007F1788">
      <w:pPr>
        <w:pStyle w:val="numerodeparagraphe"/>
        <w:numPr>
          <w:ilvl w:val="0"/>
          <w:numId w:val="0"/>
        </w:numPr>
        <w:spacing w:before="0"/>
        <w:ind w:left="454"/>
        <w:rPr>
          <w:rFonts w:ascii="Garamond" w:hAnsi="Garamond"/>
          <w:b/>
          <w:bCs/>
          <w:sz w:val="24"/>
          <w:szCs w:val="24"/>
        </w:rPr>
      </w:pPr>
      <w:r w:rsidRPr="00205909">
        <w:rPr>
          <w:rFonts w:ascii="Garamond" w:hAnsi="Garamond"/>
          <w:b/>
          <w:bCs/>
          <w:sz w:val="24"/>
          <w:szCs w:val="24"/>
        </w:rPr>
        <w:t xml:space="preserve">1. </w:t>
      </w:r>
      <w:proofErr w:type="spellStart"/>
      <w:r w:rsidR="00BB1BAA" w:rsidRPr="00205909">
        <w:rPr>
          <w:rFonts w:ascii="Garamond" w:hAnsi="Garamond"/>
          <w:b/>
          <w:bCs/>
          <w:i/>
          <w:iCs/>
          <w:sz w:val="24"/>
          <w:szCs w:val="24"/>
        </w:rPr>
        <w:t>Lawfare</w:t>
      </w:r>
      <w:proofErr w:type="spellEnd"/>
      <w:r w:rsidR="00BB1BAA" w:rsidRPr="00205909">
        <w:rPr>
          <w:rFonts w:ascii="Garamond" w:hAnsi="Garamond"/>
          <w:b/>
          <w:bCs/>
          <w:sz w:val="24"/>
          <w:szCs w:val="24"/>
        </w:rPr>
        <w:t xml:space="preserve"> procédural, substantiel ou technique </w:t>
      </w:r>
    </w:p>
    <w:p w14:paraId="01797C86" w14:textId="77777777" w:rsidR="00BB1BAA" w:rsidRPr="00205909" w:rsidRDefault="00BB1BAA" w:rsidP="007F1788">
      <w:pPr>
        <w:widowControl w:val="0"/>
        <w:spacing w:after="0" w:line="240" w:lineRule="auto"/>
        <w:ind w:left="426" w:right="-1"/>
        <w:jc w:val="both"/>
        <w:rPr>
          <w:rFonts w:ascii="Garamond" w:hAnsi="Garamond" w:cs="Times New Roman"/>
          <w:sz w:val="24"/>
          <w:szCs w:val="24"/>
        </w:rPr>
      </w:pPr>
    </w:p>
    <w:p w14:paraId="1E03F8AE" w14:textId="708432A7" w:rsidR="000D4053" w:rsidRPr="00205909" w:rsidRDefault="00BB1BAA" w:rsidP="007F1788">
      <w:pPr>
        <w:pStyle w:val="numerodeparagraphe"/>
        <w:spacing w:before="0"/>
        <w:rPr>
          <w:rFonts w:ascii="Garamond" w:hAnsi="Garamond"/>
          <w:sz w:val="24"/>
          <w:szCs w:val="24"/>
        </w:rPr>
      </w:pPr>
      <w:r w:rsidRPr="00205909">
        <w:rPr>
          <w:rFonts w:ascii="Garamond" w:hAnsi="Garamond"/>
          <w:sz w:val="24"/>
          <w:szCs w:val="24"/>
        </w:rPr>
        <w:t xml:space="preserve">Quelques exemples très usités illustrent ces formes de </w:t>
      </w:r>
      <w:proofErr w:type="spellStart"/>
      <w:r w:rsidRPr="00205909">
        <w:rPr>
          <w:rFonts w:ascii="Garamond" w:hAnsi="Garamond"/>
          <w:i/>
          <w:iCs/>
          <w:sz w:val="24"/>
          <w:szCs w:val="24"/>
        </w:rPr>
        <w:t>lawfare</w:t>
      </w:r>
      <w:proofErr w:type="spellEnd"/>
      <w:r w:rsidRPr="00205909">
        <w:rPr>
          <w:rFonts w:ascii="Garamond" w:hAnsi="Garamond"/>
          <w:i/>
          <w:iCs/>
          <w:sz w:val="24"/>
          <w:szCs w:val="24"/>
        </w:rPr>
        <w:t xml:space="preserve"> </w:t>
      </w:r>
      <w:r w:rsidRPr="00205909">
        <w:rPr>
          <w:rFonts w:ascii="Garamond" w:hAnsi="Garamond"/>
          <w:sz w:val="24"/>
          <w:szCs w:val="24"/>
        </w:rPr>
        <w:t>in</w:t>
      </w:r>
      <w:r w:rsidR="008E0E4D" w:rsidRPr="00205909">
        <w:rPr>
          <w:rFonts w:ascii="Garamond" w:hAnsi="Garamond"/>
          <w:sz w:val="24"/>
          <w:szCs w:val="24"/>
        </w:rPr>
        <w:t>s</w:t>
      </w:r>
      <w:r w:rsidRPr="00205909">
        <w:rPr>
          <w:rFonts w:ascii="Garamond" w:hAnsi="Garamond"/>
          <w:sz w:val="24"/>
          <w:szCs w:val="24"/>
        </w:rPr>
        <w:t>trumentaire, dont les divers types de sanctions économiques, aujourd’hui bien étudiées, notamment depuis que l’Union européenne a adopté des sanctions économiques contre la Russie, mais qui sont, en réalité, bien plus anciennes, bien plus nombreuses, bien plus partagées</w:t>
      </w:r>
      <w:r w:rsidR="00430E49">
        <w:rPr>
          <w:rFonts w:ascii="Garamond" w:hAnsi="Garamond"/>
          <w:sz w:val="24"/>
          <w:szCs w:val="24"/>
        </w:rPr>
        <w:t>, européennes, unilatérales, internationales. Ainsi, les sanctions internationales, individuelles ou sectorielles, décidées par le Conseil de Sécurité, contre un Etat en particulier ou des entités liées au financement du terrorisme, de violation des droits humains, d’organisation de cyberattaques ou de trafic d’armes prohibées sont reprises par l’Union Européenne</w:t>
      </w:r>
      <w:r w:rsidR="007451CC">
        <w:rPr>
          <w:rFonts w:ascii="Garamond" w:hAnsi="Garamond"/>
          <w:sz w:val="24"/>
          <w:szCs w:val="24"/>
        </w:rPr>
        <w:t>, à l’identique ou de manière plus spécifique, de telle manière que, ajoutées</w:t>
      </w:r>
      <w:r w:rsidR="000D4053" w:rsidRPr="00205909">
        <w:rPr>
          <w:rFonts w:ascii="Garamond" w:hAnsi="Garamond"/>
          <w:sz w:val="24"/>
          <w:szCs w:val="24"/>
        </w:rPr>
        <w:t xml:space="preserve"> </w:t>
      </w:r>
      <w:r w:rsidR="007451CC">
        <w:rPr>
          <w:rFonts w:ascii="Garamond" w:hAnsi="Garamond"/>
          <w:sz w:val="24"/>
          <w:szCs w:val="24"/>
        </w:rPr>
        <w:t xml:space="preserve">aux </w:t>
      </w:r>
      <w:r w:rsidR="000D4053" w:rsidRPr="00205909">
        <w:rPr>
          <w:rFonts w:ascii="Garamond" w:hAnsi="Garamond"/>
          <w:sz w:val="24"/>
          <w:szCs w:val="24"/>
        </w:rPr>
        <w:t xml:space="preserve">contre-sanctions </w:t>
      </w:r>
      <w:r w:rsidR="007451CC">
        <w:rPr>
          <w:rFonts w:ascii="Garamond" w:hAnsi="Garamond"/>
          <w:sz w:val="24"/>
          <w:szCs w:val="24"/>
        </w:rPr>
        <w:t xml:space="preserve">chinoises ou </w:t>
      </w:r>
      <w:r w:rsidR="000D4053" w:rsidRPr="00205909">
        <w:rPr>
          <w:rFonts w:ascii="Garamond" w:hAnsi="Garamond"/>
          <w:sz w:val="24"/>
          <w:szCs w:val="24"/>
        </w:rPr>
        <w:t>russes</w:t>
      </w:r>
      <w:r w:rsidR="00A80F05" w:rsidRPr="00205909">
        <w:rPr>
          <w:rStyle w:val="Appelnotedebasdep"/>
          <w:rFonts w:ascii="Garamond" w:hAnsi="Garamond"/>
          <w:sz w:val="24"/>
          <w:szCs w:val="24"/>
        </w:rPr>
        <w:footnoteReference w:id="40"/>
      </w:r>
      <w:r w:rsidR="007451CC">
        <w:rPr>
          <w:rFonts w:ascii="Garamond" w:hAnsi="Garamond"/>
          <w:sz w:val="24"/>
          <w:szCs w:val="24"/>
        </w:rPr>
        <w:t xml:space="preserve"> ou des sanctions économiques propres adoptées par ces derniers, c’est un à nœud complexe de sanctions économiques que les différentes acteurs des relations internationales, pas uniquement commerciales, sont confrontés, en tant qu’elles ont un impact sur la validité de telle opération, mais encore sur les procédures, arbitrales par exemple, pouvant être organisées</w:t>
      </w:r>
      <w:r w:rsidR="007451CC">
        <w:rPr>
          <w:rStyle w:val="Appelnotedebasdep"/>
          <w:rFonts w:ascii="Garamond" w:hAnsi="Garamond"/>
          <w:sz w:val="24"/>
          <w:szCs w:val="24"/>
        </w:rPr>
        <w:footnoteReference w:id="41"/>
      </w:r>
      <w:r w:rsidR="000D4053" w:rsidRPr="00205909">
        <w:rPr>
          <w:rFonts w:ascii="Garamond" w:hAnsi="Garamond"/>
          <w:sz w:val="24"/>
          <w:szCs w:val="24"/>
        </w:rPr>
        <w:t>.</w:t>
      </w:r>
    </w:p>
    <w:p w14:paraId="710B9E45" w14:textId="5344F653" w:rsidR="00BB1BAA" w:rsidRPr="00205909" w:rsidRDefault="00BB1BAA" w:rsidP="00BA7892">
      <w:pPr>
        <w:pStyle w:val="numerodeparagraphe"/>
        <w:numPr>
          <w:ilvl w:val="0"/>
          <w:numId w:val="0"/>
        </w:numPr>
        <w:spacing w:before="0"/>
        <w:ind w:firstLine="454"/>
        <w:rPr>
          <w:rFonts w:ascii="Garamond" w:hAnsi="Garamond"/>
          <w:sz w:val="24"/>
          <w:szCs w:val="24"/>
        </w:rPr>
      </w:pPr>
      <w:r w:rsidRPr="00205909">
        <w:rPr>
          <w:rFonts w:ascii="Garamond" w:hAnsi="Garamond"/>
          <w:sz w:val="24"/>
          <w:szCs w:val="24"/>
        </w:rPr>
        <w:t>Un autre exemple très connu repose sur des situations dans lesquelles un Etat décide de créer une norme d’application extraterritoriale ou, plus discrètement, des autorités, pénales, par exemple, décident d’appliquer de manière extraterritoriale des règles qui ne sont pas nécessairement formatées dans ce sens</w:t>
      </w:r>
      <w:r w:rsidR="00BA7892" w:rsidRPr="00205909">
        <w:rPr>
          <w:rStyle w:val="Appelnotedebasdep"/>
          <w:rFonts w:ascii="Garamond" w:hAnsi="Garamond"/>
          <w:szCs w:val="24"/>
        </w:rPr>
        <w:footnoteReference w:id="42"/>
      </w:r>
      <w:r w:rsidRPr="00205909">
        <w:rPr>
          <w:rFonts w:ascii="Garamond" w:hAnsi="Garamond"/>
          <w:sz w:val="24"/>
          <w:szCs w:val="24"/>
        </w:rPr>
        <w:t xml:space="preserve">. </w:t>
      </w:r>
    </w:p>
    <w:p w14:paraId="1AC554FE" w14:textId="39541F62" w:rsidR="00BB1BAA" w:rsidRPr="00205909" w:rsidRDefault="00BB1BAA" w:rsidP="006C1B8E">
      <w:pPr>
        <w:pStyle w:val="numerodeparagraphe"/>
        <w:numPr>
          <w:ilvl w:val="0"/>
          <w:numId w:val="0"/>
        </w:numPr>
        <w:spacing w:before="0"/>
        <w:ind w:firstLine="454"/>
        <w:rPr>
          <w:rFonts w:ascii="Garamond" w:hAnsi="Garamond"/>
          <w:sz w:val="24"/>
          <w:szCs w:val="24"/>
        </w:rPr>
      </w:pPr>
      <w:r w:rsidRPr="00205909">
        <w:rPr>
          <w:rFonts w:ascii="Garamond" w:hAnsi="Garamond"/>
          <w:sz w:val="24"/>
          <w:szCs w:val="24"/>
        </w:rPr>
        <w:t xml:space="preserve">Des règles plus </w:t>
      </w:r>
      <w:r w:rsidR="007451CC">
        <w:rPr>
          <w:rFonts w:ascii="Garamond" w:hAnsi="Garamond"/>
          <w:sz w:val="24"/>
          <w:szCs w:val="24"/>
        </w:rPr>
        <w:t xml:space="preserve">ordinaires </w:t>
      </w:r>
      <w:r w:rsidRPr="00205909">
        <w:rPr>
          <w:rFonts w:ascii="Garamond" w:hAnsi="Garamond"/>
          <w:sz w:val="24"/>
          <w:szCs w:val="24"/>
        </w:rPr>
        <w:t>existent. C’est le cas d</w:t>
      </w:r>
      <w:r w:rsidR="0072385D" w:rsidRPr="00205909">
        <w:rPr>
          <w:rFonts w:ascii="Garamond" w:hAnsi="Garamond"/>
          <w:sz w:val="24"/>
          <w:szCs w:val="24"/>
        </w:rPr>
        <w:t>’actions engagées contre des Etats ou des entreprises en raison de leur comportement, réel ou supposé, de violation de règles considérées comme universelle (violation des droits humains, environnementaux, sanitaires, etc.) ou</w:t>
      </w:r>
      <w:r w:rsidRPr="00205909">
        <w:rPr>
          <w:rFonts w:ascii="Garamond" w:hAnsi="Garamond"/>
          <w:sz w:val="24"/>
          <w:szCs w:val="24"/>
        </w:rPr>
        <w:t xml:space="preserve"> l’identification d’une compétence universelle ou « presque » universelle, civile ou pénale, qui propose un effet globalement équivalent.  C’est encore le cas d’une législation sur le contrôle des investissements étrangers, ou encore en matière de marché public, de concurrence, etc.</w:t>
      </w:r>
    </w:p>
    <w:p w14:paraId="1025F219" w14:textId="598EDA6F" w:rsidR="00BB1BAA" w:rsidRPr="00205909" w:rsidRDefault="00BB1BAA" w:rsidP="007F1788">
      <w:pPr>
        <w:pStyle w:val="numerodeparagraphe"/>
        <w:numPr>
          <w:ilvl w:val="0"/>
          <w:numId w:val="0"/>
        </w:numPr>
        <w:spacing w:before="0"/>
        <w:ind w:firstLine="454"/>
        <w:rPr>
          <w:rFonts w:ascii="Garamond" w:hAnsi="Garamond"/>
          <w:sz w:val="24"/>
          <w:szCs w:val="24"/>
        </w:rPr>
      </w:pPr>
      <w:r w:rsidRPr="00205909">
        <w:rPr>
          <w:rFonts w:ascii="Garamond" w:hAnsi="Garamond"/>
          <w:sz w:val="24"/>
          <w:szCs w:val="24"/>
        </w:rPr>
        <w:t>D’autres enfin se présentent de manière particulièrement technique</w:t>
      </w:r>
      <w:r w:rsidR="00D93AA2" w:rsidRPr="00205909">
        <w:rPr>
          <w:rFonts w:ascii="Garamond" w:hAnsi="Garamond"/>
          <w:sz w:val="24"/>
          <w:szCs w:val="24"/>
        </w:rPr>
        <w:t xml:space="preserve"> comme des règles posant des normes techniques spécifiques, par exemple les protocoles d’échange électronique de données, les règles, légiférées ou non, organisant des architectures, l’architecture de l’internet, les conditions d’attribution de réseau</w:t>
      </w:r>
      <w:r w:rsidR="00507ED9" w:rsidRPr="00205909">
        <w:rPr>
          <w:rFonts w:ascii="Garamond" w:hAnsi="Garamond"/>
          <w:sz w:val="24"/>
          <w:szCs w:val="24"/>
        </w:rPr>
        <w:t>x divers</w:t>
      </w:r>
      <w:r w:rsidR="00D93AA2" w:rsidRPr="00205909">
        <w:rPr>
          <w:rFonts w:ascii="Garamond" w:hAnsi="Garamond"/>
          <w:sz w:val="24"/>
          <w:szCs w:val="24"/>
        </w:rPr>
        <w:t xml:space="preserve">, </w:t>
      </w:r>
      <w:r w:rsidR="00507ED9" w:rsidRPr="00205909">
        <w:rPr>
          <w:rFonts w:ascii="Garamond" w:hAnsi="Garamond"/>
          <w:sz w:val="24"/>
          <w:szCs w:val="24"/>
        </w:rPr>
        <w:t xml:space="preserve">les règles en matière d’attribution de marchés publics, </w:t>
      </w:r>
      <w:r w:rsidR="00BA7892" w:rsidRPr="00205909">
        <w:rPr>
          <w:rFonts w:ascii="Garamond" w:hAnsi="Garamond"/>
          <w:sz w:val="24"/>
          <w:szCs w:val="24"/>
        </w:rPr>
        <w:t xml:space="preserve">des techniques de géolocalisation de limites maritimes, </w:t>
      </w:r>
      <w:r w:rsidR="00507ED9" w:rsidRPr="00205909">
        <w:rPr>
          <w:rFonts w:ascii="Garamond" w:hAnsi="Garamond"/>
          <w:sz w:val="24"/>
          <w:szCs w:val="24"/>
        </w:rPr>
        <w:t>etc</w:t>
      </w:r>
      <w:r w:rsidRPr="00205909">
        <w:rPr>
          <w:rFonts w:ascii="Garamond" w:hAnsi="Garamond"/>
          <w:sz w:val="24"/>
          <w:szCs w:val="24"/>
        </w:rPr>
        <w:t>.</w:t>
      </w:r>
      <w:r w:rsidR="00507ED9" w:rsidRPr="00205909">
        <w:rPr>
          <w:rFonts w:ascii="Garamond" w:hAnsi="Garamond"/>
          <w:sz w:val="24"/>
          <w:szCs w:val="24"/>
        </w:rPr>
        <w:t xml:space="preserve"> C’est également le cas de règle</w:t>
      </w:r>
      <w:r w:rsidR="00D2570B">
        <w:rPr>
          <w:rFonts w:ascii="Garamond" w:hAnsi="Garamond"/>
          <w:sz w:val="24"/>
          <w:szCs w:val="24"/>
        </w:rPr>
        <w:t>s</w:t>
      </w:r>
      <w:r w:rsidR="00507ED9" w:rsidRPr="00205909">
        <w:rPr>
          <w:rFonts w:ascii="Garamond" w:hAnsi="Garamond"/>
          <w:sz w:val="24"/>
          <w:szCs w:val="24"/>
        </w:rPr>
        <w:t xml:space="preserve"> établissant des monopoles ou quasi-monopoles, par exemple en matière de création culturelle, de prix du livre, de vente de médicaments, d’activité des officiers ministériels, etc.</w:t>
      </w:r>
      <w:r w:rsidR="00D2570B">
        <w:rPr>
          <w:rFonts w:ascii="Garamond" w:hAnsi="Garamond"/>
          <w:sz w:val="24"/>
          <w:szCs w:val="24"/>
        </w:rPr>
        <w:t>, ou de manière plus brutale, le fait, subitement, d’élargir telle infraction pénale, par exemple incriminant l’activité « d’espionnage » à toute activité de recherche d’information, permettant de poursuivre des journalistes, des chercheurs, etc., ou, au contraire, de décriminaliser telle activité, comme celle de trafics divers, de drogue ou d’êtres humains par exemple.</w:t>
      </w:r>
    </w:p>
    <w:p w14:paraId="6D042D39" w14:textId="77777777" w:rsidR="002876B2" w:rsidRPr="00205909" w:rsidRDefault="002876B2" w:rsidP="002876B2">
      <w:pPr>
        <w:pStyle w:val="numerodeparagraphe"/>
        <w:numPr>
          <w:ilvl w:val="0"/>
          <w:numId w:val="0"/>
        </w:numPr>
        <w:spacing w:before="0"/>
        <w:ind w:left="454"/>
        <w:rPr>
          <w:rFonts w:ascii="Garamond" w:hAnsi="Garamond"/>
          <w:sz w:val="24"/>
          <w:szCs w:val="24"/>
        </w:rPr>
      </w:pPr>
    </w:p>
    <w:p w14:paraId="71AE396E" w14:textId="2D393E58" w:rsidR="00040830" w:rsidRPr="00205909" w:rsidRDefault="00040830" w:rsidP="007F1788">
      <w:pPr>
        <w:pStyle w:val="numerodeparagraphe"/>
        <w:spacing w:before="0"/>
        <w:rPr>
          <w:rFonts w:ascii="Garamond" w:hAnsi="Garamond"/>
          <w:sz w:val="24"/>
          <w:szCs w:val="24"/>
        </w:rPr>
      </w:pPr>
      <w:r w:rsidRPr="00205909">
        <w:rPr>
          <w:rFonts w:ascii="Garamond" w:hAnsi="Garamond"/>
          <w:sz w:val="24"/>
          <w:szCs w:val="24"/>
        </w:rPr>
        <w:t xml:space="preserve">Ces différents </w:t>
      </w:r>
      <w:r w:rsidR="00912EF5" w:rsidRPr="00205909">
        <w:rPr>
          <w:rFonts w:ascii="Garamond" w:hAnsi="Garamond"/>
          <w:sz w:val="24"/>
          <w:szCs w:val="24"/>
        </w:rPr>
        <w:t xml:space="preserve">types de </w:t>
      </w:r>
      <w:proofErr w:type="spellStart"/>
      <w:r w:rsidR="00912EF5" w:rsidRPr="00205909">
        <w:rPr>
          <w:rFonts w:ascii="Garamond" w:hAnsi="Garamond"/>
          <w:i/>
          <w:iCs/>
          <w:sz w:val="24"/>
          <w:szCs w:val="24"/>
        </w:rPr>
        <w:t>lawfare</w:t>
      </w:r>
      <w:proofErr w:type="spellEnd"/>
      <w:r w:rsidR="00912EF5" w:rsidRPr="00205909">
        <w:rPr>
          <w:rFonts w:ascii="Garamond" w:hAnsi="Garamond"/>
          <w:i/>
          <w:iCs/>
          <w:sz w:val="24"/>
          <w:szCs w:val="24"/>
        </w:rPr>
        <w:t xml:space="preserve"> </w:t>
      </w:r>
      <w:r w:rsidR="00912EF5" w:rsidRPr="00205909">
        <w:rPr>
          <w:rFonts w:ascii="Garamond" w:hAnsi="Garamond"/>
          <w:sz w:val="24"/>
          <w:szCs w:val="24"/>
        </w:rPr>
        <w:t xml:space="preserve">instrumentaire </w:t>
      </w:r>
      <w:r w:rsidRPr="00205909">
        <w:rPr>
          <w:rFonts w:ascii="Garamond" w:hAnsi="Garamond"/>
          <w:sz w:val="24"/>
          <w:szCs w:val="24"/>
        </w:rPr>
        <w:t xml:space="preserve">se distinguent ou au contraire se combinent. C’est le cas des sanctions économiques européennes contre des entités affiliées à l’agression de l’Ukraine par exemple, qui comportent quelques règles processuelles, essentiellement en termes d’exceptions à des gels de ressources. A l’inverse, les contre-mesures adoptées par la Russie, en 2020, modifiant l’article 248 du Code de procédure civile russe, qui, en substance, interdisent à tout opérateur russe sous sanction de répondre à une action intentée en territoire occidentale et, au contraire, </w:t>
      </w:r>
      <w:r w:rsidR="00874E0C" w:rsidRPr="00205909">
        <w:rPr>
          <w:rFonts w:ascii="Garamond" w:hAnsi="Garamond"/>
          <w:sz w:val="24"/>
          <w:szCs w:val="24"/>
        </w:rPr>
        <w:t xml:space="preserve">lui imposant </w:t>
      </w:r>
      <w:r w:rsidRPr="00205909">
        <w:rPr>
          <w:rFonts w:ascii="Garamond" w:hAnsi="Garamond"/>
          <w:sz w:val="24"/>
          <w:szCs w:val="24"/>
        </w:rPr>
        <w:t>d’exerce</w:t>
      </w:r>
      <w:r w:rsidR="00874E0C" w:rsidRPr="00205909">
        <w:rPr>
          <w:rFonts w:ascii="Garamond" w:hAnsi="Garamond"/>
          <w:sz w:val="24"/>
          <w:szCs w:val="24"/>
        </w:rPr>
        <w:t>r</w:t>
      </w:r>
      <w:r w:rsidRPr="00205909">
        <w:rPr>
          <w:rFonts w:ascii="Garamond" w:hAnsi="Garamond"/>
          <w:sz w:val="24"/>
          <w:szCs w:val="24"/>
        </w:rPr>
        <w:t xml:space="preserve"> une </w:t>
      </w:r>
      <w:r w:rsidRPr="00205909">
        <w:rPr>
          <w:rFonts w:ascii="Garamond" w:hAnsi="Garamond"/>
          <w:i/>
          <w:iCs/>
          <w:sz w:val="24"/>
          <w:szCs w:val="24"/>
        </w:rPr>
        <w:t xml:space="preserve">anti-suit </w:t>
      </w:r>
      <w:proofErr w:type="spellStart"/>
      <w:r w:rsidRPr="00205909">
        <w:rPr>
          <w:rFonts w:ascii="Garamond" w:hAnsi="Garamond"/>
          <w:i/>
          <w:iCs/>
          <w:sz w:val="24"/>
          <w:szCs w:val="24"/>
        </w:rPr>
        <w:t>injunction</w:t>
      </w:r>
      <w:proofErr w:type="spellEnd"/>
      <w:r w:rsidRPr="00205909">
        <w:rPr>
          <w:rFonts w:ascii="Garamond" w:hAnsi="Garamond"/>
          <w:sz w:val="24"/>
          <w:szCs w:val="24"/>
        </w:rPr>
        <w:t xml:space="preserve"> et une action inverse en Russie, sont pleinement procédurales</w:t>
      </w:r>
      <w:r w:rsidR="00BA7892" w:rsidRPr="00205909">
        <w:rPr>
          <w:rFonts w:ascii="Garamond" w:hAnsi="Garamond"/>
          <w:sz w:val="24"/>
          <w:szCs w:val="24"/>
        </w:rPr>
        <w:t xml:space="preserve"> (cf. supra)</w:t>
      </w:r>
      <w:r w:rsidRPr="00205909">
        <w:rPr>
          <w:rFonts w:ascii="Garamond" w:hAnsi="Garamond"/>
          <w:sz w:val="24"/>
          <w:szCs w:val="24"/>
        </w:rPr>
        <w:t xml:space="preserve">. </w:t>
      </w:r>
      <w:r w:rsidR="002F5931" w:rsidRPr="00205909">
        <w:rPr>
          <w:rFonts w:ascii="Garamond" w:hAnsi="Garamond"/>
          <w:sz w:val="24"/>
          <w:szCs w:val="24"/>
        </w:rPr>
        <w:t xml:space="preserve">De très nombreuses règles se présentent ainsi </w:t>
      </w:r>
      <w:r w:rsidR="00D2570B">
        <w:rPr>
          <w:rFonts w:ascii="Garamond" w:hAnsi="Garamond"/>
          <w:sz w:val="24"/>
          <w:szCs w:val="24"/>
        </w:rPr>
        <w:t xml:space="preserve">de manière croisées </w:t>
      </w:r>
      <w:r w:rsidR="002F5931" w:rsidRPr="00205909">
        <w:rPr>
          <w:rFonts w:ascii="Garamond" w:hAnsi="Garamond"/>
          <w:sz w:val="24"/>
          <w:szCs w:val="24"/>
        </w:rPr>
        <w:t xml:space="preserve">comme celles formant les lois dites « de blocage » </w:t>
      </w:r>
      <w:r w:rsidR="00D2570B">
        <w:rPr>
          <w:rFonts w:ascii="Garamond" w:hAnsi="Garamond"/>
          <w:sz w:val="24"/>
          <w:szCs w:val="24"/>
        </w:rPr>
        <w:t xml:space="preserve">qui visent à faire obstacle à des mesures elles-mêmes agressives par une autorité étrangère contre une entité française, </w:t>
      </w:r>
      <w:r w:rsidR="002F5931" w:rsidRPr="00205909">
        <w:rPr>
          <w:rFonts w:ascii="Garamond" w:hAnsi="Garamond"/>
          <w:sz w:val="24"/>
          <w:szCs w:val="24"/>
        </w:rPr>
        <w:t xml:space="preserve">ou encore </w:t>
      </w:r>
      <w:r w:rsidR="00874E0C" w:rsidRPr="00205909">
        <w:rPr>
          <w:rFonts w:ascii="Garamond" w:hAnsi="Garamond"/>
          <w:sz w:val="24"/>
          <w:szCs w:val="24"/>
        </w:rPr>
        <w:t xml:space="preserve">celles </w:t>
      </w:r>
      <w:r w:rsidR="002F5931" w:rsidRPr="00205909">
        <w:rPr>
          <w:rFonts w:ascii="Garamond" w:hAnsi="Garamond"/>
          <w:sz w:val="24"/>
          <w:szCs w:val="24"/>
        </w:rPr>
        <w:t>d</w:t>
      </w:r>
      <w:r w:rsidR="00874E0C" w:rsidRPr="00205909">
        <w:rPr>
          <w:rFonts w:ascii="Garamond" w:hAnsi="Garamond"/>
          <w:sz w:val="24"/>
          <w:szCs w:val="24"/>
        </w:rPr>
        <w:t>u</w:t>
      </w:r>
      <w:r w:rsidR="002F5931" w:rsidRPr="00205909">
        <w:rPr>
          <w:rFonts w:ascii="Garamond" w:hAnsi="Garamond"/>
          <w:sz w:val="24"/>
          <w:szCs w:val="24"/>
        </w:rPr>
        <w:t xml:space="preserve"> droit </w:t>
      </w:r>
      <w:r w:rsidR="00874E0C" w:rsidRPr="00205909">
        <w:rPr>
          <w:rFonts w:ascii="Garamond" w:hAnsi="Garamond"/>
          <w:sz w:val="24"/>
          <w:szCs w:val="24"/>
        </w:rPr>
        <w:t xml:space="preserve">français </w:t>
      </w:r>
      <w:r w:rsidR="002F5931" w:rsidRPr="00205909">
        <w:rPr>
          <w:rFonts w:ascii="Garamond" w:hAnsi="Garamond"/>
          <w:sz w:val="24"/>
          <w:szCs w:val="24"/>
        </w:rPr>
        <w:t>de l’arbitrage</w:t>
      </w:r>
      <w:r w:rsidR="00874E0C" w:rsidRPr="00205909">
        <w:rPr>
          <w:rFonts w:ascii="Garamond" w:hAnsi="Garamond"/>
          <w:sz w:val="24"/>
          <w:szCs w:val="24"/>
        </w:rPr>
        <w:t xml:space="preserve"> international</w:t>
      </w:r>
      <w:r w:rsidR="00D2570B">
        <w:rPr>
          <w:rFonts w:ascii="Garamond" w:hAnsi="Garamond"/>
          <w:sz w:val="24"/>
          <w:szCs w:val="24"/>
        </w:rPr>
        <w:t xml:space="preserve"> et ses originalités (autonomie de la convention d’arbitrage, juge d’appui « universel », extension à des non-signataires, conception élargie de l’ordre public international, exequatur possible d’une décision annulée par le juge du siège, etc.)</w:t>
      </w:r>
      <w:r w:rsidR="00874E0C" w:rsidRPr="00205909">
        <w:rPr>
          <w:rFonts w:ascii="Garamond" w:hAnsi="Garamond"/>
          <w:sz w:val="24"/>
          <w:szCs w:val="24"/>
        </w:rPr>
        <w:t xml:space="preserve">, ou encore de certaines règles de </w:t>
      </w:r>
      <w:r w:rsidR="00874E0C" w:rsidRPr="00205909">
        <w:rPr>
          <w:rFonts w:ascii="Garamond" w:hAnsi="Garamond"/>
          <w:i/>
          <w:iCs/>
          <w:sz w:val="24"/>
          <w:szCs w:val="24"/>
        </w:rPr>
        <w:t xml:space="preserve">soft </w:t>
      </w:r>
      <w:proofErr w:type="spellStart"/>
      <w:r w:rsidR="00874E0C" w:rsidRPr="00205909">
        <w:rPr>
          <w:rFonts w:ascii="Garamond" w:hAnsi="Garamond"/>
          <w:i/>
          <w:iCs/>
          <w:sz w:val="24"/>
          <w:szCs w:val="24"/>
        </w:rPr>
        <w:t>law</w:t>
      </w:r>
      <w:proofErr w:type="spellEnd"/>
      <w:r w:rsidR="00874E0C" w:rsidRPr="00205909">
        <w:rPr>
          <w:rFonts w:ascii="Garamond" w:hAnsi="Garamond"/>
          <w:i/>
          <w:iCs/>
          <w:sz w:val="24"/>
          <w:szCs w:val="24"/>
        </w:rPr>
        <w:t xml:space="preserve"> </w:t>
      </w:r>
      <w:r w:rsidR="00874E0C" w:rsidRPr="00205909">
        <w:rPr>
          <w:rFonts w:ascii="Garamond" w:hAnsi="Garamond"/>
          <w:sz w:val="24"/>
          <w:szCs w:val="24"/>
        </w:rPr>
        <w:t xml:space="preserve">telles que </w:t>
      </w:r>
      <w:r w:rsidR="00D2570B">
        <w:rPr>
          <w:rFonts w:ascii="Garamond" w:hAnsi="Garamond"/>
          <w:sz w:val="24"/>
          <w:szCs w:val="24"/>
        </w:rPr>
        <w:t xml:space="preserve">l’utilisation croissante des règles </w:t>
      </w:r>
      <w:r w:rsidR="00874E0C" w:rsidRPr="00205909">
        <w:rPr>
          <w:rFonts w:ascii="Garamond" w:hAnsi="Garamond"/>
          <w:sz w:val="24"/>
          <w:szCs w:val="24"/>
        </w:rPr>
        <w:t>de l’IBA dans des procédures d’arbitrage</w:t>
      </w:r>
      <w:r w:rsidR="00D2570B">
        <w:rPr>
          <w:rFonts w:ascii="Garamond" w:hAnsi="Garamond"/>
          <w:sz w:val="24"/>
          <w:szCs w:val="24"/>
        </w:rPr>
        <w:t xml:space="preserve"> ou de la prise en compte d’éléments des règles de la CCI</w:t>
      </w:r>
      <w:r w:rsidR="002F5931" w:rsidRPr="00205909">
        <w:rPr>
          <w:rFonts w:ascii="Garamond" w:hAnsi="Garamond"/>
          <w:sz w:val="24"/>
          <w:szCs w:val="24"/>
        </w:rPr>
        <w:t>.</w:t>
      </w:r>
    </w:p>
    <w:p w14:paraId="4B57E9C5" w14:textId="2F4771B2" w:rsidR="00040830" w:rsidRPr="00205909" w:rsidRDefault="00874E0C" w:rsidP="0072385D">
      <w:pPr>
        <w:pStyle w:val="numerodeparagraphe"/>
        <w:numPr>
          <w:ilvl w:val="0"/>
          <w:numId w:val="0"/>
        </w:numPr>
        <w:spacing w:before="0"/>
        <w:ind w:firstLine="454"/>
        <w:rPr>
          <w:rFonts w:ascii="Garamond" w:hAnsi="Garamond"/>
          <w:sz w:val="24"/>
          <w:szCs w:val="24"/>
        </w:rPr>
      </w:pPr>
      <w:r w:rsidRPr="00205909">
        <w:rPr>
          <w:rFonts w:ascii="Garamond" w:hAnsi="Garamond"/>
          <w:sz w:val="24"/>
          <w:szCs w:val="24"/>
        </w:rPr>
        <w:t>L</w:t>
      </w:r>
      <w:r w:rsidR="002F5931" w:rsidRPr="00205909">
        <w:rPr>
          <w:rFonts w:ascii="Garamond" w:hAnsi="Garamond"/>
          <w:sz w:val="24"/>
          <w:szCs w:val="24"/>
        </w:rPr>
        <w:t xml:space="preserve">es </w:t>
      </w:r>
      <w:r w:rsidRPr="00205909">
        <w:rPr>
          <w:rFonts w:ascii="Garamond" w:hAnsi="Garamond"/>
          <w:sz w:val="24"/>
          <w:szCs w:val="24"/>
        </w:rPr>
        <w:t xml:space="preserve">règles du droit français de l’arbitrage international </w:t>
      </w:r>
      <w:r w:rsidR="002F5931" w:rsidRPr="00205909">
        <w:rPr>
          <w:rFonts w:ascii="Garamond" w:hAnsi="Garamond"/>
          <w:sz w:val="24"/>
          <w:szCs w:val="24"/>
        </w:rPr>
        <w:t xml:space="preserve">sont d’autant plus intéressantes qu’elles forment un ensemble cohérent, à vocation extraterritoriale, </w:t>
      </w:r>
      <w:r w:rsidR="006A5B1B" w:rsidRPr="00205909">
        <w:rPr>
          <w:rFonts w:ascii="Garamond" w:hAnsi="Garamond"/>
          <w:sz w:val="24"/>
          <w:szCs w:val="24"/>
        </w:rPr>
        <w:t>et a priori totalement procédurales</w:t>
      </w:r>
      <w:r w:rsidR="00BA7892" w:rsidRPr="00205909">
        <w:rPr>
          <w:rStyle w:val="Appelnotedebasdep"/>
          <w:rFonts w:ascii="Garamond" w:hAnsi="Garamond"/>
          <w:szCs w:val="24"/>
        </w:rPr>
        <w:footnoteReference w:id="43"/>
      </w:r>
      <w:r w:rsidR="006A5B1B" w:rsidRPr="00205909">
        <w:rPr>
          <w:rFonts w:ascii="Garamond" w:hAnsi="Garamond"/>
          <w:sz w:val="24"/>
          <w:szCs w:val="24"/>
        </w:rPr>
        <w:t xml:space="preserve">. Les règles du droit français de l’arbitrage international, en effet, se présentent comme des règles qui, en raison de l’attractivité de Paris du fait de l’installation de la Chambre de commerce internationale, s’appliquent, en tant que règles du siège, à des arbitrages dans lesquels aucune partie française, aucun arbitre français ni aucun intérêt français </w:t>
      </w:r>
      <w:r w:rsidR="00D2570B">
        <w:rPr>
          <w:rFonts w:ascii="Garamond" w:hAnsi="Garamond"/>
          <w:sz w:val="24"/>
          <w:szCs w:val="24"/>
        </w:rPr>
        <w:t xml:space="preserve">pourrait </w:t>
      </w:r>
      <w:r w:rsidR="006A5B1B" w:rsidRPr="00205909">
        <w:rPr>
          <w:rFonts w:ascii="Garamond" w:hAnsi="Garamond"/>
          <w:sz w:val="24"/>
          <w:szCs w:val="24"/>
        </w:rPr>
        <w:t>n’</w:t>
      </w:r>
      <w:r w:rsidR="00D2570B">
        <w:rPr>
          <w:rFonts w:ascii="Garamond" w:hAnsi="Garamond"/>
          <w:sz w:val="24"/>
          <w:szCs w:val="24"/>
        </w:rPr>
        <w:t>être</w:t>
      </w:r>
      <w:r w:rsidR="006A5B1B" w:rsidRPr="00205909">
        <w:rPr>
          <w:rFonts w:ascii="Garamond" w:hAnsi="Garamond"/>
          <w:sz w:val="24"/>
          <w:szCs w:val="24"/>
        </w:rPr>
        <w:t xml:space="preserve"> en jeu et, qui, pourtant vont s’imposer aux arbitres et aux parties, notamment à travers la considération de la conformité de la sentence arbitrale rendue à la conception français de l’ordre public international</w:t>
      </w:r>
      <w:r w:rsidR="00056565">
        <w:rPr>
          <w:rFonts w:ascii="Garamond" w:hAnsi="Garamond"/>
          <w:sz w:val="24"/>
          <w:szCs w:val="24"/>
        </w:rPr>
        <w:t xml:space="preserve"> (cf. </w:t>
      </w:r>
      <w:r w:rsidR="00056565" w:rsidRPr="00056565">
        <w:rPr>
          <w:rFonts w:ascii="Garamond" w:hAnsi="Garamond"/>
          <w:i/>
          <w:iCs/>
          <w:sz w:val="24"/>
          <w:szCs w:val="24"/>
        </w:rPr>
        <w:t>infra</w:t>
      </w:r>
      <w:r w:rsidR="00056565">
        <w:rPr>
          <w:rFonts w:ascii="Garamond" w:hAnsi="Garamond"/>
          <w:sz w:val="24"/>
          <w:szCs w:val="24"/>
        </w:rPr>
        <w:t>, n° 31)</w:t>
      </w:r>
      <w:r w:rsidR="006A5B1B" w:rsidRPr="00205909">
        <w:rPr>
          <w:rFonts w:ascii="Garamond" w:hAnsi="Garamond"/>
          <w:sz w:val="24"/>
          <w:szCs w:val="24"/>
        </w:rPr>
        <w:t xml:space="preserve">. </w:t>
      </w:r>
    </w:p>
    <w:p w14:paraId="239BD00F" w14:textId="77777777" w:rsidR="00BB1BAA" w:rsidRPr="00205909" w:rsidRDefault="00BB1BAA" w:rsidP="007F1788">
      <w:pPr>
        <w:widowControl w:val="0"/>
        <w:spacing w:after="0" w:line="240" w:lineRule="auto"/>
        <w:ind w:left="426" w:right="-1"/>
        <w:jc w:val="both"/>
        <w:rPr>
          <w:rFonts w:ascii="Garamond" w:hAnsi="Garamond" w:cs="Times New Roman"/>
          <w:sz w:val="24"/>
          <w:szCs w:val="24"/>
        </w:rPr>
      </w:pPr>
    </w:p>
    <w:p w14:paraId="0F4D99D7" w14:textId="457385E7" w:rsidR="00ED3B69" w:rsidRPr="00205909" w:rsidRDefault="00001DC1" w:rsidP="007F1788">
      <w:pPr>
        <w:widowControl w:val="0"/>
        <w:spacing w:after="0" w:line="240" w:lineRule="auto"/>
        <w:ind w:right="-1" w:firstLine="454"/>
        <w:jc w:val="both"/>
        <w:rPr>
          <w:rFonts w:ascii="Garamond" w:hAnsi="Garamond" w:cs="Times New Roman"/>
          <w:b/>
          <w:bCs/>
          <w:i/>
          <w:iCs/>
          <w:sz w:val="24"/>
          <w:szCs w:val="24"/>
        </w:rPr>
      </w:pPr>
      <w:r w:rsidRPr="00205909">
        <w:rPr>
          <w:rFonts w:ascii="Garamond" w:hAnsi="Garamond" w:cs="Times New Roman"/>
          <w:b/>
          <w:bCs/>
          <w:sz w:val="24"/>
          <w:szCs w:val="24"/>
        </w:rPr>
        <w:t>2</w:t>
      </w:r>
      <w:r w:rsidR="00B64D0F" w:rsidRPr="00205909">
        <w:rPr>
          <w:rFonts w:ascii="Garamond" w:hAnsi="Garamond" w:cs="Times New Roman"/>
          <w:b/>
          <w:bCs/>
          <w:sz w:val="24"/>
          <w:szCs w:val="24"/>
        </w:rPr>
        <w:t>.</w:t>
      </w:r>
      <w:r w:rsidR="00B64D0F" w:rsidRPr="00205909">
        <w:rPr>
          <w:rFonts w:ascii="Garamond" w:hAnsi="Garamond" w:cs="Times New Roman"/>
          <w:b/>
          <w:bCs/>
          <w:i/>
          <w:iCs/>
          <w:sz w:val="24"/>
          <w:szCs w:val="24"/>
        </w:rPr>
        <w:t xml:space="preserve"> </w:t>
      </w:r>
      <w:proofErr w:type="spellStart"/>
      <w:r w:rsidR="00B64D0F" w:rsidRPr="00205909">
        <w:rPr>
          <w:rFonts w:ascii="Garamond" w:hAnsi="Garamond" w:cs="Times New Roman"/>
          <w:b/>
          <w:bCs/>
          <w:i/>
          <w:iCs/>
          <w:sz w:val="24"/>
          <w:szCs w:val="24"/>
        </w:rPr>
        <w:t>L</w:t>
      </w:r>
      <w:r w:rsidR="00ED3B69" w:rsidRPr="00205909">
        <w:rPr>
          <w:rFonts w:ascii="Garamond" w:hAnsi="Garamond" w:cs="Times New Roman"/>
          <w:b/>
          <w:bCs/>
          <w:i/>
          <w:iCs/>
          <w:sz w:val="24"/>
          <w:szCs w:val="24"/>
        </w:rPr>
        <w:t>awfare</w:t>
      </w:r>
      <w:proofErr w:type="spellEnd"/>
      <w:r w:rsidR="00AC5BDD" w:rsidRPr="00205909">
        <w:rPr>
          <w:rFonts w:ascii="Garamond" w:hAnsi="Garamond" w:cs="Times New Roman"/>
          <w:b/>
          <w:bCs/>
          <w:i/>
          <w:iCs/>
          <w:sz w:val="24"/>
          <w:szCs w:val="24"/>
        </w:rPr>
        <w:t xml:space="preserve"> </w:t>
      </w:r>
      <w:r w:rsidR="00AC5BDD" w:rsidRPr="00205909">
        <w:rPr>
          <w:rFonts w:ascii="Garamond" w:hAnsi="Garamond" w:cs="Times New Roman"/>
          <w:b/>
          <w:bCs/>
          <w:sz w:val="24"/>
          <w:szCs w:val="24"/>
        </w:rPr>
        <w:t>public</w:t>
      </w:r>
      <w:r w:rsidR="00B64D0F" w:rsidRPr="00205909">
        <w:rPr>
          <w:rFonts w:ascii="Garamond" w:hAnsi="Garamond" w:cs="Times New Roman"/>
          <w:b/>
          <w:bCs/>
          <w:sz w:val="24"/>
          <w:szCs w:val="24"/>
        </w:rPr>
        <w:t xml:space="preserve"> ou privé</w:t>
      </w:r>
    </w:p>
    <w:p w14:paraId="0E7D36C5" w14:textId="77777777" w:rsidR="00AC5BDD" w:rsidRPr="00205909" w:rsidRDefault="00AC5BDD" w:rsidP="007F1788">
      <w:pPr>
        <w:pStyle w:val="Paragraphedeliste"/>
        <w:widowControl w:val="0"/>
        <w:spacing w:after="0" w:line="240" w:lineRule="auto"/>
        <w:ind w:left="786" w:right="-1"/>
        <w:jc w:val="both"/>
        <w:rPr>
          <w:rFonts w:ascii="Garamond" w:hAnsi="Garamond" w:cs="Times New Roman"/>
          <w:b/>
          <w:bCs/>
          <w:sz w:val="24"/>
          <w:szCs w:val="24"/>
        </w:rPr>
      </w:pPr>
    </w:p>
    <w:p w14:paraId="4BBE3C29" w14:textId="7CF9FED7" w:rsidR="002876B2" w:rsidRPr="00205909" w:rsidRDefault="009167FD" w:rsidP="009167FD">
      <w:pPr>
        <w:pStyle w:val="numerodeparagraphe"/>
        <w:spacing w:before="0"/>
        <w:rPr>
          <w:rFonts w:ascii="Garamond" w:hAnsi="Garamond"/>
          <w:sz w:val="24"/>
          <w:szCs w:val="24"/>
        </w:rPr>
      </w:pPr>
      <w:r w:rsidRPr="00205909">
        <w:rPr>
          <w:rFonts w:ascii="Garamond" w:hAnsi="Garamond"/>
          <w:sz w:val="24"/>
          <w:szCs w:val="24"/>
        </w:rPr>
        <w:t xml:space="preserve">Si la distinction, processuelle ou substantielle, entre les ordres juridiques public, ou administratif, et privé est cardinale en droit français interne, à supposer toutefois qu’elle soit efficace, elle est beaucoup moins évidente dans les opérations internationales ou en droit international. </w:t>
      </w:r>
      <w:r w:rsidR="00441E35" w:rsidRPr="00205909">
        <w:rPr>
          <w:rFonts w:ascii="Garamond" w:hAnsi="Garamond"/>
          <w:sz w:val="24"/>
          <w:szCs w:val="24"/>
        </w:rPr>
        <w:t xml:space="preserve">A bien des égards d’ailleurs, la plupart des outils </w:t>
      </w:r>
      <w:proofErr w:type="spellStart"/>
      <w:r w:rsidR="00441E35" w:rsidRPr="00205909">
        <w:rPr>
          <w:rFonts w:ascii="Garamond" w:hAnsi="Garamond"/>
          <w:i/>
          <w:iCs/>
          <w:sz w:val="24"/>
          <w:szCs w:val="24"/>
        </w:rPr>
        <w:t>lawfare</w:t>
      </w:r>
      <w:proofErr w:type="spellEnd"/>
      <w:r w:rsidR="00441E35" w:rsidRPr="00205909">
        <w:rPr>
          <w:rFonts w:ascii="Garamond" w:hAnsi="Garamond"/>
          <w:i/>
          <w:iCs/>
          <w:sz w:val="24"/>
          <w:szCs w:val="24"/>
        </w:rPr>
        <w:t xml:space="preserve"> </w:t>
      </w:r>
      <w:r w:rsidR="00441E35" w:rsidRPr="00205909">
        <w:rPr>
          <w:rFonts w:ascii="Garamond" w:hAnsi="Garamond"/>
          <w:sz w:val="24"/>
          <w:szCs w:val="24"/>
        </w:rPr>
        <w:t>relèvent à strictement parler, du droit public, à l’exception de quelques questions comme la lutte contre les procédures bâillon, ou mixte comme les règles droit pénal, du droit de la concurrence, de la communication ou des marchés financiers</w:t>
      </w:r>
      <w:r w:rsidR="00BA7892" w:rsidRPr="00205909">
        <w:rPr>
          <w:rFonts w:ascii="Garamond" w:hAnsi="Garamond"/>
          <w:sz w:val="24"/>
          <w:szCs w:val="24"/>
        </w:rPr>
        <w:t xml:space="preserve"> et encore, et peut-être surtout</w:t>
      </w:r>
      <w:r w:rsidR="001D70E9">
        <w:rPr>
          <w:rFonts w:ascii="Garamond" w:hAnsi="Garamond"/>
          <w:sz w:val="24"/>
          <w:szCs w:val="24"/>
        </w:rPr>
        <w:t>,</w:t>
      </w:r>
      <w:r w:rsidR="00BA7892" w:rsidRPr="00205909">
        <w:rPr>
          <w:rFonts w:ascii="Garamond" w:hAnsi="Garamond"/>
          <w:sz w:val="24"/>
          <w:szCs w:val="24"/>
        </w:rPr>
        <w:t xml:space="preserve"> en matière de protection des investissements étrangers</w:t>
      </w:r>
      <w:r w:rsidR="00441E35" w:rsidRPr="00205909">
        <w:rPr>
          <w:rFonts w:ascii="Garamond" w:hAnsi="Garamond"/>
          <w:sz w:val="24"/>
          <w:szCs w:val="24"/>
        </w:rPr>
        <w:t xml:space="preserve">. </w:t>
      </w:r>
    </w:p>
    <w:p w14:paraId="66D0C276" w14:textId="22060448" w:rsidR="009167FD" w:rsidRPr="00205909" w:rsidRDefault="00441E35" w:rsidP="00112BDD">
      <w:pPr>
        <w:pStyle w:val="numerodeparagraphe"/>
        <w:numPr>
          <w:ilvl w:val="0"/>
          <w:numId w:val="0"/>
        </w:numPr>
        <w:spacing w:before="0"/>
        <w:ind w:firstLine="454"/>
        <w:rPr>
          <w:rFonts w:ascii="Garamond" w:hAnsi="Garamond"/>
          <w:sz w:val="24"/>
          <w:szCs w:val="24"/>
        </w:rPr>
      </w:pPr>
      <w:r w:rsidRPr="00205909">
        <w:rPr>
          <w:rFonts w:ascii="Garamond" w:hAnsi="Garamond"/>
          <w:sz w:val="24"/>
          <w:szCs w:val="24"/>
        </w:rPr>
        <w:t>D’une manière générale cependant, cett</w:t>
      </w:r>
      <w:r w:rsidR="004F6CD2" w:rsidRPr="00205909">
        <w:rPr>
          <w:rFonts w:ascii="Garamond" w:hAnsi="Garamond"/>
          <w:sz w:val="24"/>
          <w:szCs w:val="24"/>
        </w:rPr>
        <w:t>e distinction présente un certain intérêt ici, moins d’une manière substantielle que par la manière de les aborder. Comme déjà signal</w:t>
      </w:r>
      <w:r w:rsidR="001D70E9">
        <w:rPr>
          <w:rFonts w:ascii="Garamond" w:hAnsi="Garamond"/>
          <w:sz w:val="24"/>
          <w:szCs w:val="24"/>
        </w:rPr>
        <w:t>é</w:t>
      </w:r>
      <w:r w:rsidR="004F6CD2" w:rsidRPr="00205909">
        <w:rPr>
          <w:rFonts w:ascii="Garamond" w:hAnsi="Garamond"/>
          <w:sz w:val="24"/>
          <w:szCs w:val="24"/>
        </w:rPr>
        <w:t xml:space="preserve"> en effet, ce sont souvent des spécialistes des relations internationales, de sciences politiques, des historiens, ou des acteurs eux-mêmes, de sorte que pour les juristes, et notamment de droit privé, il s’agit d’une approche totalement différente qui suppose d’absorber cette manière originale, et souvent globale des différentes</w:t>
      </w:r>
      <w:r w:rsidRPr="00205909">
        <w:rPr>
          <w:rFonts w:ascii="Garamond" w:hAnsi="Garamond"/>
          <w:sz w:val="24"/>
          <w:szCs w:val="24"/>
        </w:rPr>
        <w:t xml:space="preserve"> </w:t>
      </w:r>
      <w:r w:rsidR="004F6CD2" w:rsidRPr="00205909">
        <w:rPr>
          <w:rFonts w:ascii="Garamond" w:hAnsi="Garamond"/>
          <w:sz w:val="24"/>
          <w:szCs w:val="24"/>
        </w:rPr>
        <w:t xml:space="preserve">situations concernées, alors que leurs tendance serait de les analyser </w:t>
      </w:r>
      <w:r w:rsidR="001D70E9">
        <w:rPr>
          <w:rFonts w:ascii="Garamond" w:hAnsi="Garamond"/>
          <w:sz w:val="24"/>
          <w:szCs w:val="24"/>
        </w:rPr>
        <w:t xml:space="preserve">au </w:t>
      </w:r>
      <w:r w:rsidR="004F6CD2" w:rsidRPr="00205909">
        <w:rPr>
          <w:rFonts w:ascii="Garamond" w:hAnsi="Garamond"/>
          <w:sz w:val="24"/>
          <w:szCs w:val="24"/>
        </w:rPr>
        <w:t>cas par cas, identifier les règles qui pourraient être applicables, les voies processuelles possibles, les éléments de preuve et les arguments utiles</w:t>
      </w:r>
      <w:r w:rsidRPr="00205909">
        <w:rPr>
          <w:rFonts w:ascii="Garamond" w:hAnsi="Garamond"/>
          <w:sz w:val="24"/>
          <w:szCs w:val="24"/>
        </w:rPr>
        <w:t xml:space="preserve"> </w:t>
      </w:r>
      <w:r w:rsidR="004F6CD2" w:rsidRPr="00205909">
        <w:rPr>
          <w:rFonts w:ascii="Garamond" w:hAnsi="Garamond"/>
          <w:sz w:val="24"/>
          <w:szCs w:val="24"/>
        </w:rPr>
        <w:t xml:space="preserve">pour les traiter. </w:t>
      </w:r>
      <w:r w:rsidR="009167FD" w:rsidRPr="00205909">
        <w:rPr>
          <w:rFonts w:ascii="Garamond" w:hAnsi="Garamond"/>
          <w:sz w:val="24"/>
          <w:szCs w:val="24"/>
        </w:rPr>
        <w:t xml:space="preserve">Ainsi, les cas dans lesquels </w:t>
      </w:r>
      <w:r w:rsidR="00112BDD" w:rsidRPr="00205909">
        <w:rPr>
          <w:rFonts w:ascii="Garamond" w:hAnsi="Garamond"/>
          <w:sz w:val="24"/>
          <w:szCs w:val="24"/>
        </w:rPr>
        <w:t>une entité privée</w:t>
      </w:r>
      <w:r w:rsidR="0058002F" w:rsidRPr="00205909">
        <w:rPr>
          <w:rFonts w:ascii="Garamond" w:hAnsi="Garamond"/>
          <w:sz w:val="24"/>
          <w:szCs w:val="24"/>
        </w:rPr>
        <w:t>, y compris française,</w:t>
      </w:r>
      <w:r w:rsidR="00112BDD" w:rsidRPr="00205909">
        <w:rPr>
          <w:rFonts w:ascii="Garamond" w:hAnsi="Garamond"/>
          <w:sz w:val="24"/>
          <w:szCs w:val="24"/>
        </w:rPr>
        <w:t xml:space="preserve"> </w:t>
      </w:r>
      <w:r w:rsidR="002876B2" w:rsidRPr="00205909">
        <w:rPr>
          <w:rFonts w:ascii="Garamond" w:hAnsi="Garamond"/>
          <w:sz w:val="24"/>
          <w:szCs w:val="24"/>
        </w:rPr>
        <w:t xml:space="preserve">une association par exemple, </w:t>
      </w:r>
      <w:r w:rsidR="00112BDD" w:rsidRPr="00205909">
        <w:rPr>
          <w:rFonts w:ascii="Garamond" w:hAnsi="Garamond"/>
          <w:sz w:val="24"/>
          <w:szCs w:val="24"/>
        </w:rPr>
        <w:t xml:space="preserve">engage une action, civile ou pénale, contre une entité étatique </w:t>
      </w:r>
      <w:r w:rsidR="002876B2" w:rsidRPr="00205909">
        <w:rPr>
          <w:rFonts w:ascii="Garamond" w:hAnsi="Garamond"/>
          <w:sz w:val="24"/>
          <w:szCs w:val="24"/>
        </w:rPr>
        <w:t xml:space="preserve">ou entrepreneuriale </w:t>
      </w:r>
      <w:r w:rsidR="00112BDD" w:rsidRPr="00205909">
        <w:rPr>
          <w:rFonts w:ascii="Garamond" w:hAnsi="Garamond"/>
          <w:sz w:val="24"/>
          <w:szCs w:val="24"/>
        </w:rPr>
        <w:t>pour violation des règles en matière de crime de guerre ou contre l’humanité</w:t>
      </w:r>
      <w:r w:rsidR="002876B2" w:rsidRPr="00205909">
        <w:rPr>
          <w:rFonts w:ascii="Garamond" w:hAnsi="Garamond"/>
          <w:sz w:val="24"/>
          <w:szCs w:val="24"/>
        </w:rPr>
        <w:t>, suppose que des juristes, dont un avocat, ai</w:t>
      </w:r>
      <w:r w:rsidR="0042586E">
        <w:rPr>
          <w:rFonts w:ascii="Garamond" w:hAnsi="Garamond"/>
          <w:sz w:val="24"/>
          <w:szCs w:val="24"/>
        </w:rPr>
        <w:t>en</w:t>
      </w:r>
      <w:r w:rsidR="002876B2" w:rsidRPr="00205909">
        <w:rPr>
          <w:rFonts w:ascii="Garamond" w:hAnsi="Garamond"/>
          <w:sz w:val="24"/>
          <w:szCs w:val="24"/>
        </w:rPr>
        <w:t>t juridiquement saisi la position de l’association, et que d’autres, celle de l’entité étatique ou de l’entreprise </w:t>
      </w:r>
      <w:r w:rsidR="0042586E">
        <w:rPr>
          <w:rFonts w:ascii="Garamond" w:hAnsi="Garamond"/>
          <w:sz w:val="24"/>
          <w:szCs w:val="24"/>
        </w:rPr>
        <w:t xml:space="preserve">aient également envisagé la situation et les moyens de la contrer </w:t>
      </w:r>
      <w:r w:rsidR="002876B2" w:rsidRPr="00205909">
        <w:rPr>
          <w:rFonts w:ascii="Garamond" w:hAnsi="Garamond"/>
          <w:sz w:val="24"/>
          <w:szCs w:val="24"/>
        </w:rPr>
        <w:t xml:space="preserve">: or ce </w:t>
      </w:r>
      <w:r w:rsidR="0042586E">
        <w:rPr>
          <w:rFonts w:ascii="Garamond" w:hAnsi="Garamond"/>
          <w:sz w:val="24"/>
          <w:szCs w:val="24"/>
        </w:rPr>
        <w:t xml:space="preserve">type de </w:t>
      </w:r>
      <w:r w:rsidR="002876B2" w:rsidRPr="00205909">
        <w:rPr>
          <w:rFonts w:ascii="Garamond" w:hAnsi="Garamond"/>
          <w:sz w:val="24"/>
          <w:szCs w:val="24"/>
        </w:rPr>
        <w:t xml:space="preserve">cas implique nécessairement le point de vue de l’Etat, et </w:t>
      </w:r>
      <w:r w:rsidR="0042586E">
        <w:rPr>
          <w:rFonts w:ascii="Garamond" w:hAnsi="Garamond"/>
          <w:sz w:val="24"/>
          <w:szCs w:val="24"/>
        </w:rPr>
        <w:t xml:space="preserve">ce </w:t>
      </w:r>
      <w:r w:rsidR="002876B2" w:rsidRPr="00205909">
        <w:rPr>
          <w:rFonts w:ascii="Garamond" w:hAnsi="Garamond"/>
          <w:sz w:val="24"/>
          <w:szCs w:val="24"/>
        </w:rPr>
        <w:t>au-delà de l’intervention d’un juge dont l’indépendance est garantie</w:t>
      </w:r>
      <w:r w:rsidR="00112BDD" w:rsidRPr="00205909">
        <w:rPr>
          <w:rFonts w:ascii="Garamond" w:hAnsi="Garamond"/>
          <w:sz w:val="24"/>
          <w:szCs w:val="24"/>
        </w:rPr>
        <w:t>.</w:t>
      </w:r>
      <w:r w:rsidR="002876B2" w:rsidRPr="00205909">
        <w:rPr>
          <w:rFonts w:ascii="Garamond" w:hAnsi="Garamond"/>
          <w:sz w:val="24"/>
          <w:szCs w:val="24"/>
        </w:rPr>
        <w:t xml:space="preserve"> Si </w:t>
      </w:r>
      <w:r w:rsidR="002876B2" w:rsidRPr="00205909">
        <w:rPr>
          <w:rFonts w:ascii="Garamond" w:hAnsi="Garamond"/>
          <w:i/>
          <w:iCs/>
          <w:sz w:val="24"/>
          <w:szCs w:val="24"/>
        </w:rPr>
        <w:t xml:space="preserve">a priori </w:t>
      </w:r>
      <w:r w:rsidR="002876B2" w:rsidRPr="00205909">
        <w:rPr>
          <w:rFonts w:ascii="Garamond" w:hAnsi="Garamond"/>
          <w:sz w:val="24"/>
          <w:szCs w:val="24"/>
        </w:rPr>
        <w:t xml:space="preserve">donc le cas est traité selon des ressources administrative, pénale ou privée, il reste qu’il baigne dans une ambiance de mise en jeu des intérêts fondamentaux de l’Etat. Ni simplement publics ou privés, les cas de </w:t>
      </w:r>
      <w:proofErr w:type="spellStart"/>
      <w:r w:rsidR="002876B2" w:rsidRPr="00205909">
        <w:rPr>
          <w:rFonts w:ascii="Garamond" w:hAnsi="Garamond"/>
          <w:i/>
          <w:iCs/>
          <w:sz w:val="24"/>
          <w:szCs w:val="24"/>
        </w:rPr>
        <w:t>lawfaire</w:t>
      </w:r>
      <w:proofErr w:type="spellEnd"/>
      <w:r w:rsidR="002876B2" w:rsidRPr="00205909">
        <w:rPr>
          <w:rFonts w:ascii="Garamond" w:hAnsi="Garamond"/>
          <w:i/>
          <w:iCs/>
          <w:sz w:val="24"/>
          <w:szCs w:val="24"/>
        </w:rPr>
        <w:t xml:space="preserve"> </w:t>
      </w:r>
      <w:r w:rsidR="002876B2" w:rsidRPr="00205909">
        <w:rPr>
          <w:rFonts w:ascii="Garamond" w:hAnsi="Garamond"/>
          <w:sz w:val="24"/>
          <w:szCs w:val="24"/>
        </w:rPr>
        <w:t>comportent donc systématiquement une composante publique majeure</w:t>
      </w:r>
      <w:r w:rsidR="004E35E0">
        <w:rPr>
          <w:rFonts w:ascii="Garamond" w:hAnsi="Garamond"/>
          <w:sz w:val="24"/>
          <w:szCs w:val="24"/>
        </w:rPr>
        <w:t>, dont la considération reste peut-être encore à mesurer</w:t>
      </w:r>
      <w:r w:rsidR="002876B2" w:rsidRPr="00205909">
        <w:rPr>
          <w:rFonts w:ascii="Garamond" w:hAnsi="Garamond"/>
          <w:sz w:val="24"/>
          <w:szCs w:val="24"/>
        </w:rPr>
        <w:t>.</w:t>
      </w:r>
    </w:p>
    <w:p w14:paraId="7DFCD052" w14:textId="77777777" w:rsidR="009167FD" w:rsidRPr="00205909" w:rsidRDefault="009167FD" w:rsidP="007F1788">
      <w:pPr>
        <w:pStyle w:val="Paragraphedeliste"/>
        <w:widowControl w:val="0"/>
        <w:spacing w:after="0" w:line="240" w:lineRule="auto"/>
        <w:ind w:left="786" w:right="-1"/>
        <w:jc w:val="both"/>
        <w:rPr>
          <w:rFonts w:ascii="Garamond" w:hAnsi="Garamond" w:cs="Times New Roman"/>
          <w:b/>
          <w:bCs/>
          <w:sz w:val="24"/>
          <w:szCs w:val="24"/>
        </w:rPr>
      </w:pPr>
    </w:p>
    <w:p w14:paraId="155A7AE2" w14:textId="5733C7F1" w:rsidR="00B64D0F" w:rsidRPr="00205909" w:rsidRDefault="00001DC1" w:rsidP="007F1788">
      <w:pPr>
        <w:widowControl w:val="0"/>
        <w:spacing w:after="0" w:line="240" w:lineRule="auto"/>
        <w:ind w:right="-1" w:firstLine="454"/>
        <w:jc w:val="both"/>
        <w:rPr>
          <w:rFonts w:ascii="Garamond" w:hAnsi="Garamond" w:cs="Times New Roman"/>
          <w:b/>
          <w:bCs/>
          <w:i/>
          <w:iCs/>
          <w:sz w:val="24"/>
          <w:szCs w:val="24"/>
        </w:rPr>
      </w:pPr>
      <w:r w:rsidRPr="00205909">
        <w:rPr>
          <w:rFonts w:ascii="Garamond" w:hAnsi="Garamond" w:cs="Times New Roman"/>
          <w:b/>
          <w:bCs/>
          <w:sz w:val="24"/>
          <w:szCs w:val="24"/>
        </w:rPr>
        <w:t>3</w:t>
      </w:r>
      <w:r w:rsidR="00B64D0F" w:rsidRPr="00205909">
        <w:rPr>
          <w:rFonts w:ascii="Garamond" w:hAnsi="Garamond" w:cs="Times New Roman"/>
          <w:b/>
          <w:bCs/>
          <w:sz w:val="24"/>
          <w:szCs w:val="24"/>
        </w:rPr>
        <w:t>.</w:t>
      </w:r>
      <w:r w:rsidR="00B64D0F" w:rsidRPr="00205909">
        <w:rPr>
          <w:rFonts w:ascii="Garamond" w:hAnsi="Garamond" w:cs="Times New Roman"/>
          <w:b/>
          <w:bCs/>
          <w:i/>
          <w:iCs/>
          <w:sz w:val="24"/>
          <w:szCs w:val="24"/>
        </w:rPr>
        <w:t xml:space="preserve"> </w:t>
      </w:r>
      <w:proofErr w:type="spellStart"/>
      <w:r w:rsidR="00B64D0F" w:rsidRPr="00205909">
        <w:rPr>
          <w:rFonts w:ascii="Garamond" w:hAnsi="Garamond" w:cs="Times New Roman"/>
          <w:b/>
          <w:bCs/>
          <w:i/>
          <w:iCs/>
          <w:sz w:val="24"/>
          <w:szCs w:val="24"/>
        </w:rPr>
        <w:t>Lawfare</w:t>
      </w:r>
      <w:proofErr w:type="spellEnd"/>
      <w:r w:rsidR="00B64D0F" w:rsidRPr="00205909">
        <w:rPr>
          <w:rFonts w:ascii="Garamond" w:hAnsi="Garamond" w:cs="Times New Roman"/>
          <w:b/>
          <w:bCs/>
          <w:sz w:val="24"/>
          <w:szCs w:val="24"/>
        </w:rPr>
        <w:t xml:space="preserve"> interne ou international</w:t>
      </w:r>
      <w:r w:rsidR="00B64D0F" w:rsidRPr="00205909">
        <w:rPr>
          <w:rFonts w:ascii="Garamond" w:hAnsi="Garamond" w:cs="Times New Roman"/>
          <w:b/>
          <w:bCs/>
          <w:i/>
          <w:iCs/>
          <w:sz w:val="24"/>
          <w:szCs w:val="24"/>
        </w:rPr>
        <w:t xml:space="preserve"> </w:t>
      </w:r>
    </w:p>
    <w:p w14:paraId="76BEEB6C" w14:textId="77777777" w:rsidR="00B64D0F" w:rsidRPr="00205909" w:rsidRDefault="00B64D0F" w:rsidP="007F1788">
      <w:pPr>
        <w:pStyle w:val="Paragraphedeliste"/>
        <w:widowControl w:val="0"/>
        <w:spacing w:after="0" w:line="240" w:lineRule="auto"/>
        <w:ind w:left="786" w:right="-1"/>
        <w:jc w:val="both"/>
        <w:rPr>
          <w:rFonts w:ascii="Garamond" w:hAnsi="Garamond" w:cs="Times New Roman"/>
          <w:b/>
          <w:bCs/>
          <w:sz w:val="24"/>
          <w:szCs w:val="24"/>
        </w:rPr>
      </w:pPr>
    </w:p>
    <w:p w14:paraId="4BD6B983" w14:textId="661066F0" w:rsidR="00206B03" w:rsidRPr="00205909" w:rsidRDefault="00206B03" w:rsidP="007F1788">
      <w:pPr>
        <w:pStyle w:val="numerodeparagraphe"/>
        <w:suppressAutoHyphens/>
        <w:spacing w:before="0"/>
        <w:ind w:firstLine="426"/>
        <w:rPr>
          <w:rFonts w:ascii="Garamond" w:hAnsi="Garamond"/>
          <w:sz w:val="24"/>
          <w:szCs w:val="24"/>
        </w:rPr>
      </w:pPr>
      <w:r w:rsidRPr="00205909">
        <w:rPr>
          <w:rFonts w:ascii="Garamond" w:hAnsi="Garamond"/>
          <w:sz w:val="24"/>
          <w:szCs w:val="24"/>
        </w:rPr>
        <w:t>La question de savoir si ces règles ont une portée interne ou internationale présente un intérêt limité, à tout le moins pour les catégoriser. Par exemple, les sanctions économiques adoptée</w:t>
      </w:r>
      <w:r w:rsidR="00EC116E" w:rsidRPr="00205909">
        <w:rPr>
          <w:rFonts w:ascii="Garamond" w:hAnsi="Garamond"/>
          <w:sz w:val="24"/>
          <w:szCs w:val="24"/>
        </w:rPr>
        <w:t>s</w:t>
      </w:r>
      <w:r w:rsidRPr="00205909">
        <w:rPr>
          <w:rFonts w:ascii="Garamond" w:hAnsi="Garamond"/>
          <w:sz w:val="24"/>
          <w:szCs w:val="24"/>
        </w:rPr>
        <w:t xml:space="preserve"> unilatéralement sont des règles internes mais dont la portée est internationale. Il en est de même des règles internes ayant vocation à s’appliquer de manière extraterritoriale, donc internationale. La distinction, cependant, entre les règles</w:t>
      </w:r>
      <w:r w:rsidR="006051E6" w:rsidRPr="00205909">
        <w:rPr>
          <w:rFonts w:ascii="Garamond" w:hAnsi="Garamond"/>
          <w:sz w:val="24"/>
          <w:szCs w:val="24"/>
        </w:rPr>
        <w:t xml:space="preserve"> de source </w:t>
      </w:r>
      <w:r w:rsidRPr="000E7CA8">
        <w:rPr>
          <w:rFonts w:ascii="Garamond" w:hAnsi="Garamond"/>
          <w:sz w:val="24"/>
          <w:szCs w:val="24"/>
        </w:rPr>
        <w:t>française ou européenne</w:t>
      </w:r>
      <w:r w:rsidR="000E7CA8">
        <w:rPr>
          <w:rFonts w:ascii="Garamond" w:hAnsi="Garamond"/>
          <w:sz w:val="24"/>
          <w:szCs w:val="24"/>
        </w:rPr>
        <w:t xml:space="preserve"> par exemple</w:t>
      </w:r>
      <w:r w:rsidR="006051E6" w:rsidRPr="00205909">
        <w:rPr>
          <w:rFonts w:ascii="Garamond" w:hAnsi="Garamond"/>
          <w:sz w:val="24"/>
          <w:szCs w:val="24"/>
        </w:rPr>
        <w:t xml:space="preserve"> est finalement peu utile dans la mesure où dans les deux cas, elles ont une </w:t>
      </w:r>
      <w:r w:rsidRPr="00205909">
        <w:rPr>
          <w:rFonts w:ascii="Garamond" w:hAnsi="Garamond"/>
          <w:sz w:val="24"/>
          <w:szCs w:val="24"/>
        </w:rPr>
        <w:t>vocation extraterritoriale, par exemple les règles en matière de devoir de vigilance ou encore identifiant des « lois de blocage »</w:t>
      </w:r>
      <w:r w:rsidR="000E7CA8">
        <w:rPr>
          <w:rFonts w:ascii="Garamond" w:hAnsi="Garamond"/>
          <w:sz w:val="24"/>
          <w:szCs w:val="24"/>
        </w:rPr>
        <w:t xml:space="preserve">, voire de manière presque systémique pour les règles européennes à travers le </w:t>
      </w:r>
      <w:r w:rsidR="000E7CA8">
        <w:rPr>
          <w:rFonts w:ascii="Garamond" w:hAnsi="Garamond"/>
          <w:i/>
          <w:iCs/>
          <w:sz w:val="24"/>
          <w:szCs w:val="24"/>
        </w:rPr>
        <w:t>B</w:t>
      </w:r>
      <w:r w:rsidR="00407F60">
        <w:rPr>
          <w:rFonts w:ascii="Garamond" w:hAnsi="Garamond"/>
          <w:i/>
          <w:iCs/>
          <w:sz w:val="24"/>
          <w:szCs w:val="24"/>
        </w:rPr>
        <w:t>r</w:t>
      </w:r>
      <w:r w:rsidR="000E7CA8">
        <w:rPr>
          <w:rFonts w:ascii="Garamond" w:hAnsi="Garamond"/>
          <w:i/>
          <w:iCs/>
          <w:sz w:val="24"/>
          <w:szCs w:val="24"/>
        </w:rPr>
        <w:t xml:space="preserve">ussels </w:t>
      </w:r>
      <w:proofErr w:type="spellStart"/>
      <w:r w:rsidR="000E7CA8">
        <w:rPr>
          <w:rFonts w:ascii="Garamond" w:hAnsi="Garamond"/>
          <w:i/>
          <w:iCs/>
          <w:sz w:val="24"/>
          <w:szCs w:val="24"/>
        </w:rPr>
        <w:t>Effect</w:t>
      </w:r>
      <w:proofErr w:type="spellEnd"/>
      <w:r w:rsidR="00407F60" w:rsidRPr="0082798E">
        <w:rPr>
          <w:rStyle w:val="Appelnotedebasdep"/>
          <w:szCs w:val="24"/>
        </w:rPr>
        <w:footnoteReference w:id="44"/>
      </w:r>
      <w:r w:rsidRPr="00205909">
        <w:rPr>
          <w:rFonts w:ascii="Garamond" w:hAnsi="Garamond"/>
          <w:sz w:val="24"/>
          <w:szCs w:val="24"/>
        </w:rPr>
        <w:t>.</w:t>
      </w:r>
    </w:p>
    <w:p w14:paraId="0797A86A" w14:textId="1C5520B0" w:rsidR="00206B03" w:rsidRPr="00205909" w:rsidRDefault="00BB1BAA" w:rsidP="009A2DE1">
      <w:pPr>
        <w:pStyle w:val="numerodeparagraphe"/>
        <w:numPr>
          <w:ilvl w:val="0"/>
          <w:numId w:val="0"/>
        </w:numPr>
        <w:suppressAutoHyphens/>
        <w:spacing w:before="0"/>
        <w:ind w:firstLine="426"/>
        <w:rPr>
          <w:rFonts w:ascii="Garamond" w:hAnsi="Garamond"/>
          <w:sz w:val="24"/>
          <w:szCs w:val="24"/>
        </w:rPr>
      </w:pPr>
      <w:r w:rsidRPr="00205909">
        <w:rPr>
          <w:rFonts w:ascii="Garamond" w:hAnsi="Garamond"/>
          <w:sz w:val="24"/>
          <w:szCs w:val="24"/>
        </w:rPr>
        <w:t>C’est également le cas d</w:t>
      </w:r>
      <w:r w:rsidR="00206B03" w:rsidRPr="00205909">
        <w:rPr>
          <w:rFonts w:ascii="Garamond" w:hAnsi="Garamond"/>
          <w:sz w:val="24"/>
          <w:szCs w:val="24"/>
        </w:rPr>
        <w:t xml:space="preserve">es règles de </w:t>
      </w:r>
      <w:proofErr w:type="spellStart"/>
      <w:r w:rsidR="00206B03" w:rsidRPr="00205909">
        <w:rPr>
          <w:rFonts w:ascii="Garamond" w:hAnsi="Garamond"/>
          <w:i/>
          <w:iCs/>
          <w:sz w:val="24"/>
          <w:szCs w:val="24"/>
        </w:rPr>
        <w:t>lawfare</w:t>
      </w:r>
      <w:proofErr w:type="spellEnd"/>
      <w:r w:rsidR="00206B03" w:rsidRPr="00205909">
        <w:rPr>
          <w:rFonts w:ascii="Garamond" w:hAnsi="Garamond"/>
          <w:i/>
          <w:iCs/>
          <w:sz w:val="24"/>
          <w:szCs w:val="24"/>
        </w:rPr>
        <w:t xml:space="preserve"> </w:t>
      </w:r>
      <w:r w:rsidR="00206B03" w:rsidRPr="00205909">
        <w:rPr>
          <w:rFonts w:ascii="Garamond" w:hAnsi="Garamond"/>
          <w:sz w:val="24"/>
          <w:szCs w:val="24"/>
        </w:rPr>
        <w:t>à dimension interne</w:t>
      </w:r>
      <w:r w:rsidRPr="00205909">
        <w:rPr>
          <w:rFonts w:ascii="Garamond" w:hAnsi="Garamond"/>
          <w:sz w:val="24"/>
          <w:szCs w:val="24"/>
        </w:rPr>
        <w:t>,</w:t>
      </w:r>
      <w:r w:rsidR="00206B03" w:rsidRPr="00205909">
        <w:rPr>
          <w:rFonts w:ascii="Garamond" w:hAnsi="Garamond"/>
          <w:sz w:val="24"/>
          <w:szCs w:val="24"/>
        </w:rPr>
        <w:t xml:space="preserve"> très nombreuses</w:t>
      </w:r>
      <w:r w:rsidR="000D07C4" w:rsidRPr="00205909">
        <w:rPr>
          <w:rFonts w:ascii="Garamond" w:hAnsi="Garamond"/>
          <w:sz w:val="24"/>
          <w:szCs w:val="24"/>
        </w:rPr>
        <w:t> : celles sur le prix du livre, sur les divers monopoles accordés à certaines professions, des règles comptables, fiscales, sociales, etc., qui ont pour objectif avoué, au moment de leur adoption, de protéger ces activités ou simplement de reconnaître leur spécialité essentielle, qui peut devenir, dans une logique, alors non nécessairement envisagée, de commerce international, de protectionnisme national</w:t>
      </w:r>
      <w:r w:rsidR="00206B03" w:rsidRPr="00205909">
        <w:rPr>
          <w:rFonts w:ascii="Garamond" w:hAnsi="Garamond"/>
          <w:sz w:val="24"/>
          <w:szCs w:val="24"/>
        </w:rPr>
        <w:t xml:space="preserve">. </w:t>
      </w:r>
    </w:p>
    <w:p w14:paraId="17CA6D7B" w14:textId="77777777" w:rsidR="00206B03" w:rsidRPr="00205909" w:rsidRDefault="00206B03" w:rsidP="007F1788">
      <w:pPr>
        <w:pStyle w:val="numerodeparagraphe"/>
        <w:numPr>
          <w:ilvl w:val="0"/>
          <w:numId w:val="0"/>
        </w:numPr>
        <w:spacing w:before="0"/>
        <w:ind w:firstLine="426"/>
        <w:rPr>
          <w:rFonts w:ascii="Garamond" w:hAnsi="Garamond"/>
          <w:sz w:val="24"/>
          <w:szCs w:val="24"/>
        </w:rPr>
      </w:pPr>
    </w:p>
    <w:p w14:paraId="1A84A53D" w14:textId="6C95031D" w:rsidR="00536EF5" w:rsidRPr="00205909" w:rsidRDefault="00EC116E" w:rsidP="007F1788">
      <w:pPr>
        <w:pStyle w:val="numerodeparagraphe"/>
        <w:suppressAutoHyphens/>
        <w:spacing w:before="0"/>
        <w:ind w:firstLine="426"/>
        <w:rPr>
          <w:rFonts w:ascii="Garamond" w:hAnsi="Garamond"/>
          <w:sz w:val="24"/>
          <w:szCs w:val="24"/>
        </w:rPr>
      </w:pPr>
      <w:r w:rsidRPr="00205909">
        <w:rPr>
          <w:rFonts w:ascii="Garamond" w:hAnsi="Garamond"/>
          <w:sz w:val="24"/>
          <w:szCs w:val="24"/>
        </w:rPr>
        <w:t xml:space="preserve">En revanche, cette question présente un certain intérêt s’agissant des règles de </w:t>
      </w:r>
      <w:proofErr w:type="spellStart"/>
      <w:r w:rsidRPr="00205909">
        <w:rPr>
          <w:rFonts w:ascii="Garamond" w:hAnsi="Garamond"/>
          <w:i/>
          <w:iCs/>
          <w:sz w:val="24"/>
          <w:szCs w:val="24"/>
        </w:rPr>
        <w:t>lawfare</w:t>
      </w:r>
      <w:proofErr w:type="spellEnd"/>
      <w:r w:rsidRPr="00205909">
        <w:rPr>
          <w:rFonts w:ascii="Garamond" w:hAnsi="Garamond"/>
          <w:sz w:val="24"/>
          <w:szCs w:val="24"/>
        </w:rPr>
        <w:t xml:space="preserve"> étrangères, où il n’est pas toujours évident de mesurer l’effet exact de telle règle adoptée par tel Etat. Par exemple, un changement de norme technique dans un Etat « adverse » peut avoir un objet purement interne, visant par exemple à uniformiser ces règles, ou bien un effet, interne mais à visée internationale, </w:t>
      </w:r>
      <w:r w:rsidR="00917E6E" w:rsidRPr="00205909">
        <w:rPr>
          <w:rFonts w:ascii="Garamond" w:hAnsi="Garamond"/>
          <w:sz w:val="24"/>
          <w:szCs w:val="24"/>
        </w:rPr>
        <w:t>visant, à dessein, des règles ou intérêts étrangers. L’exemple très connu de la prétention chinoise sur les eaux de la Mer du Sud méridionale à travers la « ligne des neuf traits » est une illustration grossière de cette situation</w:t>
      </w:r>
      <w:r w:rsidR="00EC3A70" w:rsidRPr="00205909">
        <w:rPr>
          <w:rFonts w:ascii="Garamond" w:hAnsi="Garamond"/>
          <w:sz w:val="24"/>
          <w:szCs w:val="24"/>
        </w:rPr>
        <w:t>, sanctionnée d’ailleurs par une sentence arbitrale internationale, sans effet cependant</w:t>
      </w:r>
      <w:r w:rsidRPr="00205909">
        <w:rPr>
          <w:rFonts w:ascii="Garamond" w:hAnsi="Garamond"/>
          <w:sz w:val="24"/>
          <w:szCs w:val="24"/>
        </w:rPr>
        <w:t xml:space="preserve">. </w:t>
      </w:r>
    </w:p>
    <w:p w14:paraId="05BFE815" w14:textId="77777777" w:rsidR="00752204" w:rsidRPr="00205909" w:rsidRDefault="00752204" w:rsidP="007F1788">
      <w:pPr>
        <w:pStyle w:val="numerodeparagraphe"/>
        <w:numPr>
          <w:ilvl w:val="0"/>
          <w:numId w:val="0"/>
        </w:numPr>
        <w:spacing w:before="0"/>
        <w:ind w:left="454"/>
        <w:rPr>
          <w:rFonts w:ascii="Garamond" w:hAnsi="Garamond"/>
          <w:b/>
          <w:bCs/>
          <w:sz w:val="24"/>
          <w:szCs w:val="24"/>
        </w:rPr>
      </w:pPr>
    </w:p>
    <w:p w14:paraId="19C5ADF2" w14:textId="05A59808" w:rsidR="00001DC1" w:rsidRPr="00205909" w:rsidRDefault="00001DC1" w:rsidP="00001DC1">
      <w:pPr>
        <w:widowControl w:val="0"/>
        <w:spacing w:after="0" w:line="240" w:lineRule="auto"/>
        <w:ind w:right="-1" w:firstLine="454"/>
        <w:jc w:val="both"/>
        <w:rPr>
          <w:rFonts w:ascii="Garamond" w:hAnsi="Garamond" w:cs="Times New Roman"/>
          <w:b/>
          <w:bCs/>
          <w:sz w:val="24"/>
          <w:szCs w:val="24"/>
        </w:rPr>
      </w:pPr>
      <w:r w:rsidRPr="00205909">
        <w:rPr>
          <w:rFonts w:ascii="Garamond" w:hAnsi="Garamond" w:cs="Times New Roman"/>
          <w:b/>
          <w:bCs/>
          <w:sz w:val="24"/>
          <w:szCs w:val="24"/>
        </w:rPr>
        <w:t>4.</w:t>
      </w:r>
      <w:r w:rsidRPr="00205909">
        <w:rPr>
          <w:rFonts w:ascii="Garamond" w:hAnsi="Garamond" w:cs="Times New Roman"/>
          <w:b/>
          <w:bCs/>
          <w:i/>
          <w:iCs/>
          <w:sz w:val="24"/>
          <w:szCs w:val="24"/>
        </w:rPr>
        <w:t xml:space="preserve"> </w:t>
      </w:r>
      <w:proofErr w:type="spellStart"/>
      <w:r w:rsidRPr="00205909">
        <w:rPr>
          <w:rFonts w:ascii="Garamond" w:hAnsi="Garamond" w:cs="Times New Roman"/>
          <w:b/>
          <w:bCs/>
          <w:i/>
          <w:iCs/>
          <w:sz w:val="24"/>
          <w:szCs w:val="24"/>
        </w:rPr>
        <w:t>Lawfare</w:t>
      </w:r>
      <w:proofErr w:type="spellEnd"/>
      <w:r w:rsidRPr="00205909">
        <w:rPr>
          <w:rFonts w:ascii="Garamond" w:hAnsi="Garamond" w:cs="Times New Roman"/>
          <w:b/>
          <w:bCs/>
          <w:i/>
          <w:iCs/>
          <w:sz w:val="24"/>
          <w:szCs w:val="24"/>
        </w:rPr>
        <w:t xml:space="preserve"> </w:t>
      </w:r>
      <w:r w:rsidRPr="00205909">
        <w:rPr>
          <w:rFonts w:ascii="Garamond" w:hAnsi="Garamond" w:cs="Times New Roman"/>
          <w:b/>
          <w:bCs/>
          <w:sz w:val="24"/>
          <w:szCs w:val="24"/>
        </w:rPr>
        <w:t>offensif</w:t>
      </w:r>
      <w:r w:rsidR="003A23E6">
        <w:rPr>
          <w:rFonts w:ascii="Garamond" w:hAnsi="Garamond" w:cs="Times New Roman"/>
          <w:b/>
          <w:bCs/>
          <w:sz w:val="24"/>
          <w:szCs w:val="24"/>
        </w:rPr>
        <w:t xml:space="preserve"> ou </w:t>
      </w:r>
      <w:r w:rsidRPr="00205909">
        <w:rPr>
          <w:rFonts w:ascii="Garamond" w:hAnsi="Garamond" w:cs="Times New Roman"/>
          <w:b/>
          <w:bCs/>
          <w:sz w:val="24"/>
          <w:szCs w:val="24"/>
        </w:rPr>
        <w:t>défensif</w:t>
      </w:r>
    </w:p>
    <w:p w14:paraId="4FAED88E" w14:textId="77777777" w:rsidR="00001DC1" w:rsidRPr="00205909" w:rsidRDefault="00001DC1" w:rsidP="00001DC1">
      <w:pPr>
        <w:widowControl w:val="0"/>
        <w:spacing w:after="0" w:line="240" w:lineRule="auto"/>
        <w:ind w:right="-1" w:firstLine="454"/>
        <w:jc w:val="both"/>
        <w:rPr>
          <w:rFonts w:ascii="Garamond" w:hAnsi="Garamond"/>
          <w:sz w:val="24"/>
          <w:szCs w:val="24"/>
        </w:rPr>
      </w:pPr>
    </w:p>
    <w:p w14:paraId="192DACC0" w14:textId="77777777" w:rsidR="000635ED" w:rsidRPr="00205909" w:rsidRDefault="00001DC1" w:rsidP="00001DC1">
      <w:pPr>
        <w:pStyle w:val="numerodeparagraphe"/>
        <w:spacing w:before="0"/>
        <w:rPr>
          <w:rFonts w:ascii="Garamond" w:hAnsi="Garamond"/>
          <w:sz w:val="24"/>
          <w:szCs w:val="24"/>
        </w:rPr>
      </w:pPr>
      <w:r w:rsidRPr="00205909">
        <w:rPr>
          <w:rFonts w:ascii="Garamond" w:hAnsi="Garamond"/>
          <w:sz w:val="24"/>
          <w:szCs w:val="24"/>
        </w:rPr>
        <w:t xml:space="preserve">La question de savoir </w:t>
      </w:r>
      <w:r w:rsidR="00441E35" w:rsidRPr="00205909">
        <w:rPr>
          <w:rFonts w:ascii="Garamond" w:hAnsi="Garamond"/>
          <w:sz w:val="24"/>
          <w:szCs w:val="24"/>
        </w:rPr>
        <w:t>si telle règle e</w:t>
      </w:r>
      <w:r w:rsidR="00101E49" w:rsidRPr="00205909">
        <w:rPr>
          <w:rFonts w:ascii="Garamond" w:hAnsi="Garamond"/>
          <w:sz w:val="24"/>
          <w:szCs w:val="24"/>
        </w:rPr>
        <w:t>s</w:t>
      </w:r>
      <w:r w:rsidR="00441E35" w:rsidRPr="00205909">
        <w:rPr>
          <w:rFonts w:ascii="Garamond" w:hAnsi="Garamond"/>
          <w:sz w:val="24"/>
          <w:szCs w:val="24"/>
        </w:rPr>
        <w:t>t à usage défensif ou offensif est parfois soulevée ; elle présente à peu pr</w:t>
      </w:r>
      <w:r w:rsidR="00C021BC" w:rsidRPr="00205909">
        <w:rPr>
          <w:rFonts w:ascii="Garamond" w:hAnsi="Garamond"/>
          <w:sz w:val="24"/>
          <w:szCs w:val="24"/>
        </w:rPr>
        <w:t>ès autant d’intérêt que de savoir si une arme a une vocation offensive ou défensive</w:t>
      </w:r>
      <w:r w:rsidR="00101E49" w:rsidRPr="00205909">
        <w:rPr>
          <w:rFonts w:ascii="Garamond" w:hAnsi="Garamond"/>
          <w:sz w:val="24"/>
          <w:szCs w:val="24"/>
        </w:rPr>
        <w:t>, sinon de manière purement descriptive et pédagogique</w:t>
      </w:r>
      <w:r w:rsidR="00C021BC" w:rsidRPr="00205909">
        <w:rPr>
          <w:rFonts w:ascii="Garamond" w:hAnsi="Garamond"/>
          <w:sz w:val="24"/>
          <w:szCs w:val="24"/>
        </w:rPr>
        <w:t xml:space="preserve">. De la même manière que toute arme peut être à la fois défensive ou défensive selon la manière dont elle est employée et de la situation tactique, </w:t>
      </w:r>
      <w:r w:rsidR="00655FF2" w:rsidRPr="00205909">
        <w:rPr>
          <w:rFonts w:ascii="Garamond" w:hAnsi="Garamond"/>
          <w:sz w:val="24"/>
          <w:szCs w:val="24"/>
        </w:rPr>
        <w:t xml:space="preserve">les règles du </w:t>
      </w:r>
      <w:proofErr w:type="spellStart"/>
      <w:r w:rsidR="00655FF2" w:rsidRPr="00205909">
        <w:rPr>
          <w:rFonts w:ascii="Garamond" w:hAnsi="Garamond"/>
          <w:i/>
          <w:iCs/>
          <w:sz w:val="24"/>
          <w:szCs w:val="24"/>
        </w:rPr>
        <w:t>lawfare</w:t>
      </w:r>
      <w:proofErr w:type="spellEnd"/>
      <w:r w:rsidR="00655FF2" w:rsidRPr="00205909">
        <w:rPr>
          <w:rFonts w:ascii="Garamond" w:hAnsi="Garamond"/>
          <w:sz w:val="24"/>
          <w:szCs w:val="24"/>
        </w:rPr>
        <w:t xml:space="preserve">, armes juridiques, se présentent de la même manière ambivalente. </w:t>
      </w:r>
    </w:p>
    <w:p w14:paraId="01B6AFE8" w14:textId="69404C16" w:rsidR="00001DC1" w:rsidRPr="00205909" w:rsidRDefault="00655FF2" w:rsidP="00BA7892">
      <w:pPr>
        <w:pStyle w:val="numerodeparagraphe"/>
        <w:numPr>
          <w:ilvl w:val="0"/>
          <w:numId w:val="0"/>
        </w:numPr>
        <w:spacing w:before="0"/>
        <w:rPr>
          <w:rFonts w:ascii="Garamond" w:hAnsi="Garamond"/>
          <w:sz w:val="24"/>
          <w:szCs w:val="24"/>
        </w:rPr>
      </w:pPr>
      <w:r w:rsidRPr="00205909">
        <w:rPr>
          <w:rFonts w:ascii="Garamond" w:hAnsi="Garamond"/>
          <w:sz w:val="24"/>
          <w:szCs w:val="24"/>
        </w:rPr>
        <w:t>Par exemple les lois de blocage, souvent présentée comme des mesures défensives, en ce qu’elles visent à contrer des demandes de documents sensibles à une entreprise française par une autorité étatique étrangère ou dans le cadre d’une instance à l’étranger favorisant cette communication de pièces. L’invocation de cette loi de blocage dans une instance aux Etats-Unis est cependant rendue inefficace car les juges américains considère</w:t>
      </w:r>
      <w:r w:rsidR="00BA7892" w:rsidRPr="00205909">
        <w:rPr>
          <w:rFonts w:ascii="Garamond" w:hAnsi="Garamond"/>
          <w:sz w:val="24"/>
          <w:szCs w:val="24"/>
        </w:rPr>
        <w:t>nt</w:t>
      </w:r>
      <w:r w:rsidRPr="00205909">
        <w:rPr>
          <w:rFonts w:ascii="Garamond" w:hAnsi="Garamond"/>
          <w:sz w:val="24"/>
          <w:szCs w:val="24"/>
        </w:rPr>
        <w:t xml:space="preserve"> que l’admission de cet argument confèrerait une portée extraterritoriale à la règle, française par exemple, aux Etats-Unis. </w:t>
      </w:r>
      <w:r w:rsidR="00AF2696" w:rsidRPr="00205909">
        <w:rPr>
          <w:rFonts w:ascii="Garamond" w:hAnsi="Garamond"/>
          <w:sz w:val="24"/>
          <w:szCs w:val="24"/>
        </w:rPr>
        <w:t xml:space="preserve">D’ailleurs l’outil défensif des lois de blocage, par exemple du Règlement européen </w:t>
      </w:r>
      <w:r w:rsidR="00834E77" w:rsidRPr="00205909">
        <w:rPr>
          <w:rFonts w:ascii="Garamond" w:hAnsi="Garamond"/>
          <w:sz w:val="24"/>
          <w:szCs w:val="24"/>
        </w:rPr>
        <w:t xml:space="preserve">n° 2271/96 dit « règlement de blocage » </w:t>
      </w:r>
      <w:r w:rsidR="00AF2696" w:rsidRPr="00205909">
        <w:rPr>
          <w:rFonts w:ascii="Garamond" w:hAnsi="Garamond"/>
          <w:sz w:val="24"/>
          <w:szCs w:val="24"/>
        </w:rPr>
        <w:t xml:space="preserve">s’est révélé, </w:t>
      </w:r>
      <w:r w:rsidR="00001DC1" w:rsidRPr="00205909">
        <w:rPr>
          <w:rFonts w:ascii="Garamond" w:hAnsi="Garamond"/>
          <w:sz w:val="24"/>
          <w:szCs w:val="24"/>
        </w:rPr>
        <w:t xml:space="preserve">dans l’affaire </w:t>
      </w:r>
      <w:r w:rsidR="00001DC1" w:rsidRPr="00205909">
        <w:rPr>
          <w:rFonts w:ascii="Garamond" w:hAnsi="Garamond"/>
          <w:i/>
          <w:iCs/>
          <w:sz w:val="24"/>
          <w:szCs w:val="24"/>
        </w:rPr>
        <w:t xml:space="preserve">Bank </w:t>
      </w:r>
      <w:proofErr w:type="spellStart"/>
      <w:r w:rsidR="00001DC1" w:rsidRPr="00205909">
        <w:rPr>
          <w:rFonts w:ascii="Garamond" w:hAnsi="Garamond"/>
          <w:i/>
          <w:iCs/>
          <w:sz w:val="24"/>
          <w:szCs w:val="24"/>
        </w:rPr>
        <w:t>Melli</w:t>
      </w:r>
      <w:proofErr w:type="spellEnd"/>
      <w:r w:rsidR="00001DC1" w:rsidRPr="00205909">
        <w:rPr>
          <w:rFonts w:ascii="Garamond" w:hAnsi="Garamond"/>
          <w:i/>
          <w:iCs/>
          <w:sz w:val="24"/>
          <w:szCs w:val="24"/>
        </w:rPr>
        <w:t xml:space="preserve"> Iran</w:t>
      </w:r>
      <w:r w:rsidR="00001DC1" w:rsidRPr="00205909">
        <w:rPr>
          <w:rFonts w:ascii="Garamond" w:hAnsi="Garamond"/>
          <w:sz w:val="24"/>
          <w:szCs w:val="24"/>
        </w:rPr>
        <w:t>, en 2022</w:t>
      </w:r>
      <w:r w:rsidR="00AF2696" w:rsidRPr="00205909">
        <w:rPr>
          <w:rFonts w:ascii="Garamond" w:hAnsi="Garamond"/>
          <w:sz w:val="24"/>
          <w:szCs w:val="24"/>
        </w:rPr>
        <w:t>, d’une piètre efficacité, au point de se retourner contre l’entreprise allemande qui l’avait invoqué</w:t>
      </w:r>
      <w:r w:rsidR="005F767C" w:rsidRPr="00205909">
        <w:rPr>
          <w:rFonts w:ascii="Garamond" w:hAnsi="Garamond"/>
          <w:sz w:val="24"/>
          <w:szCs w:val="24"/>
          <w:vertAlign w:val="superscript"/>
        </w:rPr>
        <w:footnoteReference w:id="45"/>
      </w:r>
      <w:r w:rsidR="00001DC1" w:rsidRPr="00205909">
        <w:rPr>
          <w:rFonts w:ascii="Garamond" w:hAnsi="Garamond"/>
          <w:sz w:val="24"/>
          <w:szCs w:val="24"/>
        </w:rPr>
        <w:t>.</w:t>
      </w:r>
    </w:p>
    <w:p w14:paraId="0C703618" w14:textId="788E847D" w:rsidR="00EC116E" w:rsidRPr="00205909" w:rsidRDefault="00EC116E" w:rsidP="00EC116E">
      <w:pPr>
        <w:pStyle w:val="numerodeparagraphe"/>
        <w:numPr>
          <w:ilvl w:val="0"/>
          <w:numId w:val="0"/>
        </w:numPr>
        <w:spacing w:before="0"/>
        <w:ind w:firstLine="454"/>
        <w:rPr>
          <w:rFonts w:ascii="Garamond" w:hAnsi="Garamond"/>
          <w:sz w:val="24"/>
          <w:szCs w:val="24"/>
        </w:rPr>
      </w:pPr>
      <w:r w:rsidRPr="00205909">
        <w:rPr>
          <w:rFonts w:ascii="Garamond" w:hAnsi="Garamond"/>
          <w:sz w:val="24"/>
          <w:szCs w:val="24"/>
        </w:rPr>
        <w:t>On peut donc considérer que toute règle posée visant à défendre des intérêts nationaux est à la fois une « arme » défensive ou offensive selon les cas. Par exemple, les règles internes ou européennes posées en matière de « devoir de vigilance » disposent de cette double fonction : offensive à l’endroit des entreprises qui contreviendraient à ces règles, défensives à l’endroit des « victimes » potentielles de ces violations. Il en est de même des règles, faibles, posées en matière de lutte contre les ingérences étrangères, et de bon nombre d’autres règles.</w:t>
      </w:r>
    </w:p>
    <w:p w14:paraId="4427E4C8" w14:textId="3D54F47C" w:rsidR="00BA7892" w:rsidRPr="00205909" w:rsidRDefault="00BA7892" w:rsidP="00EC116E">
      <w:pPr>
        <w:pStyle w:val="numerodeparagraphe"/>
        <w:numPr>
          <w:ilvl w:val="0"/>
          <w:numId w:val="0"/>
        </w:numPr>
        <w:spacing w:before="0"/>
        <w:ind w:firstLine="454"/>
        <w:rPr>
          <w:rFonts w:ascii="Garamond" w:hAnsi="Garamond"/>
          <w:sz w:val="24"/>
          <w:szCs w:val="24"/>
        </w:rPr>
      </w:pPr>
      <w:r w:rsidRPr="00205909">
        <w:rPr>
          <w:rFonts w:ascii="Garamond" w:hAnsi="Garamond"/>
          <w:sz w:val="24"/>
          <w:szCs w:val="24"/>
        </w:rPr>
        <w:t>De la même manière, la conception française de l’ordre public international, notamment lorsque la jurisprudence accroît son domaine et l’intensité</w:t>
      </w:r>
      <w:r w:rsidR="00C17338" w:rsidRPr="00205909">
        <w:rPr>
          <w:rFonts w:ascii="Garamond" w:hAnsi="Garamond"/>
          <w:sz w:val="24"/>
          <w:szCs w:val="24"/>
        </w:rPr>
        <w:t xml:space="preserve"> de son contrôle, par exemple des sentences internationales est un outil qui se présente tout à la fois comme une règle processuelle et comme un instrument, défensif ou offensif, </w:t>
      </w:r>
      <w:r w:rsidR="00B22980" w:rsidRPr="00205909">
        <w:rPr>
          <w:rFonts w:ascii="Garamond" w:hAnsi="Garamond"/>
          <w:sz w:val="24"/>
          <w:szCs w:val="24"/>
        </w:rPr>
        <w:t>très important et assez efficace</w:t>
      </w:r>
      <w:r w:rsidR="00B22980" w:rsidRPr="00205909">
        <w:rPr>
          <w:rFonts w:ascii="Garamond" w:hAnsi="Garamond"/>
          <w:color w:val="000000"/>
          <w:vertAlign w:val="superscript"/>
        </w:rPr>
        <w:footnoteReference w:id="46"/>
      </w:r>
      <w:r w:rsidR="00B22980" w:rsidRPr="00205909">
        <w:rPr>
          <w:rFonts w:ascii="Garamond" w:hAnsi="Garamond"/>
          <w:sz w:val="24"/>
          <w:szCs w:val="24"/>
        </w:rPr>
        <w:t>, surtout depuis le mouvement jurisprudentiel qui se développe depuis 2014 en France</w:t>
      </w:r>
      <w:r w:rsidR="00B22980" w:rsidRPr="00205909">
        <w:rPr>
          <w:rStyle w:val="Appelnotedebasdep"/>
          <w:rFonts w:ascii="Garamond" w:hAnsi="Garamond"/>
          <w:sz w:val="24"/>
          <w:szCs w:val="24"/>
        </w:rPr>
        <w:footnoteReference w:id="47"/>
      </w:r>
      <w:r w:rsidR="00B22980" w:rsidRPr="00205909">
        <w:rPr>
          <w:rFonts w:ascii="Garamond" w:hAnsi="Garamond"/>
          <w:sz w:val="24"/>
          <w:szCs w:val="24"/>
        </w:rPr>
        <w:t>.</w:t>
      </w:r>
      <w:r w:rsidR="00C17338" w:rsidRPr="00205909">
        <w:rPr>
          <w:rFonts w:ascii="Garamond" w:hAnsi="Garamond"/>
          <w:sz w:val="24"/>
          <w:szCs w:val="24"/>
        </w:rPr>
        <w:t xml:space="preserve"> </w:t>
      </w:r>
      <w:r w:rsidRPr="00205909">
        <w:rPr>
          <w:rFonts w:ascii="Garamond" w:hAnsi="Garamond"/>
          <w:sz w:val="24"/>
          <w:szCs w:val="24"/>
        </w:rPr>
        <w:t xml:space="preserve"> </w:t>
      </w:r>
    </w:p>
    <w:p w14:paraId="39E85380" w14:textId="77777777" w:rsidR="00001DC1" w:rsidRPr="00205909" w:rsidRDefault="00001DC1" w:rsidP="007F1788">
      <w:pPr>
        <w:pStyle w:val="numerodeparagraphe"/>
        <w:numPr>
          <w:ilvl w:val="0"/>
          <w:numId w:val="0"/>
        </w:numPr>
        <w:spacing w:before="0"/>
        <w:ind w:left="454"/>
        <w:rPr>
          <w:rFonts w:ascii="Garamond" w:hAnsi="Garamond"/>
          <w:b/>
          <w:bCs/>
          <w:sz w:val="24"/>
          <w:szCs w:val="24"/>
        </w:rPr>
      </w:pPr>
    </w:p>
    <w:p w14:paraId="2DCAAAA9" w14:textId="00E98941" w:rsidR="00536EF5" w:rsidRPr="00205909" w:rsidRDefault="00A90B08" w:rsidP="007F1788">
      <w:pPr>
        <w:pStyle w:val="numerodeparagraphe"/>
        <w:numPr>
          <w:ilvl w:val="0"/>
          <w:numId w:val="0"/>
        </w:numPr>
        <w:spacing w:before="0"/>
        <w:ind w:left="454"/>
        <w:rPr>
          <w:rFonts w:ascii="Garamond" w:hAnsi="Garamond"/>
          <w:b/>
          <w:bCs/>
          <w:i/>
          <w:iCs/>
          <w:sz w:val="24"/>
          <w:szCs w:val="24"/>
        </w:rPr>
      </w:pPr>
      <w:r w:rsidRPr="00205909">
        <w:rPr>
          <w:rFonts w:ascii="Garamond" w:hAnsi="Garamond"/>
          <w:b/>
          <w:bCs/>
          <w:sz w:val="24"/>
          <w:szCs w:val="24"/>
        </w:rPr>
        <w:t>B</w:t>
      </w:r>
      <w:r w:rsidR="00536EF5" w:rsidRPr="00205909">
        <w:rPr>
          <w:rFonts w:ascii="Garamond" w:hAnsi="Garamond"/>
          <w:b/>
          <w:bCs/>
          <w:sz w:val="24"/>
          <w:szCs w:val="24"/>
        </w:rPr>
        <w:t xml:space="preserve">. </w:t>
      </w:r>
      <w:r w:rsidR="00102DBE" w:rsidRPr="00205909">
        <w:rPr>
          <w:rFonts w:ascii="Garamond" w:hAnsi="Garamond"/>
          <w:b/>
          <w:bCs/>
          <w:sz w:val="24"/>
          <w:szCs w:val="24"/>
        </w:rPr>
        <w:t>V</w:t>
      </w:r>
      <w:r w:rsidR="00536EF5" w:rsidRPr="00205909">
        <w:rPr>
          <w:rFonts w:ascii="Garamond" w:hAnsi="Garamond"/>
          <w:b/>
          <w:bCs/>
          <w:sz w:val="24"/>
          <w:szCs w:val="24"/>
        </w:rPr>
        <w:t xml:space="preserve">alidité </w:t>
      </w:r>
      <w:r w:rsidR="00AA2ACF" w:rsidRPr="00205909">
        <w:rPr>
          <w:rFonts w:ascii="Garamond" w:hAnsi="Garamond"/>
          <w:b/>
          <w:bCs/>
          <w:sz w:val="24"/>
          <w:szCs w:val="24"/>
        </w:rPr>
        <w:t xml:space="preserve">des règles du </w:t>
      </w:r>
      <w:proofErr w:type="spellStart"/>
      <w:r w:rsidR="00AA2ACF" w:rsidRPr="00205909">
        <w:rPr>
          <w:rFonts w:ascii="Garamond" w:hAnsi="Garamond"/>
          <w:b/>
          <w:bCs/>
          <w:i/>
          <w:iCs/>
          <w:sz w:val="24"/>
          <w:szCs w:val="24"/>
        </w:rPr>
        <w:t>lawfare</w:t>
      </w:r>
      <w:proofErr w:type="spellEnd"/>
      <w:r w:rsidR="00102DBE" w:rsidRPr="00205909">
        <w:rPr>
          <w:rFonts w:ascii="Garamond" w:hAnsi="Garamond"/>
          <w:b/>
          <w:bCs/>
          <w:i/>
          <w:iCs/>
          <w:sz w:val="24"/>
          <w:szCs w:val="24"/>
        </w:rPr>
        <w:t xml:space="preserve"> </w:t>
      </w:r>
      <w:r w:rsidR="00102DBE" w:rsidRPr="00205909">
        <w:rPr>
          <w:rFonts w:ascii="Garamond" w:hAnsi="Garamond"/>
          <w:b/>
          <w:bCs/>
          <w:sz w:val="24"/>
          <w:szCs w:val="24"/>
        </w:rPr>
        <w:t>instrumentaire</w:t>
      </w:r>
    </w:p>
    <w:p w14:paraId="7B5F9CD1" w14:textId="77777777" w:rsidR="00E928EC" w:rsidRPr="00205909" w:rsidRDefault="00E928EC" w:rsidP="007F1788">
      <w:pPr>
        <w:pStyle w:val="numerodeparagraphe"/>
        <w:numPr>
          <w:ilvl w:val="0"/>
          <w:numId w:val="0"/>
        </w:numPr>
        <w:spacing w:before="0"/>
        <w:ind w:left="454"/>
        <w:rPr>
          <w:rFonts w:ascii="Garamond" w:hAnsi="Garamond"/>
          <w:b/>
          <w:bCs/>
          <w:sz w:val="24"/>
          <w:szCs w:val="24"/>
        </w:rPr>
      </w:pPr>
    </w:p>
    <w:p w14:paraId="515DC5E9" w14:textId="36345242" w:rsidR="00952EB6" w:rsidRPr="00205909" w:rsidRDefault="00557351" w:rsidP="007F1788">
      <w:pPr>
        <w:pStyle w:val="numerodeparagraphe"/>
        <w:suppressAutoHyphens/>
        <w:spacing w:before="0"/>
        <w:ind w:firstLine="426"/>
        <w:rPr>
          <w:rFonts w:ascii="Garamond" w:hAnsi="Garamond"/>
          <w:sz w:val="24"/>
          <w:szCs w:val="24"/>
        </w:rPr>
      </w:pPr>
      <w:r w:rsidRPr="00205909">
        <w:rPr>
          <w:rFonts w:ascii="Garamond" w:hAnsi="Garamond"/>
          <w:sz w:val="24"/>
          <w:szCs w:val="24"/>
        </w:rPr>
        <w:t xml:space="preserve">Ces thèmes sont </w:t>
      </w:r>
      <w:r w:rsidR="009D2309" w:rsidRPr="00205909">
        <w:rPr>
          <w:rFonts w:ascii="Garamond" w:hAnsi="Garamond"/>
          <w:sz w:val="24"/>
          <w:szCs w:val="24"/>
        </w:rPr>
        <w:t xml:space="preserve">suffisamment étudiés pour qu’il ne soit pas </w:t>
      </w:r>
      <w:r w:rsidRPr="00205909">
        <w:rPr>
          <w:rFonts w:ascii="Garamond" w:hAnsi="Garamond"/>
          <w:sz w:val="24"/>
          <w:szCs w:val="24"/>
        </w:rPr>
        <w:t xml:space="preserve">nécessaire d’y revenir, </w:t>
      </w:r>
      <w:r w:rsidR="00AC5BDD" w:rsidRPr="00205909">
        <w:rPr>
          <w:rFonts w:ascii="Garamond" w:hAnsi="Garamond"/>
          <w:sz w:val="24"/>
          <w:szCs w:val="24"/>
        </w:rPr>
        <w:t xml:space="preserve">y compris </w:t>
      </w:r>
      <w:r w:rsidRPr="00205909">
        <w:rPr>
          <w:rFonts w:ascii="Garamond" w:hAnsi="Garamond"/>
          <w:sz w:val="24"/>
          <w:szCs w:val="24"/>
        </w:rPr>
        <w:t>pour s’interroger sur l</w:t>
      </w:r>
      <w:r w:rsidR="00DD0562" w:rsidRPr="00205909">
        <w:rPr>
          <w:rFonts w:ascii="Garamond" w:hAnsi="Garamond"/>
          <w:sz w:val="24"/>
          <w:szCs w:val="24"/>
        </w:rPr>
        <w:t>a</w:t>
      </w:r>
      <w:r w:rsidRPr="00205909">
        <w:rPr>
          <w:rFonts w:ascii="Garamond" w:hAnsi="Garamond"/>
          <w:sz w:val="24"/>
          <w:szCs w:val="24"/>
        </w:rPr>
        <w:t xml:space="preserve"> « validité » </w:t>
      </w:r>
      <w:r w:rsidR="00AA2ACF" w:rsidRPr="00205909">
        <w:rPr>
          <w:rFonts w:ascii="Garamond" w:hAnsi="Garamond"/>
          <w:sz w:val="24"/>
          <w:szCs w:val="24"/>
        </w:rPr>
        <w:t xml:space="preserve">interne ou </w:t>
      </w:r>
      <w:r w:rsidRPr="00205909">
        <w:rPr>
          <w:rFonts w:ascii="Garamond" w:hAnsi="Garamond"/>
          <w:sz w:val="24"/>
          <w:szCs w:val="24"/>
        </w:rPr>
        <w:t>internationale</w:t>
      </w:r>
      <w:r w:rsidR="00DD0562" w:rsidRPr="00205909">
        <w:rPr>
          <w:rFonts w:ascii="Garamond" w:hAnsi="Garamond"/>
          <w:sz w:val="24"/>
          <w:szCs w:val="24"/>
        </w:rPr>
        <w:t xml:space="preserve"> de ces outils, en général, nationaux, voire régionaux</w:t>
      </w:r>
      <w:r w:rsidR="00A23119" w:rsidRPr="00205909">
        <w:rPr>
          <w:rFonts w:ascii="Garamond" w:hAnsi="Garamond"/>
          <w:sz w:val="24"/>
          <w:szCs w:val="24"/>
        </w:rPr>
        <w:t>, sinon pour évoquer quelques éléments rapides</w:t>
      </w:r>
      <w:r w:rsidRPr="00205909">
        <w:rPr>
          <w:rFonts w:ascii="Garamond" w:hAnsi="Garamond"/>
          <w:sz w:val="24"/>
          <w:szCs w:val="24"/>
        </w:rPr>
        <w:t>.</w:t>
      </w:r>
      <w:r w:rsidR="00A23119" w:rsidRPr="00205909">
        <w:rPr>
          <w:rFonts w:ascii="Garamond" w:hAnsi="Garamond"/>
          <w:sz w:val="24"/>
          <w:szCs w:val="24"/>
        </w:rPr>
        <w:t xml:space="preserve"> </w:t>
      </w:r>
      <w:r w:rsidR="00303F34" w:rsidRPr="00205909">
        <w:rPr>
          <w:rFonts w:ascii="Garamond" w:hAnsi="Garamond"/>
          <w:sz w:val="24"/>
          <w:szCs w:val="24"/>
        </w:rPr>
        <w:t>La validité internationale</w:t>
      </w:r>
      <w:r w:rsidR="007D62B5" w:rsidRPr="00205909">
        <w:rPr>
          <w:rFonts w:ascii="Garamond" w:hAnsi="Garamond"/>
          <w:sz w:val="24"/>
          <w:szCs w:val="24"/>
        </w:rPr>
        <w:t xml:space="preserve"> de principe des règles extraterritoriale est clairement posée depuis l’arrêt </w:t>
      </w:r>
      <w:r w:rsidR="007D62B5" w:rsidRPr="00205909">
        <w:rPr>
          <w:rFonts w:ascii="Garamond" w:hAnsi="Garamond"/>
          <w:i/>
          <w:iCs/>
          <w:sz w:val="24"/>
          <w:szCs w:val="24"/>
        </w:rPr>
        <w:t>Lotus</w:t>
      </w:r>
      <w:r w:rsidR="007D62B5" w:rsidRPr="00205909">
        <w:rPr>
          <w:rFonts w:ascii="Garamond" w:hAnsi="Garamond"/>
          <w:sz w:val="24"/>
          <w:szCs w:val="24"/>
        </w:rPr>
        <w:t xml:space="preserve"> de la CPIJ du 7 septembre 1927</w:t>
      </w:r>
      <w:r w:rsidR="007D62B5" w:rsidRPr="00205909">
        <w:rPr>
          <w:rStyle w:val="Appelnotedebasdep"/>
          <w:rFonts w:ascii="Garamond" w:hAnsi="Garamond"/>
          <w:sz w:val="24"/>
          <w:szCs w:val="24"/>
        </w:rPr>
        <w:footnoteReference w:id="48"/>
      </w:r>
      <w:r w:rsidR="007D62B5" w:rsidRPr="00205909">
        <w:rPr>
          <w:rFonts w:ascii="Garamond" w:hAnsi="Garamond"/>
          <w:sz w:val="24"/>
          <w:szCs w:val="24"/>
        </w:rPr>
        <w:t xml:space="preserve"> tandis que peuvent être plus discutables les conditions d’exercice de certaines de ces règles</w:t>
      </w:r>
      <w:r w:rsidR="007D62B5" w:rsidRPr="00205909">
        <w:rPr>
          <w:rStyle w:val="Appelnotedebasdep"/>
          <w:rFonts w:ascii="Garamond" w:hAnsi="Garamond"/>
          <w:sz w:val="24"/>
          <w:szCs w:val="24"/>
        </w:rPr>
        <w:footnoteReference w:id="49"/>
      </w:r>
      <w:r w:rsidR="007D62B5" w:rsidRPr="00205909">
        <w:rPr>
          <w:rFonts w:ascii="Garamond" w:hAnsi="Garamond"/>
          <w:sz w:val="24"/>
          <w:szCs w:val="24"/>
        </w:rPr>
        <w:t>.</w:t>
      </w:r>
    </w:p>
    <w:p w14:paraId="445B46E5" w14:textId="26B239DF" w:rsidR="00205909" w:rsidRPr="00205909" w:rsidRDefault="00303F34" w:rsidP="00F128AB">
      <w:pPr>
        <w:pStyle w:val="numerodeparagraphe"/>
        <w:numPr>
          <w:ilvl w:val="0"/>
          <w:numId w:val="0"/>
        </w:numPr>
        <w:suppressAutoHyphens/>
        <w:spacing w:before="0"/>
        <w:ind w:firstLine="426"/>
        <w:rPr>
          <w:rFonts w:ascii="Garamond" w:hAnsi="Garamond"/>
          <w:sz w:val="24"/>
          <w:szCs w:val="24"/>
        </w:rPr>
      </w:pPr>
      <w:r w:rsidRPr="00205909">
        <w:rPr>
          <w:rFonts w:ascii="Garamond" w:hAnsi="Garamond"/>
          <w:sz w:val="24"/>
          <w:szCs w:val="24"/>
        </w:rPr>
        <w:t xml:space="preserve">Par ailleurs, </w:t>
      </w:r>
      <w:r w:rsidR="00AA2ACF" w:rsidRPr="00205909">
        <w:rPr>
          <w:rFonts w:ascii="Garamond" w:hAnsi="Garamond"/>
          <w:sz w:val="24"/>
          <w:szCs w:val="24"/>
        </w:rPr>
        <w:t xml:space="preserve">et assez paradoxalement, les règles de </w:t>
      </w:r>
      <w:proofErr w:type="spellStart"/>
      <w:r w:rsidR="00AA2ACF" w:rsidRPr="00205909">
        <w:rPr>
          <w:rFonts w:ascii="Garamond" w:hAnsi="Garamond"/>
          <w:i/>
          <w:iCs/>
          <w:sz w:val="24"/>
          <w:szCs w:val="24"/>
        </w:rPr>
        <w:t>lawfare</w:t>
      </w:r>
      <w:proofErr w:type="spellEnd"/>
      <w:r w:rsidR="00AA2ACF" w:rsidRPr="00205909">
        <w:rPr>
          <w:rFonts w:ascii="Garamond" w:hAnsi="Garamond"/>
          <w:i/>
          <w:iCs/>
          <w:sz w:val="24"/>
          <w:szCs w:val="24"/>
        </w:rPr>
        <w:t xml:space="preserve"> </w:t>
      </w:r>
      <w:r w:rsidR="00407F60">
        <w:rPr>
          <w:rFonts w:ascii="Garamond" w:hAnsi="Garamond"/>
          <w:sz w:val="24"/>
          <w:szCs w:val="24"/>
        </w:rPr>
        <w:t xml:space="preserve">posées par tel Etat </w:t>
      </w:r>
      <w:r w:rsidR="00AA2ACF" w:rsidRPr="00205909">
        <w:rPr>
          <w:rFonts w:ascii="Garamond" w:hAnsi="Garamond"/>
          <w:sz w:val="24"/>
          <w:szCs w:val="24"/>
        </w:rPr>
        <w:t>sont souvent contestée</w:t>
      </w:r>
      <w:r w:rsidR="00DB59AC" w:rsidRPr="00205909">
        <w:rPr>
          <w:rFonts w:ascii="Garamond" w:hAnsi="Garamond"/>
          <w:sz w:val="24"/>
          <w:szCs w:val="24"/>
        </w:rPr>
        <w:t>s</w:t>
      </w:r>
      <w:r w:rsidR="00AA2ACF" w:rsidRPr="00205909">
        <w:rPr>
          <w:rFonts w:ascii="Garamond" w:hAnsi="Garamond"/>
          <w:sz w:val="24"/>
          <w:szCs w:val="24"/>
        </w:rPr>
        <w:t xml:space="preserve"> de manière interne. </w:t>
      </w:r>
      <w:r w:rsidR="00503E68" w:rsidRPr="00205909">
        <w:rPr>
          <w:rFonts w:ascii="Garamond" w:hAnsi="Garamond"/>
          <w:sz w:val="24"/>
          <w:szCs w:val="24"/>
        </w:rPr>
        <w:t xml:space="preserve">Par exemple </w:t>
      </w:r>
      <w:r w:rsidR="00ED357D" w:rsidRPr="00205909">
        <w:rPr>
          <w:rFonts w:ascii="Garamond" w:hAnsi="Garamond"/>
          <w:sz w:val="24"/>
          <w:szCs w:val="24"/>
        </w:rPr>
        <w:t>les si redout</w:t>
      </w:r>
      <w:r w:rsidR="00503E68" w:rsidRPr="00205909">
        <w:rPr>
          <w:rFonts w:ascii="Garamond" w:hAnsi="Garamond"/>
          <w:sz w:val="24"/>
          <w:szCs w:val="24"/>
        </w:rPr>
        <w:t>ées</w:t>
      </w:r>
      <w:r w:rsidR="00ED357D" w:rsidRPr="00205909">
        <w:rPr>
          <w:rFonts w:ascii="Garamond" w:hAnsi="Garamond"/>
          <w:sz w:val="24"/>
          <w:szCs w:val="24"/>
        </w:rPr>
        <w:t xml:space="preserve"> règles extraterritoriales américaines sont discutées devant le juge américain pour lequel il existe une présomption de non-extraterritorialité des règles américaines lorsque celle-ci n’est pas expressément posée</w:t>
      </w:r>
      <w:r w:rsidR="00952EB6" w:rsidRPr="00205909">
        <w:rPr>
          <w:rFonts w:ascii="Garamond" w:hAnsi="Garamond"/>
          <w:sz w:val="24"/>
          <w:szCs w:val="24"/>
        </w:rPr>
        <w:t xml:space="preserve"> clairement identifiée</w:t>
      </w:r>
      <w:r w:rsidR="00503E68" w:rsidRPr="00205909">
        <w:rPr>
          <w:rFonts w:ascii="Garamond" w:hAnsi="Garamond"/>
          <w:sz w:val="24"/>
          <w:szCs w:val="24"/>
        </w:rPr>
        <w:t>. C’est le cas</w:t>
      </w:r>
      <w:r w:rsidR="00952EB6" w:rsidRPr="00205909">
        <w:rPr>
          <w:rFonts w:ascii="Garamond" w:hAnsi="Garamond"/>
          <w:sz w:val="24"/>
          <w:szCs w:val="24"/>
        </w:rPr>
        <w:t xml:space="preserve"> depuis l’arrêt de la Cour suprême </w:t>
      </w:r>
      <w:proofErr w:type="spellStart"/>
      <w:r w:rsidR="00952EB6" w:rsidRPr="00205909">
        <w:rPr>
          <w:rFonts w:ascii="Garamond" w:hAnsi="Garamond"/>
          <w:i/>
          <w:iCs/>
          <w:sz w:val="24"/>
          <w:szCs w:val="24"/>
        </w:rPr>
        <w:t>Morisson</w:t>
      </w:r>
      <w:proofErr w:type="spellEnd"/>
      <w:r w:rsidR="00952EB6" w:rsidRPr="00205909">
        <w:rPr>
          <w:rFonts w:ascii="Garamond" w:hAnsi="Garamond"/>
          <w:i/>
          <w:iCs/>
          <w:sz w:val="24"/>
          <w:szCs w:val="24"/>
        </w:rPr>
        <w:t xml:space="preserve"> v. National </w:t>
      </w:r>
      <w:proofErr w:type="spellStart"/>
      <w:r w:rsidR="00952EB6" w:rsidRPr="00205909">
        <w:rPr>
          <w:rFonts w:ascii="Garamond" w:hAnsi="Garamond"/>
          <w:i/>
          <w:iCs/>
          <w:sz w:val="24"/>
          <w:szCs w:val="24"/>
        </w:rPr>
        <w:t>Australia</w:t>
      </w:r>
      <w:proofErr w:type="spellEnd"/>
      <w:r w:rsidR="00952EB6" w:rsidRPr="00205909">
        <w:rPr>
          <w:rFonts w:ascii="Garamond" w:hAnsi="Garamond"/>
          <w:i/>
          <w:iCs/>
          <w:sz w:val="24"/>
          <w:szCs w:val="24"/>
        </w:rPr>
        <w:t xml:space="preserve"> Bank</w:t>
      </w:r>
      <w:r w:rsidR="00952EB6" w:rsidRPr="00205909">
        <w:rPr>
          <w:rFonts w:ascii="Garamond" w:hAnsi="Garamond"/>
          <w:sz w:val="24"/>
          <w:szCs w:val="24"/>
        </w:rPr>
        <w:t xml:space="preserve"> du 24 juin 2010</w:t>
      </w:r>
      <w:r w:rsidR="00952EB6" w:rsidRPr="00205909">
        <w:rPr>
          <w:rFonts w:ascii="Garamond" w:hAnsi="Garamond"/>
          <w:sz w:val="24"/>
          <w:szCs w:val="24"/>
          <w:vertAlign w:val="superscript"/>
        </w:rPr>
        <w:footnoteReference w:id="50"/>
      </w:r>
      <w:r w:rsidR="007B27AE" w:rsidRPr="00205909">
        <w:rPr>
          <w:rFonts w:ascii="Garamond" w:hAnsi="Garamond"/>
          <w:sz w:val="24"/>
          <w:szCs w:val="24"/>
        </w:rPr>
        <w:t xml:space="preserve"> selon la </w:t>
      </w:r>
      <w:r w:rsidR="007B27AE" w:rsidRPr="00205909">
        <w:rPr>
          <w:rFonts w:ascii="Garamond" w:hAnsi="Garamond"/>
          <w:i/>
          <w:iCs/>
          <w:sz w:val="24"/>
          <w:szCs w:val="24"/>
        </w:rPr>
        <w:t>« </w:t>
      </w:r>
      <w:proofErr w:type="spellStart"/>
      <w:r w:rsidR="007B27AE" w:rsidRPr="00205909">
        <w:rPr>
          <w:rFonts w:ascii="Garamond" w:hAnsi="Garamond"/>
          <w:i/>
          <w:iCs/>
          <w:sz w:val="24"/>
          <w:szCs w:val="24"/>
        </w:rPr>
        <w:t>presumption</w:t>
      </w:r>
      <w:proofErr w:type="spellEnd"/>
      <w:r w:rsidR="007B27AE" w:rsidRPr="00205909">
        <w:rPr>
          <w:rFonts w:ascii="Garamond" w:hAnsi="Garamond"/>
          <w:i/>
          <w:iCs/>
          <w:sz w:val="24"/>
          <w:szCs w:val="24"/>
        </w:rPr>
        <w:t xml:space="preserve"> </w:t>
      </w:r>
      <w:proofErr w:type="spellStart"/>
      <w:r w:rsidR="007B27AE" w:rsidRPr="00205909">
        <w:rPr>
          <w:rFonts w:ascii="Garamond" w:hAnsi="Garamond"/>
          <w:i/>
          <w:iCs/>
          <w:sz w:val="24"/>
          <w:szCs w:val="24"/>
        </w:rPr>
        <w:t>that</w:t>
      </w:r>
      <w:proofErr w:type="spellEnd"/>
      <w:r w:rsidR="007B27AE" w:rsidRPr="00205909">
        <w:rPr>
          <w:rFonts w:ascii="Garamond" w:hAnsi="Garamond"/>
          <w:i/>
          <w:iCs/>
          <w:sz w:val="24"/>
          <w:szCs w:val="24"/>
        </w:rPr>
        <w:t xml:space="preserve"> United States </w:t>
      </w:r>
      <w:proofErr w:type="spellStart"/>
      <w:r w:rsidR="007B27AE" w:rsidRPr="00205909">
        <w:rPr>
          <w:rFonts w:ascii="Garamond" w:hAnsi="Garamond"/>
          <w:i/>
          <w:iCs/>
          <w:sz w:val="24"/>
          <w:szCs w:val="24"/>
        </w:rPr>
        <w:t>law</w:t>
      </w:r>
      <w:proofErr w:type="spellEnd"/>
      <w:r w:rsidR="007B27AE" w:rsidRPr="00205909">
        <w:rPr>
          <w:rFonts w:ascii="Garamond" w:hAnsi="Garamond"/>
          <w:i/>
          <w:iCs/>
          <w:sz w:val="24"/>
          <w:szCs w:val="24"/>
        </w:rPr>
        <w:t xml:space="preserve"> </w:t>
      </w:r>
      <w:proofErr w:type="spellStart"/>
      <w:r w:rsidR="007B27AE" w:rsidRPr="00205909">
        <w:rPr>
          <w:rFonts w:ascii="Garamond" w:hAnsi="Garamond"/>
          <w:i/>
          <w:iCs/>
          <w:sz w:val="24"/>
          <w:szCs w:val="24"/>
        </w:rPr>
        <w:t>governs</w:t>
      </w:r>
      <w:proofErr w:type="spellEnd"/>
      <w:r w:rsidR="007B27AE" w:rsidRPr="00205909">
        <w:rPr>
          <w:rFonts w:ascii="Garamond" w:hAnsi="Garamond"/>
          <w:i/>
          <w:iCs/>
          <w:sz w:val="24"/>
          <w:szCs w:val="24"/>
        </w:rPr>
        <w:t xml:space="preserve"> </w:t>
      </w:r>
      <w:proofErr w:type="spellStart"/>
      <w:r w:rsidR="007B27AE" w:rsidRPr="00205909">
        <w:rPr>
          <w:rFonts w:ascii="Garamond" w:hAnsi="Garamond"/>
          <w:i/>
          <w:iCs/>
          <w:sz w:val="24"/>
          <w:szCs w:val="24"/>
        </w:rPr>
        <w:t>domestically</w:t>
      </w:r>
      <w:proofErr w:type="spellEnd"/>
      <w:r w:rsidR="007B27AE" w:rsidRPr="00205909">
        <w:rPr>
          <w:rFonts w:ascii="Garamond" w:hAnsi="Garamond"/>
          <w:i/>
          <w:iCs/>
          <w:sz w:val="24"/>
          <w:szCs w:val="24"/>
        </w:rPr>
        <w:t xml:space="preserve"> but </w:t>
      </w:r>
      <w:proofErr w:type="spellStart"/>
      <w:r w:rsidR="007B27AE" w:rsidRPr="00205909">
        <w:rPr>
          <w:rFonts w:ascii="Garamond" w:hAnsi="Garamond"/>
          <w:i/>
          <w:iCs/>
          <w:sz w:val="24"/>
          <w:szCs w:val="24"/>
        </w:rPr>
        <w:t>does</w:t>
      </w:r>
      <w:proofErr w:type="spellEnd"/>
      <w:r w:rsidR="007B27AE" w:rsidRPr="00205909">
        <w:rPr>
          <w:rFonts w:ascii="Garamond" w:hAnsi="Garamond"/>
          <w:i/>
          <w:iCs/>
          <w:sz w:val="24"/>
          <w:szCs w:val="24"/>
        </w:rPr>
        <w:t xml:space="preserve"> not </w:t>
      </w:r>
      <w:proofErr w:type="spellStart"/>
      <w:r w:rsidR="007B27AE" w:rsidRPr="00205909">
        <w:rPr>
          <w:rFonts w:ascii="Garamond" w:hAnsi="Garamond"/>
          <w:i/>
          <w:iCs/>
          <w:sz w:val="24"/>
          <w:szCs w:val="24"/>
        </w:rPr>
        <w:t>rule</w:t>
      </w:r>
      <w:proofErr w:type="spellEnd"/>
      <w:r w:rsidR="007B27AE" w:rsidRPr="00205909">
        <w:rPr>
          <w:rFonts w:ascii="Garamond" w:hAnsi="Garamond"/>
          <w:i/>
          <w:iCs/>
          <w:sz w:val="24"/>
          <w:szCs w:val="24"/>
        </w:rPr>
        <w:t xml:space="preserve"> the world</w:t>
      </w:r>
      <w:r w:rsidR="007B27AE" w:rsidRPr="00205909">
        <w:rPr>
          <w:rFonts w:ascii="Garamond" w:hAnsi="Garamond"/>
          <w:sz w:val="24"/>
          <w:szCs w:val="24"/>
        </w:rPr>
        <w:t xml:space="preserve"> », suivi ensuite par l’affaire </w:t>
      </w:r>
      <w:proofErr w:type="spellStart"/>
      <w:r w:rsidR="007B27AE" w:rsidRPr="00205909">
        <w:rPr>
          <w:rFonts w:ascii="Garamond" w:hAnsi="Garamond"/>
          <w:i/>
          <w:iCs/>
          <w:sz w:val="24"/>
          <w:szCs w:val="24"/>
        </w:rPr>
        <w:t>Kiobel</w:t>
      </w:r>
      <w:proofErr w:type="spellEnd"/>
      <w:r w:rsidR="007B27AE" w:rsidRPr="00205909">
        <w:rPr>
          <w:rFonts w:ascii="Garamond" w:hAnsi="Garamond"/>
          <w:i/>
          <w:iCs/>
          <w:sz w:val="24"/>
          <w:szCs w:val="24"/>
        </w:rPr>
        <w:t xml:space="preserve"> </w:t>
      </w:r>
      <w:r w:rsidR="007B27AE" w:rsidRPr="00205909">
        <w:rPr>
          <w:rFonts w:ascii="Garamond" w:hAnsi="Garamond"/>
          <w:sz w:val="24"/>
          <w:szCs w:val="24"/>
        </w:rPr>
        <w:t>en 2013</w:t>
      </w:r>
      <w:r w:rsidR="007B27AE" w:rsidRPr="00205909">
        <w:rPr>
          <w:rFonts w:ascii="Garamond" w:hAnsi="Garamond"/>
          <w:sz w:val="24"/>
          <w:szCs w:val="24"/>
          <w:vertAlign w:val="superscript"/>
        </w:rPr>
        <w:footnoteReference w:id="51"/>
      </w:r>
      <w:r w:rsidR="00F72900" w:rsidRPr="00205909">
        <w:rPr>
          <w:rFonts w:ascii="Garamond" w:hAnsi="Garamond"/>
          <w:sz w:val="24"/>
          <w:szCs w:val="24"/>
        </w:rPr>
        <w:t xml:space="preserve">, </w:t>
      </w:r>
      <w:r w:rsidR="00205909" w:rsidRPr="00205909">
        <w:rPr>
          <w:rFonts w:ascii="Garamond" w:hAnsi="Garamond"/>
          <w:sz w:val="24"/>
          <w:szCs w:val="24"/>
        </w:rPr>
        <w:t>dans le cas de l’application des règles de l’</w:t>
      </w:r>
      <w:r w:rsidR="00205909" w:rsidRPr="00205909">
        <w:rPr>
          <w:rFonts w:ascii="Garamond" w:hAnsi="Garamond"/>
          <w:i/>
          <w:iCs/>
          <w:sz w:val="24"/>
          <w:szCs w:val="24"/>
        </w:rPr>
        <w:t xml:space="preserve">Alien Torts </w:t>
      </w:r>
      <w:proofErr w:type="spellStart"/>
      <w:r w:rsidR="00205909" w:rsidRPr="00205909">
        <w:rPr>
          <w:rFonts w:ascii="Garamond" w:hAnsi="Garamond"/>
          <w:i/>
          <w:iCs/>
          <w:sz w:val="24"/>
          <w:szCs w:val="24"/>
        </w:rPr>
        <w:t>Statute</w:t>
      </w:r>
      <w:proofErr w:type="spellEnd"/>
      <w:r w:rsidR="00205909" w:rsidRPr="00205909">
        <w:rPr>
          <w:rFonts w:ascii="Garamond" w:hAnsi="Garamond"/>
          <w:sz w:val="24"/>
          <w:szCs w:val="24"/>
        </w:rPr>
        <w:t xml:space="preserve">, </w:t>
      </w:r>
      <w:r w:rsidR="00F72900" w:rsidRPr="00205909">
        <w:rPr>
          <w:rFonts w:ascii="Garamond" w:hAnsi="Garamond"/>
          <w:sz w:val="24"/>
          <w:szCs w:val="24"/>
        </w:rPr>
        <w:t xml:space="preserve">visant à éviter des conflits </w:t>
      </w:r>
      <w:r w:rsidR="00205909" w:rsidRPr="00205909">
        <w:rPr>
          <w:rFonts w:ascii="Garamond" w:hAnsi="Garamond"/>
          <w:sz w:val="24"/>
          <w:szCs w:val="24"/>
        </w:rPr>
        <w:t xml:space="preserve">en matière de responsabilité civile </w:t>
      </w:r>
      <w:r w:rsidR="00F72900" w:rsidRPr="00205909">
        <w:rPr>
          <w:rFonts w:ascii="Garamond" w:hAnsi="Garamond"/>
          <w:sz w:val="24"/>
          <w:szCs w:val="24"/>
        </w:rPr>
        <w:t>avec d’autres systèmes juridiques : « </w:t>
      </w:r>
      <w:r w:rsidR="00F72900" w:rsidRPr="00205909">
        <w:rPr>
          <w:rFonts w:ascii="Garamond" w:hAnsi="Garamond"/>
          <w:i/>
          <w:iCs/>
          <w:sz w:val="24"/>
          <w:szCs w:val="24"/>
        </w:rPr>
        <w:t xml:space="preserve">This </w:t>
      </w:r>
      <w:proofErr w:type="spellStart"/>
      <w:r w:rsidR="00F72900" w:rsidRPr="00205909">
        <w:rPr>
          <w:rFonts w:ascii="Garamond" w:hAnsi="Garamond"/>
          <w:i/>
          <w:iCs/>
          <w:sz w:val="24"/>
          <w:szCs w:val="24"/>
        </w:rPr>
        <w:t>presumption</w:t>
      </w:r>
      <w:proofErr w:type="spellEnd"/>
      <w:r w:rsidR="00F72900" w:rsidRPr="00205909">
        <w:rPr>
          <w:rFonts w:ascii="Garamond" w:hAnsi="Garamond"/>
          <w:i/>
          <w:iCs/>
          <w:sz w:val="24"/>
          <w:szCs w:val="24"/>
        </w:rPr>
        <w:t xml:space="preserve"> ‘serves to </w:t>
      </w:r>
      <w:proofErr w:type="spellStart"/>
      <w:r w:rsidR="00F72900" w:rsidRPr="00205909">
        <w:rPr>
          <w:rFonts w:ascii="Garamond" w:hAnsi="Garamond"/>
          <w:i/>
          <w:iCs/>
          <w:sz w:val="24"/>
          <w:szCs w:val="24"/>
        </w:rPr>
        <w:t>protect</w:t>
      </w:r>
      <w:proofErr w:type="spellEnd"/>
      <w:r w:rsidR="00F72900" w:rsidRPr="00205909">
        <w:rPr>
          <w:rFonts w:ascii="Garamond" w:hAnsi="Garamond"/>
          <w:i/>
          <w:iCs/>
          <w:sz w:val="24"/>
          <w:szCs w:val="24"/>
        </w:rPr>
        <w:t xml:space="preserve"> </w:t>
      </w:r>
      <w:proofErr w:type="spellStart"/>
      <w:r w:rsidR="00F72900" w:rsidRPr="00205909">
        <w:rPr>
          <w:rFonts w:ascii="Garamond" w:hAnsi="Garamond"/>
          <w:i/>
          <w:iCs/>
          <w:sz w:val="24"/>
          <w:szCs w:val="24"/>
        </w:rPr>
        <w:t>against</w:t>
      </w:r>
      <w:proofErr w:type="spellEnd"/>
      <w:r w:rsidR="00F72900" w:rsidRPr="00205909">
        <w:rPr>
          <w:rFonts w:ascii="Garamond" w:hAnsi="Garamond"/>
          <w:i/>
          <w:iCs/>
          <w:sz w:val="24"/>
          <w:szCs w:val="24"/>
        </w:rPr>
        <w:t xml:space="preserve"> </w:t>
      </w:r>
      <w:proofErr w:type="spellStart"/>
      <w:r w:rsidR="00F72900" w:rsidRPr="00205909">
        <w:rPr>
          <w:rFonts w:ascii="Garamond" w:hAnsi="Garamond"/>
          <w:i/>
          <w:iCs/>
          <w:sz w:val="24"/>
          <w:szCs w:val="24"/>
        </w:rPr>
        <w:t>unintended</w:t>
      </w:r>
      <w:proofErr w:type="spellEnd"/>
      <w:r w:rsidR="00F72900" w:rsidRPr="00205909">
        <w:rPr>
          <w:rFonts w:ascii="Garamond" w:hAnsi="Garamond"/>
          <w:i/>
          <w:iCs/>
          <w:sz w:val="24"/>
          <w:szCs w:val="24"/>
        </w:rPr>
        <w:t xml:space="preserve"> clashes </w:t>
      </w:r>
      <w:proofErr w:type="spellStart"/>
      <w:r w:rsidR="00F72900" w:rsidRPr="00205909">
        <w:rPr>
          <w:rFonts w:ascii="Garamond" w:hAnsi="Garamond"/>
          <w:i/>
          <w:iCs/>
          <w:sz w:val="24"/>
          <w:szCs w:val="24"/>
        </w:rPr>
        <w:t>between</w:t>
      </w:r>
      <w:proofErr w:type="spellEnd"/>
      <w:r w:rsidR="00F72900" w:rsidRPr="00205909">
        <w:rPr>
          <w:rFonts w:ascii="Garamond" w:hAnsi="Garamond"/>
          <w:i/>
          <w:iCs/>
          <w:sz w:val="24"/>
          <w:szCs w:val="24"/>
        </w:rPr>
        <w:t xml:space="preserve"> </w:t>
      </w:r>
      <w:proofErr w:type="spellStart"/>
      <w:r w:rsidR="00F72900" w:rsidRPr="00205909">
        <w:rPr>
          <w:rFonts w:ascii="Garamond" w:hAnsi="Garamond"/>
          <w:i/>
          <w:iCs/>
          <w:sz w:val="24"/>
          <w:szCs w:val="24"/>
        </w:rPr>
        <w:t>our</w:t>
      </w:r>
      <w:proofErr w:type="spellEnd"/>
      <w:r w:rsidR="00F72900" w:rsidRPr="00205909">
        <w:rPr>
          <w:rFonts w:ascii="Garamond" w:hAnsi="Garamond"/>
          <w:i/>
          <w:iCs/>
          <w:sz w:val="24"/>
          <w:szCs w:val="24"/>
        </w:rPr>
        <w:t xml:space="preserve"> </w:t>
      </w:r>
      <w:proofErr w:type="spellStart"/>
      <w:r w:rsidR="00F72900" w:rsidRPr="00205909">
        <w:rPr>
          <w:rFonts w:ascii="Garamond" w:hAnsi="Garamond"/>
          <w:i/>
          <w:iCs/>
          <w:sz w:val="24"/>
          <w:szCs w:val="24"/>
        </w:rPr>
        <w:t>laws</w:t>
      </w:r>
      <w:proofErr w:type="spellEnd"/>
      <w:r w:rsidR="00F72900" w:rsidRPr="00205909">
        <w:rPr>
          <w:rFonts w:ascii="Garamond" w:hAnsi="Garamond"/>
          <w:i/>
          <w:iCs/>
          <w:sz w:val="24"/>
          <w:szCs w:val="24"/>
        </w:rPr>
        <w:t xml:space="preserve"> and </w:t>
      </w:r>
      <w:proofErr w:type="spellStart"/>
      <w:r w:rsidR="00F72900" w:rsidRPr="00205909">
        <w:rPr>
          <w:rFonts w:ascii="Garamond" w:hAnsi="Garamond"/>
          <w:i/>
          <w:iCs/>
          <w:sz w:val="24"/>
          <w:szCs w:val="24"/>
        </w:rPr>
        <w:t>those</w:t>
      </w:r>
      <w:proofErr w:type="spellEnd"/>
      <w:r w:rsidR="00F72900" w:rsidRPr="00205909">
        <w:rPr>
          <w:rFonts w:ascii="Garamond" w:hAnsi="Garamond"/>
          <w:i/>
          <w:iCs/>
          <w:sz w:val="24"/>
          <w:szCs w:val="24"/>
        </w:rPr>
        <w:t xml:space="preserve"> of </w:t>
      </w:r>
      <w:proofErr w:type="spellStart"/>
      <w:r w:rsidR="00F72900" w:rsidRPr="00205909">
        <w:rPr>
          <w:rFonts w:ascii="Garamond" w:hAnsi="Garamond"/>
          <w:i/>
          <w:iCs/>
          <w:sz w:val="24"/>
          <w:szCs w:val="24"/>
        </w:rPr>
        <w:t>other</w:t>
      </w:r>
      <w:proofErr w:type="spellEnd"/>
      <w:r w:rsidR="00F72900" w:rsidRPr="00205909">
        <w:rPr>
          <w:rFonts w:ascii="Garamond" w:hAnsi="Garamond"/>
          <w:i/>
          <w:iCs/>
          <w:sz w:val="24"/>
          <w:szCs w:val="24"/>
        </w:rPr>
        <w:t xml:space="preserve"> nations </w:t>
      </w:r>
      <w:proofErr w:type="spellStart"/>
      <w:r w:rsidR="00F72900" w:rsidRPr="00205909">
        <w:rPr>
          <w:rFonts w:ascii="Garamond" w:hAnsi="Garamond"/>
          <w:i/>
          <w:iCs/>
          <w:sz w:val="24"/>
          <w:szCs w:val="24"/>
        </w:rPr>
        <w:t>which</w:t>
      </w:r>
      <w:proofErr w:type="spellEnd"/>
      <w:r w:rsidR="00F72900" w:rsidRPr="00205909">
        <w:rPr>
          <w:rFonts w:ascii="Garamond" w:hAnsi="Garamond"/>
          <w:i/>
          <w:iCs/>
          <w:sz w:val="24"/>
          <w:szCs w:val="24"/>
        </w:rPr>
        <w:t xml:space="preserve"> </w:t>
      </w:r>
      <w:proofErr w:type="spellStart"/>
      <w:r w:rsidR="00F72900" w:rsidRPr="00205909">
        <w:rPr>
          <w:rFonts w:ascii="Garamond" w:hAnsi="Garamond"/>
          <w:i/>
          <w:iCs/>
          <w:sz w:val="24"/>
          <w:szCs w:val="24"/>
        </w:rPr>
        <w:t>could</w:t>
      </w:r>
      <w:proofErr w:type="spellEnd"/>
      <w:r w:rsidR="00F72900" w:rsidRPr="00205909">
        <w:rPr>
          <w:rFonts w:ascii="Garamond" w:hAnsi="Garamond"/>
          <w:i/>
          <w:iCs/>
          <w:sz w:val="24"/>
          <w:szCs w:val="24"/>
        </w:rPr>
        <w:t xml:space="preserve"> </w:t>
      </w:r>
      <w:proofErr w:type="spellStart"/>
      <w:r w:rsidR="00F72900" w:rsidRPr="00205909">
        <w:rPr>
          <w:rFonts w:ascii="Garamond" w:hAnsi="Garamond"/>
          <w:i/>
          <w:iCs/>
          <w:sz w:val="24"/>
          <w:szCs w:val="24"/>
        </w:rPr>
        <w:t>result</w:t>
      </w:r>
      <w:proofErr w:type="spellEnd"/>
      <w:r w:rsidR="00F72900" w:rsidRPr="00205909">
        <w:rPr>
          <w:rFonts w:ascii="Garamond" w:hAnsi="Garamond"/>
          <w:i/>
          <w:iCs/>
          <w:sz w:val="24"/>
          <w:szCs w:val="24"/>
        </w:rPr>
        <w:t xml:space="preserve"> in international discord </w:t>
      </w:r>
      <w:r w:rsidR="00F72900" w:rsidRPr="00205909">
        <w:rPr>
          <w:rFonts w:ascii="Garamond" w:hAnsi="Garamond"/>
          <w:sz w:val="24"/>
          <w:szCs w:val="24"/>
        </w:rPr>
        <w:t>»</w:t>
      </w:r>
      <w:r w:rsidR="00ED357D" w:rsidRPr="00205909">
        <w:rPr>
          <w:rFonts w:ascii="Garamond" w:hAnsi="Garamond"/>
          <w:sz w:val="24"/>
          <w:szCs w:val="24"/>
        </w:rPr>
        <w:t xml:space="preserve">. </w:t>
      </w:r>
    </w:p>
    <w:p w14:paraId="1A407D6E" w14:textId="50F64CF8" w:rsidR="004B287F" w:rsidRPr="00205909" w:rsidRDefault="00205909" w:rsidP="00F128AB">
      <w:pPr>
        <w:pStyle w:val="numerodeparagraphe"/>
        <w:numPr>
          <w:ilvl w:val="0"/>
          <w:numId w:val="0"/>
        </w:numPr>
        <w:suppressAutoHyphens/>
        <w:spacing w:before="0"/>
        <w:ind w:firstLine="426"/>
        <w:rPr>
          <w:rFonts w:ascii="Garamond" w:hAnsi="Garamond"/>
          <w:sz w:val="24"/>
          <w:szCs w:val="24"/>
        </w:rPr>
      </w:pPr>
      <w:r w:rsidRPr="00205909">
        <w:rPr>
          <w:rFonts w:ascii="Garamond" w:hAnsi="Garamond"/>
          <w:sz w:val="24"/>
          <w:szCs w:val="24"/>
        </w:rPr>
        <w:t>Cette présomption de non-extraterritorialité semble bien établie</w:t>
      </w:r>
      <w:r>
        <w:rPr>
          <w:rFonts w:ascii="Garamond" w:hAnsi="Garamond"/>
          <w:sz w:val="24"/>
          <w:szCs w:val="24"/>
        </w:rPr>
        <w:t xml:space="preserve"> et l</w:t>
      </w:r>
      <w:r w:rsidR="00ED357D" w:rsidRPr="00205909">
        <w:rPr>
          <w:rFonts w:ascii="Garamond" w:hAnsi="Garamond"/>
          <w:sz w:val="24"/>
          <w:szCs w:val="24"/>
        </w:rPr>
        <w:t>e débat déborde alors sur le point de savoir si l’appréciation de ce caractère extraterritorial appartient au juge ou à l’autorité chargée d’appliquer la règle</w:t>
      </w:r>
      <w:r>
        <w:rPr>
          <w:rFonts w:ascii="Garamond" w:hAnsi="Garamond"/>
          <w:sz w:val="24"/>
          <w:szCs w:val="24"/>
        </w:rPr>
        <w:t>, ce qui prend une dimension majeure dans le cas de l’application des règles du FCPA ou des sanctions économiques secondaires, interprétées par un procureur, et non par un juge</w:t>
      </w:r>
      <w:r w:rsidR="00ED357D" w:rsidRPr="00205909">
        <w:rPr>
          <w:rFonts w:ascii="Garamond" w:hAnsi="Garamond"/>
          <w:sz w:val="24"/>
          <w:szCs w:val="24"/>
        </w:rPr>
        <w:t xml:space="preserve">. </w:t>
      </w:r>
      <w:r w:rsidR="007B27AE" w:rsidRPr="00205909">
        <w:rPr>
          <w:rFonts w:ascii="Garamond" w:hAnsi="Garamond"/>
          <w:sz w:val="24"/>
          <w:szCs w:val="24"/>
        </w:rPr>
        <w:t xml:space="preserve">Depuis l’arrêt </w:t>
      </w:r>
      <w:r w:rsidR="007B27AE" w:rsidRPr="00205909">
        <w:rPr>
          <w:rStyle w:val="Accentuation"/>
          <w:rFonts w:ascii="Garamond" w:hAnsi="Garamond"/>
          <w:sz w:val="24"/>
          <w:szCs w:val="24"/>
        </w:rPr>
        <w:t xml:space="preserve">Chevron U.S.A. Inc. v. Natural </w:t>
      </w:r>
      <w:proofErr w:type="spellStart"/>
      <w:r w:rsidR="007B27AE" w:rsidRPr="00205909">
        <w:rPr>
          <w:rStyle w:val="Accentuation"/>
          <w:rFonts w:ascii="Garamond" w:hAnsi="Garamond"/>
          <w:sz w:val="24"/>
          <w:szCs w:val="24"/>
        </w:rPr>
        <w:t>Resources</w:t>
      </w:r>
      <w:proofErr w:type="spellEnd"/>
      <w:r w:rsidR="007B27AE" w:rsidRPr="00205909">
        <w:rPr>
          <w:rStyle w:val="Accentuation"/>
          <w:rFonts w:ascii="Garamond" w:hAnsi="Garamond"/>
          <w:sz w:val="24"/>
          <w:szCs w:val="24"/>
        </w:rPr>
        <w:t xml:space="preserve"> </w:t>
      </w:r>
      <w:proofErr w:type="spellStart"/>
      <w:r w:rsidR="007B27AE" w:rsidRPr="00205909">
        <w:rPr>
          <w:rStyle w:val="Accentuation"/>
          <w:rFonts w:ascii="Garamond" w:hAnsi="Garamond"/>
          <w:sz w:val="24"/>
          <w:szCs w:val="24"/>
        </w:rPr>
        <w:t>Defense</w:t>
      </w:r>
      <w:proofErr w:type="spellEnd"/>
      <w:r w:rsidR="007B27AE" w:rsidRPr="00205909">
        <w:rPr>
          <w:rStyle w:val="Accentuation"/>
          <w:rFonts w:ascii="Garamond" w:hAnsi="Garamond"/>
          <w:sz w:val="24"/>
          <w:szCs w:val="24"/>
        </w:rPr>
        <w:t xml:space="preserve"> Council</w:t>
      </w:r>
      <w:r w:rsidR="007B27AE" w:rsidRPr="00205909">
        <w:rPr>
          <w:rFonts w:ascii="Garamond" w:hAnsi="Garamond"/>
          <w:sz w:val="24"/>
          <w:szCs w:val="24"/>
        </w:rPr>
        <w:t xml:space="preserve"> du 25 juin 1984</w:t>
      </w:r>
      <w:r w:rsidR="007B27AE" w:rsidRPr="00205909">
        <w:rPr>
          <w:rStyle w:val="Appelnotedebasdep"/>
          <w:rFonts w:ascii="Garamond" w:hAnsi="Garamond"/>
          <w:sz w:val="24"/>
          <w:szCs w:val="24"/>
        </w:rPr>
        <w:footnoteReference w:id="52"/>
      </w:r>
      <w:r w:rsidR="007B27AE" w:rsidRPr="00205909">
        <w:rPr>
          <w:rFonts w:ascii="Garamond" w:hAnsi="Garamond"/>
          <w:sz w:val="24"/>
          <w:szCs w:val="24"/>
        </w:rPr>
        <w:t xml:space="preserve"> en effet, les juges suiv</w:t>
      </w:r>
      <w:r>
        <w:rPr>
          <w:rFonts w:ascii="Garamond" w:hAnsi="Garamond"/>
          <w:sz w:val="24"/>
          <w:szCs w:val="24"/>
        </w:rPr>
        <w:t>aient</w:t>
      </w:r>
      <w:r w:rsidR="007B27AE" w:rsidRPr="00205909">
        <w:rPr>
          <w:rFonts w:ascii="Garamond" w:hAnsi="Garamond"/>
          <w:sz w:val="24"/>
          <w:szCs w:val="24"/>
        </w:rPr>
        <w:t xml:space="preserve"> l’interprétation des agences concernées lorsque l’interprétation d’une règle était ambigüe et que l’interprétation de l’agence était considérée comme raisonnable. Dans le cas de l’application extraterritoriales des règles du FCPA ou des sanctions économiques secondaires américaines.</w:t>
      </w:r>
      <w:r w:rsidR="00ED357D" w:rsidRPr="00205909">
        <w:rPr>
          <w:rFonts w:ascii="Garamond" w:hAnsi="Garamond"/>
          <w:sz w:val="24"/>
          <w:szCs w:val="24"/>
        </w:rPr>
        <w:t xml:space="preserve"> </w:t>
      </w:r>
      <w:r w:rsidR="00A23119" w:rsidRPr="00205909">
        <w:rPr>
          <w:rFonts w:ascii="Garamond" w:hAnsi="Garamond"/>
          <w:sz w:val="24"/>
          <w:szCs w:val="24"/>
        </w:rPr>
        <w:t xml:space="preserve">il </w:t>
      </w:r>
      <w:r w:rsidR="007B27AE" w:rsidRPr="00205909">
        <w:rPr>
          <w:rFonts w:ascii="Garamond" w:hAnsi="Garamond"/>
          <w:sz w:val="24"/>
          <w:szCs w:val="24"/>
        </w:rPr>
        <w:t xml:space="preserve">en résulte alors que l’interprétation du procureur concerné, favorable à </w:t>
      </w:r>
      <w:r w:rsidR="004B287F" w:rsidRPr="00205909">
        <w:rPr>
          <w:rFonts w:ascii="Garamond" w:hAnsi="Garamond"/>
          <w:sz w:val="24"/>
          <w:szCs w:val="24"/>
        </w:rPr>
        <w:t xml:space="preserve">la considération du caractère extraterritorial de ces règles, aurait dû, si la question avait été clairement </w:t>
      </w:r>
      <w:r>
        <w:rPr>
          <w:rFonts w:ascii="Garamond" w:hAnsi="Garamond"/>
          <w:sz w:val="24"/>
          <w:szCs w:val="24"/>
        </w:rPr>
        <w:t xml:space="preserve">ou systématiquement </w:t>
      </w:r>
      <w:r w:rsidR="004B287F" w:rsidRPr="00205909">
        <w:rPr>
          <w:rFonts w:ascii="Garamond" w:hAnsi="Garamond"/>
          <w:sz w:val="24"/>
          <w:szCs w:val="24"/>
        </w:rPr>
        <w:t>posée</w:t>
      </w:r>
      <w:r w:rsidR="00E730DF" w:rsidRPr="00205909">
        <w:rPr>
          <w:rFonts w:ascii="Garamond" w:hAnsi="Garamond"/>
          <w:sz w:val="24"/>
          <w:szCs w:val="28"/>
          <w:vertAlign w:val="superscript"/>
        </w:rPr>
        <w:footnoteReference w:id="53"/>
      </w:r>
      <w:r w:rsidR="004B287F" w:rsidRPr="00205909">
        <w:rPr>
          <w:rFonts w:ascii="Garamond" w:hAnsi="Garamond"/>
          <w:sz w:val="24"/>
          <w:szCs w:val="24"/>
        </w:rPr>
        <w:t>,</w:t>
      </w:r>
      <w:r w:rsidR="007B27AE" w:rsidRPr="00205909">
        <w:rPr>
          <w:rFonts w:ascii="Garamond" w:hAnsi="Garamond"/>
          <w:sz w:val="24"/>
          <w:szCs w:val="24"/>
        </w:rPr>
        <w:t xml:space="preserve"> </w:t>
      </w:r>
      <w:r w:rsidR="004B287F" w:rsidRPr="00205909">
        <w:rPr>
          <w:rFonts w:ascii="Garamond" w:hAnsi="Garamond"/>
          <w:sz w:val="24"/>
          <w:szCs w:val="24"/>
        </w:rPr>
        <w:t>prévaloir</w:t>
      </w:r>
      <w:r w:rsidR="007B27AE" w:rsidRPr="00205909">
        <w:rPr>
          <w:rFonts w:ascii="Garamond" w:hAnsi="Garamond"/>
          <w:sz w:val="24"/>
          <w:szCs w:val="24"/>
        </w:rPr>
        <w:t>.</w:t>
      </w:r>
      <w:r w:rsidR="004B287F" w:rsidRPr="00205909">
        <w:rPr>
          <w:rFonts w:ascii="Garamond" w:hAnsi="Garamond"/>
          <w:sz w:val="24"/>
          <w:szCs w:val="24"/>
        </w:rPr>
        <w:t xml:space="preserve"> </w:t>
      </w:r>
      <w:r w:rsidR="004B287F" w:rsidRPr="00205909">
        <w:rPr>
          <w:rFonts w:ascii="Garamond" w:hAnsi="Garamond"/>
          <w:sz w:val="24"/>
          <w:szCs w:val="24"/>
          <w:lang w:val="en-GB"/>
        </w:rPr>
        <w:t xml:space="preserve">Or dans </w:t>
      </w:r>
      <w:proofErr w:type="spellStart"/>
      <w:r w:rsidR="004B287F" w:rsidRPr="00205909">
        <w:rPr>
          <w:rFonts w:ascii="Garamond" w:hAnsi="Garamond"/>
          <w:sz w:val="24"/>
          <w:szCs w:val="24"/>
          <w:lang w:val="en-GB"/>
        </w:rPr>
        <w:t>l’arrêt</w:t>
      </w:r>
      <w:proofErr w:type="spellEnd"/>
      <w:r w:rsidR="004B287F" w:rsidRPr="00205909">
        <w:rPr>
          <w:rFonts w:ascii="Garamond" w:hAnsi="Garamond"/>
          <w:sz w:val="24"/>
          <w:szCs w:val="24"/>
          <w:lang w:val="en-GB"/>
        </w:rPr>
        <w:t xml:space="preserve"> </w:t>
      </w:r>
      <w:r w:rsidR="004B287F" w:rsidRPr="00205909">
        <w:rPr>
          <w:rFonts w:ascii="Garamond" w:hAnsi="Garamond"/>
          <w:i/>
          <w:iCs/>
          <w:sz w:val="24"/>
          <w:szCs w:val="24"/>
          <w:lang w:val="en-GB"/>
        </w:rPr>
        <w:t>Loper Bright Enterprises v. Raimondo</w:t>
      </w:r>
      <w:r w:rsidR="004B287F" w:rsidRPr="00205909">
        <w:rPr>
          <w:rFonts w:ascii="Garamond" w:hAnsi="Garamond"/>
          <w:sz w:val="24"/>
          <w:szCs w:val="24"/>
          <w:lang w:val="en-GB"/>
        </w:rPr>
        <w:t xml:space="preserve"> du 28 </w:t>
      </w:r>
      <w:proofErr w:type="spellStart"/>
      <w:r w:rsidR="004B287F" w:rsidRPr="00205909">
        <w:rPr>
          <w:rFonts w:ascii="Garamond" w:hAnsi="Garamond"/>
          <w:sz w:val="24"/>
          <w:szCs w:val="24"/>
          <w:lang w:val="en-GB"/>
        </w:rPr>
        <w:t>juin</w:t>
      </w:r>
      <w:proofErr w:type="spellEnd"/>
      <w:r w:rsidR="004B287F" w:rsidRPr="00205909">
        <w:rPr>
          <w:rFonts w:ascii="Garamond" w:hAnsi="Garamond"/>
          <w:sz w:val="24"/>
          <w:szCs w:val="24"/>
          <w:lang w:val="en-GB"/>
        </w:rPr>
        <w:t xml:space="preserve"> 2024</w:t>
      </w:r>
      <w:r w:rsidR="004B287F" w:rsidRPr="00205909">
        <w:rPr>
          <w:rStyle w:val="Appelnotedebasdep"/>
          <w:rFonts w:ascii="Garamond" w:hAnsi="Garamond"/>
          <w:sz w:val="24"/>
          <w:szCs w:val="24"/>
        </w:rPr>
        <w:footnoteReference w:id="54"/>
      </w:r>
      <w:r w:rsidR="004B287F" w:rsidRPr="00205909">
        <w:rPr>
          <w:rFonts w:ascii="Garamond" w:hAnsi="Garamond"/>
          <w:sz w:val="24"/>
          <w:szCs w:val="24"/>
          <w:lang w:val="en-GB"/>
        </w:rPr>
        <w:t xml:space="preserve">, la Cour </w:t>
      </w:r>
      <w:proofErr w:type="spellStart"/>
      <w:r w:rsidR="00407F60">
        <w:rPr>
          <w:rFonts w:ascii="Garamond" w:hAnsi="Garamond"/>
          <w:sz w:val="24"/>
          <w:szCs w:val="24"/>
          <w:lang w:val="en-GB"/>
        </w:rPr>
        <w:t>S</w:t>
      </w:r>
      <w:r w:rsidR="004B287F" w:rsidRPr="00205909">
        <w:rPr>
          <w:rFonts w:ascii="Garamond" w:hAnsi="Garamond"/>
          <w:sz w:val="24"/>
          <w:szCs w:val="24"/>
          <w:lang w:val="en-GB"/>
        </w:rPr>
        <w:t>uprême</w:t>
      </w:r>
      <w:proofErr w:type="spellEnd"/>
      <w:r w:rsidR="004B287F" w:rsidRPr="00205909">
        <w:rPr>
          <w:rFonts w:ascii="Garamond" w:hAnsi="Garamond"/>
          <w:sz w:val="24"/>
          <w:szCs w:val="24"/>
          <w:lang w:val="en-GB"/>
        </w:rPr>
        <w:t xml:space="preserve"> a </w:t>
      </w:r>
      <w:proofErr w:type="spellStart"/>
      <w:r w:rsidR="004B287F" w:rsidRPr="00205909">
        <w:rPr>
          <w:rFonts w:ascii="Garamond" w:hAnsi="Garamond"/>
          <w:sz w:val="24"/>
          <w:szCs w:val="24"/>
          <w:lang w:val="en-GB"/>
        </w:rPr>
        <w:t>renversé</w:t>
      </w:r>
      <w:proofErr w:type="spellEnd"/>
      <w:r w:rsidR="004B287F" w:rsidRPr="00205909">
        <w:rPr>
          <w:rFonts w:ascii="Garamond" w:hAnsi="Garamond"/>
          <w:sz w:val="24"/>
          <w:szCs w:val="24"/>
          <w:lang w:val="en-GB"/>
        </w:rPr>
        <w:t xml:space="preserve"> </w:t>
      </w:r>
      <w:r w:rsidR="006F7055">
        <w:rPr>
          <w:rFonts w:ascii="Garamond" w:hAnsi="Garamond"/>
          <w:sz w:val="24"/>
          <w:szCs w:val="24"/>
          <w:lang w:val="en-GB"/>
        </w:rPr>
        <w:t>l</w:t>
      </w:r>
      <w:r w:rsidR="004B287F" w:rsidRPr="00205909">
        <w:rPr>
          <w:rFonts w:ascii="Garamond" w:hAnsi="Garamond"/>
          <w:sz w:val="24"/>
          <w:szCs w:val="24"/>
          <w:lang w:val="en-GB"/>
        </w:rPr>
        <w:t>a solution</w:t>
      </w:r>
      <w:r w:rsidR="006F7055">
        <w:rPr>
          <w:rFonts w:ascii="Garamond" w:hAnsi="Garamond"/>
          <w:sz w:val="24"/>
          <w:szCs w:val="24"/>
          <w:lang w:val="en-GB"/>
        </w:rPr>
        <w:t xml:space="preserve"> de </w:t>
      </w:r>
      <w:proofErr w:type="spellStart"/>
      <w:r w:rsidR="006F7055">
        <w:rPr>
          <w:rFonts w:ascii="Garamond" w:hAnsi="Garamond"/>
          <w:sz w:val="24"/>
          <w:szCs w:val="24"/>
          <w:lang w:val="en-GB"/>
        </w:rPr>
        <w:t>l’affaire</w:t>
      </w:r>
      <w:proofErr w:type="spellEnd"/>
      <w:r w:rsidR="006F7055">
        <w:rPr>
          <w:rFonts w:ascii="Garamond" w:hAnsi="Garamond"/>
          <w:sz w:val="24"/>
          <w:szCs w:val="24"/>
          <w:lang w:val="en-GB"/>
        </w:rPr>
        <w:t xml:space="preserve"> </w:t>
      </w:r>
      <w:r w:rsidR="006F7055">
        <w:rPr>
          <w:rFonts w:ascii="Garamond" w:hAnsi="Garamond"/>
          <w:i/>
          <w:iCs/>
          <w:sz w:val="24"/>
          <w:szCs w:val="24"/>
          <w:lang w:val="en-GB"/>
        </w:rPr>
        <w:t>Chevron</w:t>
      </w:r>
      <w:r w:rsidR="004B287F" w:rsidRPr="00205909">
        <w:rPr>
          <w:rFonts w:ascii="Garamond" w:hAnsi="Garamond"/>
          <w:sz w:val="24"/>
          <w:szCs w:val="24"/>
          <w:lang w:val="en-GB"/>
        </w:rPr>
        <w:t xml:space="preserve">, </w:t>
      </w:r>
      <w:proofErr w:type="spellStart"/>
      <w:r w:rsidR="004B287F" w:rsidRPr="00205909">
        <w:rPr>
          <w:rFonts w:ascii="Garamond" w:hAnsi="Garamond"/>
          <w:sz w:val="24"/>
          <w:szCs w:val="24"/>
          <w:lang w:val="en-GB"/>
        </w:rPr>
        <w:t>considérant</w:t>
      </w:r>
      <w:proofErr w:type="spellEnd"/>
      <w:r w:rsidR="004B287F" w:rsidRPr="00205909">
        <w:rPr>
          <w:rFonts w:ascii="Garamond" w:hAnsi="Garamond"/>
          <w:sz w:val="24"/>
          <w:szCs w:val="24"/>
          <w:lang w:val="en-GB"/>
        </w:rPr>
        <w:t xml:space="preserve"> que « </w:t>
      </w:r>
      <w:r w:rsidR="004B287F" w:rsidRPr="00205909">
        <w:rPr>
          <w:rFonts w:ascii="Garamond" w:hAnsi="Garamond"/>
          <w:i/>
          <w:iCs/>
          <w:sz w:val="24"/>
          <w:szCs w:val="24"/>
          <w:lang w:val="en-GB"/>
        </w:rPr>
        <w:t>when a statute is ambiguous, a court rather than the administering agency must determine the “single, best meaning” of the statute »</w:t>
      </w:r>
      <w:r w:rsidR="004B287F" w:rsidRPr="00205909">
        <w:rPr>
          <w:rFonts w:ascii="Garamond" w:hAnsi="Garamond"/>
          <w:sz w:val="24"/>
          <w:szCs w:val="24"/>
          <w:lang w:val="en-GB"/>
        </w:rPr>
        <w:t xml:space="preserve">. </w:t>
      </w:r>
      <w:r w:rsidR="004B287F" w:rsidRPr="00205909">
        <w:rPr>
          <w:rFonts w:ascii="Garamond" w:hAnsi="Garamond"/>
          <w:sz w:val="24"/>
          <w:szCs w:val="24"/>
        </w:rPr>
        <w:t>Certes les deux cas concernai</w:t>
      </w:r>
      <w:r w:rsidR="000A447F" w:rsidRPr="00205909">
        <w:rPr>
          <w:rFonts w:ascii="Garamond" w:hAnsi="Garamond"/>
          <w:sz w:val="24"/>
          <w:szCs w:val="24"/>
        </w:rPr>
        <w:t>en</w:t>
      </w:r>
      <w:r w:rsidR="004B287F" w:rsidRPr="00205909">
        <w:rPr>
          <w:rFonts w:ascii="Garamond" w:hAnsi="Garamond"/>
          <w:sz w:val="24"/>
          <w:szCs w:val="24"/>
        </w:rPr>
        <w:t xml:space="preserve">t une question de droit de l’environnement, impliquant l’interprétation de règles du </w:t>
      </w:r>
      <w:r w:rsidR="004B287F" w:rsidRPr="00205909">
        <w:rPr>
          <w:rFonts w:ascii="Garamond" w:hAnsi="Garamond"/>
          <w:i/>
          <w:iCs/>
          <w:sz w:val="24"/>
          <w:szCs w:val="24"/>
        </w:rPr>
        <w:t xml:space="preserve">Clear Air </w:t>
      </w:r>
      <w:proofErr w:type="spellStart"/>
      <w:r w:rsidR="004B287F" w:rsidRPr="00205909">
        <w:rPr>
          <w:rFonts w:ascii="Garamond" w:hAnsi="Garamond"/>
          <w:i/>
          <w:iCs/>
          <w:sz w:val="24"/>
          <w:szCs w:val="24"/>
        </w:rPr>
        <w:t>Act</w:t>
      </w:r>
      <w:proofErr w:type="spellEnd"/>
      <w:r w:rsidR="004B287F" w:rsidRPr="00205909">
        <w:rPr>
          <w:rFonts w:ascii="Garamond" w:hAnsi="Garamond"/>
          <w:i/>
          <w:iCs/>
          <w:sz w:val="24"/>
          <w:szCs w:val="24"/>
        </w:rPr>
        <w:t xml:space="preserve"> </w:t>
      </w:r>
      <w:r w:rsidR="004B287F" w:rsidRPr="00205909">
        <w:rPr>
          <w:rFonts w:ascii="Garamond" w:hAnsi="Garamond"/>
          <w:sz w:val="24"/>
          <w:szCs w:val="24"/>
        </w:rPr>
        <w:t xml:space="preserve">de 1963 dans le premier cas et le </w:t>
      </w:r>
      <w:proofErr w:type="spellStart"/>
      <w:r w:rsidR="004B287F" w:rsidRPr="00205909">
        <w:rPr>
          <w:rFonts w:ascii="Garamond" w:hAnsi="Garamond"/>
          <w:i/>
          <w:iCs/>
          <w:sz w:val="24"/>
          <w:szCs w:val="24"/>
        </w:rPr>
        <w:t>Magnuson</w:t>
      </w:r>
      <w:proofErr w:type="spellEnd"/>
      <w:r w:rsidR="004B287F" w:rsidRPr="00205909">
        <w:rPr>
          <w:rFonts w:ascii="Garamond" w:hAnsi="Garamond"/>
          <w:i/>
          <w:iCs/>
          <w:sz w:val="24"/>
          <w:szCs w:val="24"/>
        </w:rPr>
        <w:t xml:space="preserve">–Stevens </w:t>
      </w:r>
      <w:proofErr w:type="spellStart"/>
      <w:r w:rsidR="004B287F" w:rsidRPr="00205909">
        <w:rPr>
          <w:rFonts w:ascii="Garamond" w:hAnsi="Garamond"/>
          <w:i/>
          <w:iCs/>
          <w:sz w:val="24"/>
          <w:szCs w:val="24"/>
        </w:rPr>
        <w:t>Fishery</w:t>
      </w:r>
      <w:proofErr w:type="spellEnd"/>
      <w:r w:rsidR="004B287F" w:rsidRPr="00205909">
        <w:rPr>
          <w:rFonts w:ascii="Garamond" w:hAnsi="Garamond"/>
          <w:i/>
          <w:iCs/>
          <w:sz w:val="24"/>
          <w:szCs w:val="24"/>
        </w:rPr>
        <w:t xml:space="preserve"> Conservation and Management </w:t>
      </w:r>
      <w:proofErr w:type="spellStart"/>
      <w:r w:rsidR="004B287F" w:rsidRPr="00205909">
        <w:rPr>
          <w:rFonts w:ascii="Garamond" w:hAnsi="Garamond"/>
          <w:i/>
          <w:iCs/>
          <w:sz w:val="24"/>
          <w:szCs w:val="24"/>
        </w:rPr>
        <w:t>Act</w:t>
      </w:r>
      <w:proofErr w:type="spellEnd"/>
      <w:r w:rsidR="004B287F" w:rsidRPr="00205909">
        <w:rPr>
          <w:rFonts w:ascii="Garamond" w:hAnsi="Garamond"/>
          <w:sz w:val="24"/>
          <w:szCs w:val="24"/>
        </w:rPr>
        <w:t xml:space="preserve"> de 1976 dans le second</w:t>
      </w:r>
      <w:r w:rsidR="006F7055">
        <w:rPr>
          <w:rFonts w:ascii="Garamond" w:hAnsi="Garamond"/>
          <w:sz w:val="24"/>
          <w:szCs w:val="24"/>
        </w:rPr>
        <w:t> ;</w:t>
      </w:r>
      <w:r w:rsidR="004B287F" w:rsidRPr="00205909">
        <w:rPr>
          <w:rFonts w:ascii="Garamond" w:hAnsi="Garamond"/>
          <w:sz w:val="24"/>
          <w:szCs w:val="24"/>
        </w:rPr>
        <w:t xml:space="preserve"> il </w:t>
      </w:r>
      <w:r w:rsidR="000A447F" w:rsidRPr="00205909">
        <w:rPr>
          <w:rFonts w:ascii="Garamond" w:hAnsi="Garamond"/>
          <w:sz w:val="24"/>
          <w:szCs w:val="24"/>
        </w:rPr>
        <w:t xml:space="preserve">ne fait </w:t>
      </w:r>
      <w:r w:rsidR="006F7055">
        <w:rPr>
          <w:rFonts w:ascii="Garamond" w:hAnsi="Garamond"/>
          <w:sz w:val="24"/>
          <w:szCs w:val="24"/>
        </w:rPr>
        <w:t xml:space="preserve">cependant guère </w:t>
      </w:r>
      <w:r w:rsidR="000A447F" w:rsidRPr="00205909">
        <w:rPr>
          <w:rFonts w:ascii="Garamond" w:hAnsi="Garamond"/>
          <w:sz w:val="24"/>
          <w:szCs w:val="24"/>
        </w:rPr>
        <w:t>de doute</w:t>
      </w:r>
      <w:r w:rsidR="004B287F" w:rsidRPr="00205909">
        <w:rPr>
          <w:rFonts w:ascii="Garamond" w:hAnsi="Garamond"/>
          <w:sz w:val="24"/>
          <w:szCs w:val="24"/>
        </w:rPr>
        <w:t xml:space="preserve"> que la solution, de principe, implique l’ensemble de ces interprétations</w:t>
      </w:r>
      <w:r w:rsidR="000A447F" w:rsidRPr="00205909">
        <w:rPr>
          <w:rFonts w:ascii="Garamond" w:hAnsi="Garamond"/>
          <w:sz w:val="24"/>
          <w:szCs w:val="24"/>
        </w:rPr>
        <w:t xml:space="preserve"> de règles, notamment extraterritoriales</w:t>
      </w:r>
      <w:r w:rsidR="004B287F" w:rsidRPr="00205909">
        <w:rPr>
          <w:rStyle w:val="Appelnotedebasdep"/>
          <w:rFonts w:ascii="Garamond" w:hAnsi="Garamond"/>
          <w:sz w:val="24"/>
          <w:szCs w:val="24"/>
        </w:rPr>
        <w:footnoteReference w:id="55"/>
      </w:r>
      <w:r w:rsidR="004B287F" w:rsidRPr="00205909">
        <w:rPr>
          <w:rFonts w:ascii="Garamond" w:hAnsi="Garamond"/>
          <w:sz w:val="24"/>
          <w:szCs w:val="24"/>
        </w:rPr>
        <w:t>.</w:t>
      </w:r>
    </w:p>
    <w:p w14:paraId="72AB6D20" w14:textId="77777777" w:rsidR="007D62B5" w:rsidRPr="00205909" w:rsidRDefault="007D62B5" w:rsidP="00F128AB">
      <w:pPr>
        <w:pStyle w:val="numerodeparagraphe"/>
        <w:numPr>
          <w:ilvl w:val="0"/>
          <w:numId w:val="0"/>
        </w:numPr>
        <w:suppressAutoHyphens/>
        <w:spacing w:before="0"/>
        <w:ind w:firstLine="426"/>
        <w:rPr>
          <w:rFonts w:ascii="Garamond" w:hAnsi="Garamond"/>
          <w:sz w:val="24"/>
          <w:szCs w:val="24"/>
        </w:rPr>
      </w:pPr>
    </w:p>
    <w:p w14:paraId="4F775DD5" w14:textId="71FBBBB7" w:rsidR="00102DBE" w:rsidRPr="00205909" w:rsidRDefault="00102DBE" w:rsidP="00102DBE">
      <w:pPr>
        <w:pStyle w:val="numerodeparagraphe"/>
        <w:numPr>
          <w:ilvl w:val="0"/>
          <w:numId w:val="0"/>
        </w:numPr>
        <w:suppressAutoHyphens/>
        <w:spacing w:before="0"/>
        <w:ind w:firstLine="454"/>
        <w:rPr>
          <w:rFonts w:ascii="Garamond" w:hAnsi="Garamond"/>
          <w:b/>
          <w:bCs/>
          <w:sz w:val="24"/>
          <w:szCs w:val="24"/>
        </w:rPr>
      </w:pPr>
      <w:r w:rsidRPr="00205909">
        <w:rPr>
          <w:rFonts w:ascii="Garamond" w:hAnsi="Garamond"/>
          <w:b/>
          <w:bCs/>
          <w:sz w:val="24"/>
          <w:szCs w:val="24"/>
        </w:rPr>
        <w:t>C. Efficacité</w:t>
      </w:r>
      <w:r w:rsidRPr="00205909">
        <w:rPr>
          <w:rFonts w:ascii="Garamond" w:hAnsi="Garamond"/>
          <w:sz w:val="24"/>
          <w:szCs w:val="24"/>
        </w:rPr>
        <w:t xml:space="preserve"> </w:t>
      </w:r>
      <w:r w:rsidRPr="00205909">
        <w:rPr>
          <w:rFonts w:ascii="Garamond" w:hAnsi="Garamond"/>
          <w:b/>
          <w:bCs/>
          <w:sz w:val="24"/>
          <w:szCs w:val="24"/>
        </w:rPr>
        <w:t xml:space="preserve">des règles du </w:t>
      </w:r>
      <w:proofErr w:type="spellStart"/>
      <w:r w:rsidRPr="00205909">
        <w:rPr>
          <w:rFonts w:ascii="Garamond" w:hAnsi="Garamond"/>
          <w:b/>
          <w:bCs/>
          <w:i/>
          <w:iCs/>
          <w:sz w:val="24"/>
          <w:szCs w:val="24"/>
        </w:rPr>
        <w:t>lawfare</w:t>
      </w:r>
      <w:proofErr w:type="spellEnd"/>
      <w:r w:rsidRPr="00205909">
        <w:rPr>
          <w:rFonts w:ascii="Garamond" w:hAnsi="Garamond"/>
          <w:b/>
          <w:bCs/>
          <w:i/>
          <w:iCs/>
          <w:sz w:val="24"/>
          <w:szCs w:val="24"/>
        </w:rPr>
        <w:t xml:space="preserve"> </w:t>
      </w:r>
      <w:r w:rsidRPr="00205909">
        <w:rPr>
          <w:rFonts w:ascii="Garamond" w:hAnsi="Garamond"/>
          <w:b/>
          <w:bCs/>
          <w:sz w:val="24"/>
          <w:szCs w:val="24"/>
        </w:rPr>
        <w:t>instrumentaire</w:t>
      </w:r>
    </w:p>
    <w:p w14:paraId="546B0791" w14:textId="77777777" w:rsidR="00102DBE" w:rsidRPr="00205909" w:rsidRDefault="00102DBE" w:rsidP="00102DBE">
      <w:pPr>
        <w:pStyle w:val="numerodeparagraphe"/>
        <w:numPr>
          <w:ilvl w:val="0"/>
          <w:numId w:val="0"/>
        </w:numPr>
        <w:suppressAutoHyphens/>
        <w:spacing w:before="0"/>
        <w:ind w:firstLine="454"/>
        <w:rPr>
          <w:rFonts w:ascii="Garamond" w:hAnsi="Garamond"/>
          <w:sz w:val="24"/>
          <w:szCs w:val="24"/>
        </w:rPr>
      </w:pPr>
    </w:p>
    <w:p w14:paraId="7638ED44" w14:textId="47D0083A" w:rsidR="005F767C" w:rsidRPr="00205909" w:rsidRDefault="002F3B4D" w:rsidP="007F1788">
      <w:pPr>
        <w:widowControl w:val="0"/>
        <w:numPr>
          <w:ilvl w:val="0"/>
          <w:numId w:val="2"/>
        </w:numPr>
        <w:spacing w:after="0" w:line="240" w:lineRule="auto"/>
        <w:ind w:right="-1"/>
        <w:jc w:val="both"/>
        <w:rPr>
          <w:rFonts w:ascii="Garamond" w:hAnsi="Garamond" w:cs="Times New Roman"/>
          <w:sz w:val="24"/>
          <w:szCs w:val="24"/>
        </w:rPr>
      </w:pPr>
      <w:r w:rsidRPr="00205909">
        <w:rPr>
          <w:rFonts w:ascii="Garamond" w:hAnsi="Garamond" w:cs="Times New Roman"/>
          <w:sz w:val="24"/>
          <w:szCs w:val="24"/>
        </w:rPr>
        <w:t>L</w:t>
      </w:r>
      <w:r w:rsidR="00102DBE" w:rsidRPr="00205909">
        <w:rPr>
          <w:rFonts w:ascii="Garamond" w:hAnsi="Garamond" w:cs="Times New Roman"/>
          <w:sz w:val="24"/>
          <w:szCs w:val="24"/>
        </w:rPr>
        <w:t>’efficacité globale de ces règles est difficile à évaluer, tant elle dépend de facteurs variés comme l’intensité de leur application par les juges, l’acuité de l’utilisation des diverses ressources processuelles, notamment dans un contexte international</w:t>
      </w:r>
      <w:r w:rsidR="00F017DC" w:rsidRPr="00205909">
        <w:rPr>
          <w:rStyle w:val="Appelnotedebasdep"/>
          <w:rFonts w:ascii="Garamond" w:hAnsi="Garamond" w:cs="Times New Roman"/>
          <w:sz w:val="24"/>
          <w:szCs w:val="24"/>
        </w:rPr>
        <w:footnoteReference w:id="56"/>
      </w:r>
      <w:r w:rsidR="00102DBE" w:rsidRPr="00205909">
        <w:rPr>
          <w:rFonts w:ascii="Garamond" w:hAnsi="Garamond" w:cs="Times New Roman"/>
          <w:sz w:val="24"/>
          <w:szCs w:val="24"/>
        </w:rPr>
        <w:t>. Par exemple, les règles en matière d’application extraterritoriale d’un droit interne, peuvent être contestée en interne, comme aux Etats-Unis</w:t>
      </w:r>
      <w:r w:rsidR="005F767C" w:rsidRPr="00205909">
        <w:rPr>
          <w:rFonts w:ascii="Garamond" w:hAnsi="Garamond" w:cs="Times New Roman"/>
          <w:sz w:val="24"/>
          <w:szCs w:val="24"/>
        </w:rPr>
        <w:t>. Elles sont souvent contestée</w:t>
      </w:r>
      <w:r w:rsidR="009A2DE1" w:rsidRPr="00205909">
        <w:rPr>
          <w:rFonts w:ascii="Garamond" w:hAnsi="Garamond" w:cs="Times New Roman"/>
          <w:sz w:val="24"/>
          <w:szCs w:val="24"/>
        </w:rPr>
        <w:t>s</w:t>
      </w:r>
      <w:r w:rsidR="00102DBE" w:rsidRPr="00205909">
        <w:rPr>
          <w:rFonts w:ascii="Garamond" w:hAnsi="Garamond" w:cs="Times New Roman"/>
          <w:sz w:val="24"/>
          <w:szCs w:val="24"/>
        </w:rPr>
        <w:t xml:space="preserve"> à l’étranger, comme en atteste le rejet de l’application des lois de blocage française devant les juridictions américaine, qui aboutiraient paradoxalement à reconnaître l’efficacité extraterritoriale de la règle française aux Etats-Unis</w:t>
      </w:r>
      <w:r w:rsidR="005F767C" w:rsidRPr="00205909">
        <w:rPr>
          <w:rFonts w:ascii="Garamond" w:hAnsi="Garamond" w:cs="Times New Roman"/>
          <w:sz w:val="24"/>
          <w:szCs w:val="24"/>
          <w:vertAlign w:val="superscript"/>
        </w:rPr>
        <w:footnoteReference w:id="57"/>
      </w:r>
      <w:r w:rsidR="005F767C" w:rsidRPr="00205909">
        <w:rPr>
          <w:rFonts w:ascii="Garamond" w:hAnsi="Garamond" w:cs="Times New Roman"/>
          <w:sz w:val="24"/>
          <w:szCs w:val="24"/>
        </w:rPr>
        <w:t xml:space="preserve">. </w:t>
      </w:r>
    </w:p>
    <w:p w14:paraId="0A1F6A61" w14:textId="6E5675F0" w:rsidR="005F767C" w:rsidRPr="00205909" w:rsidRDefault="005F767C" w:rsidP="005F767C">
      <w:pPr>
        <w:widowControl w:val="0"/>
        <w:spacing w:after="0" w:line="240" w:lineRule="auto"/>
        <w:ind w:right="-1" w:firstLine="454"/>
        <w:jc w:val="both"/>
        <w:rPr>
          <w:rFonts w:ascii="Garamond" w:hAnsi="Garamond" w:cs="Times New Roman"/>
          <w:sz w:val="24"/>
          <w:szCs w:val="24"/>
        </w:rPr>
      </w:pPr>
      <w:r w:rsidRPr="00205909">
        <w:rPr>
          <w:rFonts w:ascii="Garamond" w:hAnsi="Garamond" w:cs="Times New Roman"/>
          <w:sz w:val="24"/>
          <w:szCs w:val="24"/>
        </w:rPr>
        <w:t>Des règles plus substantielles, comme l</w:t>
      </w:r>
      <w:r w:rsidR="002F3B4D" w:rsidRPr="00205909">
        <w:rPr>
          <w:rFonts w:ascii="Garamond" w:hAnsi="Garamond" w:cs="Times New Roman"/>
          <w:sz w:val="24"/>
          <w:szCs w:val="24"/>
        </w:rPr>
        <w:t>e principe de l’immunité de juridiction des Etats</w:t>
      </w:r>
      <w:r w:rsidR="006F7055">
        <w:rPr>
          <w:rFonts w:ascii="Garamond" w:hAnsi="Garamond" w:cs="Times New Roman"/>
          <w:sz w:val="24"/>
          <w:szCs w:val="24"/>
        </w:rPr>
        <w:t>,</w:t>
      </w:r>
      <w:r w:rsidRPr="00205909">
        <w:rPr>
          <w:rFonts w:ascii="Garamond" w:hAnsi="Garamond" w:cs="Times New Roman"/>
          <w:sz w:val="24"/>
          <w:szCs w:val="24"/>
        </w:rPr>
        <w:t xml:space="preserve"> rendent inefficaces l’application de </w:t>
      </w:r>
      <w:r w:rsidR="006F7055">
        <w:rPr>
          <w:rFonts w:ascii="Garamond" w:hAnsi="Garamond" w:cs="Times New Roman"/>
          <w:sz w:val="24"/>
          <w:szCs w:val="24"/>
        </w:rPr>
        <w:t xml:space="preserve">certaines règles pouvant être considérées comme de </w:t>
      </w:r>
      <w:proofErr w:type="spellStart"/>
      <w:r w:rsidR="006F7055" w:rsidRPr="006F7055">
        <w:rPr>
          <w:rFonts w:ascii="Garamond" w:hAnsi="Garamond" w:cs="Times New Roman"/>
          <w:i/>
          <w:iCs/>
          <w:sz w:val="24"/>
          <w:szCs w:val="24"/>
        </w:rPr>
        <w:t>lawfare</w:t>
      </w:r>
      <w:proofErr w:type="spellEnd"/>
      <w:r w:rsidR="006F7055">
        <w:rPr>
          <w:rFonts w:ascii="Garamond" w:hAnsi="Garamond" w:cs="Times New Roman"/>
          <w:sz w:val="24"/>
          <w:szCs w:val="24"/>
        </w:rPr>
        <w:t xml:space="preserve"> </w:t>
      </w:r>
      <w:r w:rsidR="006F7055" w:rsidRPr="006F7055">
        <w:rPr>
          <w:rFonts w:ascii="Garamond" w:hAnsi="Garamond" w:cs="Times New Roman"/>
          <w:sz w:val="24"/>
          <w:szCs w:val="24"/>
        </w:rPr>
        <w:t>instrumentaire</w:t>
      </w:r>
      <w:r w:rsidR="006F7055">
        <w:rPr>
          <w:rFonts w:ascii="Garamond" w:hAnsi="Garamond" w:cs="Times New Roman"/>
          <w:sz w:val="24"/>
          <w:szCs w:val="24"/>
        </w:rPr>
        <w:t xml:space="preserve"> selon la manière dont elles sont utilisées,</w:t>
      </w:r>
      <w:r w:rsidR="006F7055">
        <w:rPr>
          <w:rFonts w:ascii="Garamond" w:hAnsi="Garamond" w:cs="Times New Roman"/>
          <w:i/>
          <w:iCs/>
          <w:sz w:val="24"/>
          <w:szCs w:val="24"/>
        </w:rPr>
        <w:t xml:space="preserve"> </w:t>
      </w:r>
      <w:r w:rsidR="006F7055">
        <w:rPr>
          <w:rFonts w:ascii="Garamond" w:hAnsi="Garamond" w:cs="Times New Roman"/>
          <w:sz w:val="24"/>
          <w:szCs w:val="24"/>
        </w:rPr>
        <w:t>d’importance majeure, notamment les règles en matière de violation des droits humains</w:t>
      </w:r>
      <w:r w:rsidRPr="00205909">
        <w:rPr>
          <w:rFonts w:ascii="Garamond" w:hAnsi="Garamond" w:cs="Times New Roman"/>
          <w:sz w:val="24"/>
          <w:szCs w:val="24"/>
        </w:rPr>
        <w:t xml:space="preserve">. Au-delà de l’exception liée à la renonciation à cette immunité, par exemple par l’adhésion à une clause compromissoire, la question de la gravité du comportement d’un Etat, comprise comme la violation des règles du droit international impératif dit de </w:t>
      </w:r>
      <w:r w:rsidRPr="00205909">
        <w:rPr>
          <w:rFonts w:ascii="Garamond" w:hAnsi="Garamond" w:cs="Times New Roman"/>
          <w:i/>
          <w:iCs/>
          <w:sz w:val="24"/>
          <w:szCs w:val="24"/>
        </w:rPr>
        <w:t>jus cogens</w:t>
      </w:r>
      <w:r w:rsidRPr="00205909">
        <w:rPr>
          <w:rFonts w:ascii="Garamond" w:hAnsi="Garamond" w:cs="Times New Roman"/>
          <w:sz w:val="24"/>
          <w:szCs w:val="24"/>
          <w:vertAlign w:val="superscript"/>
        </w:rPr>
        <w:footnoteReference w:id="58"/>
      </w:r>
      <w:r w:rsidRPr="00205909">
        <w:rPr>
          <w:rFonts w:ascii="Garamond" w:hAnsi="Garamond" w:cs="Times New Roman"/>
          <w:sz w:val="24"/>
          <w:szCs w:val="24"/>
        </w:rPr>
        <w:t>, c’est-à-dire des violations particulièrement graves dont les violations des droits humains par des crimes de guerre, contre l’humanité, actes de terrorisme ou de soutien au terrorisme, etc.</w:t>
      </w:r>
      <w:r w:rsidRPr="00205909">
        <w:rPr>
          <w:rFonts w:ascii="Garamond" w:hAnsi="Garamond" w:cs="Times New Roman"/>
          <w:sz w:val="24"/>
          <w:szCs w:val="24"/>
          <w:vertAlign w:val="superscript"/>
        </w:rPr>
        <w:t xml:space="preserve"> </w:t>
      </w:r>
      <w:r w:rsidRPr="00205909">
        <w:rPr>
          <w:rFonts w:ascii="Garamond" w:hAnsi="Garamond" w:cs="Times New Roman"/>
          <w:sz w:val="24"/>
          <w:szCs w:val="24"/>
          <w:vertAlign w:val="superscript"/>
        </w:rPr>
        <w:footnoteReference w:id="59"/>
      </w:r>
      <w:r w:rsidR="00F017DC" w:rsidRPr="00205909">
        <w:rPr>
          <w:rFonts w:ascii="Garamond" w:hAnsi="Garamond" w:cs="Times New Roman"/>
          <w:sz w:val="24"/>
          <w:szCs w:val="24"/>
        </w:rPr>
        <w:t xml:space="preserve">, </w:t>
      </w:r>
      <w:r w:rsidRPr="00205909">
        <w:rPr>
          <w:rFonts w:ascii="Garamond" w:hAnsi="Garamond" w:cs="Times New Roman"/>
          <w:sz w:val="24"/>
          <w:szCs w:val="24"/>
        </w:rPr>
        <w:t xml:space="preserve">reprise dans la Convention des Nations Unies </w:t>
      </w:r>
      <w:bookmarkStart w:id="21" w:name="_Hlk160613993"/>
      <w:r w:rsidRPr="00205909">
        <w:rPr>
          <w:rFonts w:ascii="Garamond" w:hAnsi="Garamond" w:cs="Times New Roman"/>
          <w:sz w:val="24"/>
          <w:szCs w:val="24"/>
        </w:rPr>
        <w:t>sur les immunité</w:t>
      </w:r>
      <w:bookmarkEnd w:id="21"/>
      <w:r w:rsidRPr="00205909">
        <w:rPr>
          <w:rFonts w:ascii="Garamond" w:hAnsi="Garamond" w:cs="Times New Roman"/>
          <w:sz w:val="24"/>
          <w:szCs w:val="24"/>
        </w:rPr>
        <w:t>s juridictionnelles des États et de leurs biens du 2 décembre 2004</w:t>
      </w:r>
      <w:r w:rsidR="00A52E52" w:rsidRPr="00205909">
        <w:rPr>
          <w:rFonts w:ascii="Garamond" w:hAnsi="Garamond" w:cs="Times New Roman"/>
          <w:sz w:val="24"/>
          <w:szCs w:val="24"/>
        </w:rPr>
        <w:t>,</w:t>
      </w:r>
      <w:r w:rsidRPr="00205909">
        <w:rPr>
          <w:rFonts w:ascii="Garamond" w:hAnsi="Garamond" w:cs="Times New Roman"/>
          <w:sz w:val="24"/>
          <w:szCs w:val="24"/>
        </w:rPr>
        <w:t xml:space="preserve"> non encore entrée en vigueur</w:t>
      </w:r>
      <w:r w:rsidRPr="00205909">
        <w:rPr>
          <w:rStyle w:val="Appelnotedebasdep"/>
          <w:rFonts w:ascii="Garamond" w:hAnsi="Garamond" w:cs="Times New Roman"/>
          <w:sz w:val="24"/>
          <w:szCs w:val="24"/>
        </w:rPr>
        <w:footnoteReference w:id="60"/>
      </w:r>
      <w:r w:rsidRPr="00205909">
        <w:rPr>
          <w:rFonts w:ascii="Garamond" w:hAnsi="Garamond" w:cs="Times New Roman"/>
          <w:sz w:val="24"/>
          <w:szCs w:val="24"/>
        </w:rPr>
        <w:t xml:space="preserve"> mais parfois déjà considérée comme de droit coutumier, par la CEDH notamment</w:t>
      </w:r>
      <w:r w:rsidRPr="00205909">
        <w:rPr>
          <w:rStyle w:val="Appelnotedebasdep"/>
          <w:rFonts w:ascii="Garamond" w:hAnsi="Garamond" w:cs="Times New Roman"/>
          <w:sz w:val="24"/>
          <w:szCs w:val="24"/>
        </w:rPr>
        <w:footnoteReference w:id="61"/>
      </w:r>
      <w:r w:rsidRPr="00205909">
        <w:rPr>
          <w:rFonts w:ascii="Garamond" w:hAnsi="Garamond" w:cs="Times New Roman"/>
          <w:sz w:val="24"/>
          <w:szCs w:val="24"/>
        </w:rPr>
        <w:t>, à la différence de la CIJ</w:t>
      </w:r>
      <w:r w:rsidRPr="00205909">
        <w:rPr>
          <w:rFonts w:ascii="Garamond" w:hAnsi="Garamond" w:cs="Times New Roman"/>
          <w:sz w:val="24"/>
          <w:szCs w:val="24"/>
          <w:vertAlign w:val="superscript"/>
        </w:rPr>
        <w:footnoteReference w:id="62"/>
      </w:r>
      <w:r w:rsidRPr="00205909">
        <w:rPr>
          <w:rFonts w:ascii="Garamond" w:hAnsi="Garamond" w:cs="Times New Roman"/>
          <w:sz w:val="24"/>
          <w:szCs w:val="24"/>
        </w:rPr>
        <w:t>. L’exception est en revanche de droit positif aux Etats-Unis, depuis 1996 à travers l</w:t>
      </w:r>
      <w:r w:rsidR="00E54ED3">
        <w:rPr>
          <w:rFonts w:ascii="Garamond" w:hAnsi="Garamond" w:cs="Times New Roman"/>
          <w:sz w:val="24"/>
          <w:szCs w:val="24"/>
        </w:rPr>
        <w:t>’insertion d’un</w:t>
      </w:r>
      <w:r w:rsidRPr="00205909">
        <w:rPr>
          <w:rFonts w:ascii="Garamond" w:hAnsi="Garamond" w:cs="Times New Roman"/>
          <w:sz w:val="24"/>
          <w:szCs w:val="24"/>
        </w:rPr>
        <w:t>e « </w:t>
      </w:r>
      <w:proofErr w:type="spellStart"/>
      <w:r w:rsidR="00407F60">
        <w:rPr>
          <w:rFonts w:ascii="Garamond" w:hAnsi="Garamond" w:cs="Times New Roman"/>
          <w:i/>
          <w:iCs/>
          <w:sz w:val="24"/>
          <w:szCs w:val="24"/>
        </w:rPr>
        <w:t>T</w:t>
      </w:r>
      <w:r w:rsidRPr="00205909">
        <w:rPr>
          <w:rFonts w:ascii="Garamond" w:hAnsi="Garamond" w:cs="Times New Roman"/>
          <w:i/>
          <w:iCs/>
          <w:sz w:val="24"/>
          <w:szCs w:val="24"/>
        </w:rPr>
        <w:t>errorism</w:t>
      </w:r>
      <w:proofErr w:type="spellEnd"/>
      <w:r w:rsidRPr="00205909">
        <w:rPr>
          <w:rFonts w:ascii="Garamond" w:hAnsi="Garamond" w:cs="Times New Roman"/>
          <w:i/>
          <w:iCs/>
          <w:sz w:val="24"/>
          <w:szCs w:val="24"/>
        </w:rPr>
        <w:t xml:space="preserve"> </w:t>
      </w:r>
      <w:r w:rsidR="00407F60">
        <w:rPr>
          <w:rFonts w:ascii="Garamond" w:hAnsi="Garamond" w:cs="Times New Roman"/>
          <w:i/>
          <w:iCs/>
          <w:sz w:val="24"/>
          <w:szCs w:val="24"/>
        </w:rPr>
        <w:t>E</w:t>
      </w:r>
      <w:r w:rsidR="006F7055" w:rsidRPr="00205909">
        <w:rPr>
          <w:rFonts w:ascii="Garamond" w:hAnsi="Garamond" w:cs="Times New Roman"/>
          <w:i/>
          <w:iCs/>
          <w:sz w:val="24"/>
          <w:szCs w:val="24"/>
        </w:rPr>
        <w:t>xception</w:t>
      </w:r>
      <w:r w:rsidRPr="00205909">
        <w:rPr>
          <w:rFonts w:ascii="Garamond" w:hAnsi="Garamond" w:cs="Times New Roman"/>
          <w:i/>
          <w:iCs/>
          <w:sz w:val="24"/>
          <w:szCs w:val="24"/>
        </w:rPr>
        <w:t> »</w:t>
      </w:r>
      <w:r w:rsidRPr="00205909">
        <w:rPr>
          <w:rFonts w:ascii="Garamond" w:hAnsi="Garamond" w:cs="Times New Roman"/>
          <w:sz w:val="24"/>
          <w:szCs w:val="24"/>
        </w:rPr>
        <w:t xml:space="preserve"> </w:t>
      </w:r>
      <w:r w:rsidR="00407F60">
        <w:rPr>
          <w:rFonts w:ascii="Garamond" w:hAnsi="Garamond" w:cs="Times New Roman"/>
          <w:sz w:val="24"/>
          <w:szCs w:val="24"/>
        </w:rPr>
        <w:t>modifiant</w:t>
      </w:r>
      <w:r w:rsidR="00E54ED3" w:rsidRPr="00205909">
        <w:rPr>
          <w:rFonts w:ascii="Garamond" w:hAnsi="Garamond" w:cs="Times New Roman"/>
          <w:sz w:val="24"/>
          <w:szCs w:val="24"/>
        </w:rPr>
        <w:t xml:space="preserve"> le </w:t>
      </w:r>
      <w:proofErr w:type="spellStart"/>
      <w:r w:rsidR="00E54ED3" w:rsidRPr="00205909">
        <w:rPr>
          <w:rFonts w:ascii="Garamond" w:hAnsi="Garamond" w:cs="Times New Roman"/>
          <w:i/>
          <w:iCs/>
          <w:sz w:val="24"/>
          <w:szCs w:val="24"/>
        </w:rPr>
        <w:t>Federal</w:t>
      </w:r>
      <w:proofErr w:type="spellEnd"/>
      <w:r w:rsidR="00E54ED3" w:rsidRPr="00205909">
        <w:rPr>
          <w:rFonts w:ascii="Garamond" w:hAnsi="Garamond" w:cs="Times New Roman"/>
          <w:i/>
          <w:iCs/>
          <w:sz w:val="24"/>
          <w:szCs w:val="24"/>
        </w:rPr>
        <w:t xml:space="preserve"> Sovereign </w:t>
      </w:r>
      <w:proofErr w:type="spellStart"/>
      <w:r w:rsidR="00E54ED3" w:rsidRPr="00205909">
        <w:rPr>
          <w:rFonts w:ascii="Garamond" w:hAnsi="Garamond" w:cs="Times New Roman"/>
          <w:i/>
          <w:iCs/>
          <w:sz w:val="24"/>
          <w:szCs w:val="24"/>
        </w:rPr>
        <w:t>Immunity</w:t>
      </w:r>
      <w:proofErr w:type="spellEnd"/>
      <w:r w:rsidR="00E54ED3" w:rsidRPr="00205909">
        <w:rPr>
          <w:rFonts w:ascii="Garamond" w:hAnsi="Garamond" w:cs="Times New Roman"/>
          <w:i/>
          <w:iCs/>
          <w:sz w:val="24"/>
          <w:szCs w:val="24"/>
        </w:rPr>
        <w:t xml:space="preserve"> </w:t>
      </w:r>
      <w:proofErr w:type="spellStart"/>
      <w:r w:rsidR="00E54ED3" w:rsidRPr="00205909">
        <w:rPr>
          <w:rFonts w:ascii="Garamond" w:hAnsi="Garamond" w:cs="Times New Roman"/>
          <w:i/>
          <w:iCs/>
          <w:sz w:val="24"/>
          <w:szCs w:val="24"/>
        </w:rPr>
        <w:t>Act</w:t>
      </w:r>
      <w:proofErr w:type="spellEnd"/>
      <w:r w:rsidR="00E54ED3">
        <w:rPr>
          <w:rFonts w:ascii="Garamond" w:hAnsi="Garamond" w:cs="Times New Roman"/>
          <w:sz w:val="24"/>
          <w:szCs w:val="24"/>
        </w:rPr>
        <w:t xml:space="preserve"> adopté en 1976</w:t>
      </w:r>
      <w:r w:rsidR="00E54ED3" w:rsidRPr="00205909">
        <w:rPr>
          <w:rFonts w:ascii="Garamond" w:hAnsi="Garamond" w:cs="Times New Roman"/>
          <w:sz w:val="24"/>
          <w:szCs w:val="24"/>
        </w:rPr>
        <w:t xml:space="preserve">, </w:t>
      </w:r>
      <w:r w:rsidRPr="00205909">
        <w:rPr>
          <w:rFonts w:ascii="Garamond" w:hAnsi="Garamond" w:cs="Times New Roman"/>
          <w:sz w:val="24"/>
          <w:szCs w:val="24"/>
        </w:rPr>
        <w:t xml:space="preserve">ce qui a conduit à des actions </w:t>
      </w:r>
      <w:r w:rsidR="00F56AD9" w:rsidRPr="00205909">
        <w:rPr>
          <w:rFonts w:ascii="Garamond" w:hAnsi="Garamond" w:cs="Times New Roman"/>
          <w:sz w:val="24"/>
          <w:szCs w:val="24"/>
        </w:rPr>
        <w:t>assez extraordinaires aux Etats-Unis, comprises comme « </w:t>
      </w:r>
      <w:r w:rsidR="00F56AD9" w:rsidRPr="00205909">
        <w:rPr>
          <w:rFonts w:ascii="Garamond" w:hAnsi="Garamond" w:cs="Times New Roman"/>
          <w:i/>
          <w:iCs/>
          <w:sz w:val="24"/>
          <w:szCs w:val="24"/>
        </w:rPr>
        <w:t>l’affaire Peterson »</w:t>
      </w:r>
      <w:r w:rsidR="00F56AD9" w:rsidRPr="00205909">
        <w:rPr>
          <w:rFonts w:ascii="Garamond" w:hAnsi="Garamond" w:cs="Times New Roman"/>
          <w:sz w:val="24"/>
          <w:szCs w:val="24"/>
        </w:rPr>
        <w:t xml:space="preserve"> à la suite des attentats de 1983 </w:t>
      </w:r>
      <w:r w:rsidR="00E54ED3">
        <w:rPr>
          <w:rFonts w:ascii="Garamond" w:hAnsi="Garamond" w:cs="Times New Roman"/>
          <w:sz w:val="24"/>
          <w:szCs w:val="24"/>
        </w:rPr>
        <w:t xml:space="preserve">à Beyrouth </w:t>
      </w:r>
      <w:r w:rsidR="00F56AD9" w:rsidRPr="00205909">
        <w:rPr>
          <w:rFonts w:ascii="Garamond" w:hAnsi="Garamond" w:cs="Times New Roman"/>
          <w:sz w:val="24"/>
          <w:szCs w:val="24"/>
        </w:rPr>
        <w:t>contre les positions françaises (58 morts) ou américaines (241 morts). Alors que le département d’Etat américain considérait qu’il ne pourrait jamais obtenir le genre de preuves utilis</w:t>
      </w:r>
      <w:r w:rsidR="00E54ED3">
        <w:rPr>
          <w:rFonts w:ascii="Garamond" w:hAnsi="Garamond" w:cs="Times New Roman"/>
          <w:sz w:val="24"/>
          <w:szCs w:val="24"/>
        </w:rPr>
        <w:t>abl</w:t>
      </w:r>
      <w:r w:rsidR="00F56AD9" w:rsidRPr="00205909">
        <w:rPr>
          <w:rFonts w:ascii="Garamond" w:hAnsi="Garamond" w:cs="Times New Roman"/>
          <w:sz w:val="24"/>
          <w:szCs w:val="24"/>
        </w:rPr>
        <w:t>es devant un</w:t>
      </w:r>
      <w:r w:rsidR="00E54ED3">
        <w:rPr>
          <w:rFonts w:ascii="Garamond" w:hAnsi="Garamond" w:cs="Times New Roman"/>
          <w:sz w:val="24"/>
          <w:szCs w:val="24"/>
        </w:rPr>
        <w:t xml:space="preserve"> juge </w:t>
      </w:r>
      <w:r w:rsidR="00F56AD9" w:rsidRPr="00205909">
        <w:rPr>
          <w:rFonts w:ascii="Garamond" w:hAnsi="Garamond" w:cs="Times New Roman"/>
          <w:sz w:val="24"/>
          <w:szCs w:val="24"/>
        </w:rPr>
        <w:t xml:space="preserve">pour justifier des représailles armées, au regard des règles internationales de la guerre, la famille d’un soldat, </w:t>
      </w:r>
      <w:r w:rsidR="00F56AD9" w:rsidRPr="00205909">
        <w:rPr>
          <w:rFonts w:ascii="Garamond" w:hAnsi="Garamond" w:cs="Times New Roman"/>
          <w:i/>
          <w:iCs/>
          <w:sz w:val="24"/>
          <w:szCs w:val="24"/>
        </w:rPr>
        <w:t>Peterson</w:t>
      </w:r>
      <w:r w:rsidR="00E54ED3">
        <w:rPr>
          <w:rFonts w:ascii="Garamond" w:hAnsi="Garamond" w:cs="Times New Roman"/>
          <w:sz w:val="24"/>
          <w:szCs w:val="24"/>
        </w:rPr>
        <w:t>,</w:t>
      </w:r>
      <w:r w:rsidR="00F56AD9" w:rsidRPr="00205909">
        <w:rPr>
          <w:rFonts w:ascii="Garamond" w:hAnsi="Garamond" w:cs="Times New Roman"/>
          <w:sz w:val="24"/>
          <w:szCs w:val="24"/>
        </w:rPr>
        <w:t xml:space="preserve"> a obtenu, à la suite d’un lo</w:t>
      </w:r>
      <w:r w:rsidR="00E54ED3">
        <w:rPr>
          <w:rFonts w:ascii="Garamond" w:hAnsi="Garamond" w:cs="Times New Roman"/>
          <w:sz w:val="24"/>
          <w:szCs w:val="24"/>
        </w:rPr>
        <w:t>n</w:t>
      </w:r>
      <w:r w:rsidR="00F56AD9" w:rsidRPr="00205909">
        <w:rPr>
          <w:rFonts w:ascii="Garamond" w:hAnsi="Garamond" w:cs="Times New Roman"/>
          <w:sz w:val="24"/>
          <w:szCs w:val="24"/>
        </w:rPr>
        <w:t>g combat judiciaire, conduit dans des conditions rocambolesques</w:t>
      </w:r>
      <w:r w:rsidR="00F56AD9" w:rsidRPr="00205909">
        <w:rPr>
          <w:rStyle w:val="Appelnotedebasdep"/>
          <w:rFonts w:ascii="Garamond" w:hAnsi="Garamond" w:cs="Times New Roman"/>
          <w:sz w:val="24"/>
          <w:szCs w:val="24"/>
        </w:rPr>
        <w:footnoteReference w:id="63"/>
      </w:r>
      <w:r w:rsidR="00F56AD9" w:rsidRPr="00205909">
        <w:rPr>
          <w:rFonts w:ascii="Garamond" w:hAnsi="Garamond" w:cs="Times New Roman"/>
          <w:sz w:val="24"/>
          <w:szCs w:val="24"/>
        </w:rPr>
        <w:t>, des sommes considérables contre l’Etat de la République Islamique d’Iran</w:t>
      </w:r>
      <w:r w:rsidR="00F56AD9" w:rsidRPr="00205909">
        <w:rPr>
          <w:rStyle w:val="Appelnotedebasdep"/>
          <w:rFonts w:ascii="Garamond" w:hAnsi="Garamond" w:cs="Times New Roman"/>
          <w:sz w:val="24"/>
          <w:szCs w:val="24"/>
        </w:rPr>
        <w:footnoteReference w:id="64"/>
      </w:r>
      <w:r w:rsidR="00F56AD9" w:rsidRPr="00205909">
        <w:rPr>
          <w:rFonts w:ascii="Garamond" w:hAnsi="Garamond" w:cs="Times New Roman"/>
          <w:sz w:val="24"/>
          <w:szCs w:val="24"/>
        </w:rPr>
        <w:t>, qui, en retour déclenchait un litige contre les Etats-Unis devant la CIJ</w:t>
      </w:r>
      <w:r w:rsidR="00F56AD9" w:rsidRPr="00205909">
        <w:rPr>
          <w:rStyle w:val="Appelnotedebasdep"/>
          <w:rFonts w:ascii="Garamond" w:hAnsi="Garamond" w:cs="Times New Roman"/>
          <w:sz w:val="24"/>
          <w:szCs w:val="24"/>
        </w:rPr>
        <w:footnoteReference w:id="65"/>
      </w:r>
      <w:r w:rsidR="00A52E52" w:rsidRPr="00205909">
        <w:rPr>
          <w:rFonts w:ascii="Garamond" w:hAnsi="Garamond" w:cs="Times New Roman"/>
          <w:sz w:val="24"/>
          <w:szCs w:val="24"/>
        </w:rPr>
        <w:t>.</w:t>
      </w:r>
    </w:p>
    <w:p w14:paraId="6A00EE4C" w14:textId="21F3C0FD" w:rsidR="00F017DC" w:rsidRPr="00205909" w:rsidRDefault="00F017DC" w:rsidP="005F767C">
      <w:pPr>
        <w:widowControl w:val="0"/>
        <w:spacing w:after="0" w:line="240" w:lineRule="auto"/>
        <w:ind w:right="-1" w:firstLine="454"/>
        <w:jc w:val="both"/>
        <w:rPr>
          <w:rFonts w:ascii="Garamond" w:hAnsi="Garamond" w:cs="Times New Roman"/>
          <w:sz w:val="24"/>
          <w:szCs w:val="24"/>
        </w:rPr>
      </w:pPr>
      <w:r w:rsidRPr="00205909">
        <w:rPr>
          <w:rFonts w:ascii="Garamond" w:hAnsi="Garamond" w:cs="Times New Roman"/>
          <w:sz w:val="24"/>
          <w:szCs w:val="24"/>
        </w:rPr>
        <w:t>Impossible en</w:t>
      </w:r>
      <w:r w:rsidR="00407F60">
        <w:rPr>
          <w:rFonts w:ascii="Garamond" w:hAnsi="Garamond" w:cs="Times New Roman"/>
          <w:sz w:val="24"/>
          <w:szCs w:val="24"/>
        </w:rPr>
        <w:t>core en</w:t>
      </w:r>
      <w:r w:rsidRPr="00205909">
        <w:rPr>
          <w:rFonts w:ascii="Garamond" w:hAnsi="Garamond" w:cs="Times New Roman"/>
          <w:sz w:val="24"/>
          <w:szCs w:val="24"/>
        </w:rPr>
        <w:t xml:space="preserve"> France malgré le caractère insupportable de l’autorité du principe de l’immunité de juridiction d’un Etat auteur ou complice de tels crimes</w:t>
      </w:r>
      <w:r w:rsidRPr="00205909">
        <w:rPr>
          <w:rStyle w:val="Appelnotedebasdep"/>
          <w:rFonts w:ascii="Garamond" w:hAnsi="Garamond" w:cs="Times New Roman"/>
          <w:sz w:val="24"/>
          <w:szCs w:val="24"/>
        </w:rPr>
        <w:footnoteReference w:id="66"/>
      </w:r>
      <w:r w:rsidRPr="00205909">
        <w:rPr>
          <w:rFonts w:ascii="Garamond" w:hAnsi="Garamond" w:cs="Times New Roman"/>
          <w:sz w:val="24"/>
          <w:szCs w:val="24"/>
        </w:rPr>
        <w:t>, il reste que des actions menées par des entités privée</w:t>
      </w:r>
      <w:r w:rsidR="00E54ED3">
        <w:rPr>
          <w:rFonts w:ascii="Garamond" w:hAnsi="Garamond" w:cs="Times New Roman"/>
          <w:sz w:val="24"/>
          <w:szCs w:val="24"/>
        </w:rPr>
        <w:t>s</w:t>
      </w:r>
      <w:r w:rsidRPr="00205909">
        <w:rPr>
          <w:rFonts w:ascii="Garamond" w:hAnsi="Garamond" w:cs="Times New Roman"/>
          <w:sz w:val="24"/>
          <w:szCs w:val="24"/>
        </w:rPr>
        <w:t xml:space="preserve">, des associations de défense des droits humains notamment, conduisent des actions civiles ou pénales, par exemple pour complicité de crime de guerre ou contre l’humanité </w:t>
      </w:r>
      <w:r w:rsidR="00E54ED3">
        <w:rPr>
          <w:rFonts w:ascii="Garamond" w:hAnsi="Garamond" w:cs="Times New Roman"/>
          <w:sz w:val="24"/>
          <w:szCs w:val="24"/>
        </w:rPr>
        <w:t>à l’en</w:t>
      </w:r>
      <w:r w:rsidRPr="00205909">
        <w:rPr>
          <w:rFonts w:ascii="Garamond" w:hAnsi="Garamond" w:cs="Times New Roman"/>
          <w:sz w:val="24"/>
          <w:szCs w:val="24"/>
        </w:rPr>
        <w:t>contre d</w:t>
      </w:r>
      <w:r w:rsidR="00E54ED3">
        <w:rPr>
          <w:rFonts w:ascii="Garamond" w:hAnsi="Garamond" w:cs="Times New Roman"/>
          <w:sz w:val="24"/>
          <w:szCs w:val="24"/>
        </w:rPr>
        <w:t>’</w:t>
      </w:r>
      <w:r w:rsidRPr="00205909">
        <w:rPr>
          <w:rFonts w:ascii="Garamond" w:hAnsi="Garamond" w:cs="Times New Roman"/>
          <w:sz w:val="24"/>
          <w:szCs w:val="24"/>
        </w:rPr>
        <w:t>entreprises multinationales</w:t>
      </w:r>
      <w:r w:rsidR="00E54ED3">
        <w:rPr>
          <w:rFonts w:ascii="Garamond" w:hAnsi="Garamond" w:cs="Times New Roman"/>
          <w:sz w:val="24"/>
          <w:szCs w:val="24"/>
        </w:rPr>
        <w:t xml:space="preserve"> françaises</w:t>
      </w:r>
      <w:r w:rsidRPr="00205909">
        <w:rPr>
          <w:rFonts w:ascii="Garamond" w:hAnsi="Garamond" w:cs="Times New Roman"/>
          <w:sz w:val="24"/>
          <w:szCs w:val="24"/>
        </w:rPr>
        <w:t xml:space="preserve">, comme dans la désormais célèbres affaire </w:t>
      </w:r>
      <w:r w:rsidRPr="00205909">
        <w:rPr>
          <w:rFonts w:ascii="Garamond" w:hAnsi="Garamond" w:cs="Times New Roman"/>
          <w:i/>
          <w:iCs/>
          <w:sz w:val="24"/>
          <w:szCs w:val="24"/>
        </w:rPr>
        <w:t>Lafarge</w:t>
      </w:r>
      <w:r w:rsidRPr="00205909">
        <w:rPr>
          <w:rStyle w:val="Appelnotedebasdep"/>
          <w:rFonts w:ascii="Garamond" w:hAnsi="Garamond" w:cs="Times New Roman"/>
          <w:i/>
          <w:iCs/>
          <w:sz w:val="24"/>
          <w:szCs w:val="24"/>
        </w:rPr>
        <w:footnoteReference w:id="67"/>
      </w:r>
      <w:r w:rsidRPr="00205909">
        <w:rPr>
          <w:rFonts w:ascii="Garamond" w:hAnsi="Garamond" w:cs="Times New Roman"/>
          <w:sz w:val="24"/>
          <w:szCs w:val="24"/>
        </w:rPr>
        <w:t xml:space="preserve"> parmi bien d’autres</w:t>
      </w:r>
      <w:r w:rsidRPr="00205909">
        <w:rPr>
          <w:rStyle w:val="Appelnotedebasdep"/>
          <w:rFonts w:ascii="Garamond" w:hAnsi="Garamond" w:cs="Times New Roman"/>
          <w:sz w:val="24"/>
          <w:szCs w:val="24"/>
        </w:rPr>
        <w:footnoteReference w:id="68"/>
      </w:r>
      <w:r w:rsidRPr="00205909">
        <w:rPr>
          <w:rFonts w:ascii="Garamond" w:hAnsi="Garamond" w:cs="Times New Roman"/>
          <w:sz w:val="24"/>
          <w:szCs w:val="24"/>
        </w:rPr>
        <w:t>, illustrant l’usage efficace des règles processuelles française</w:t>
      </w:r>
      <w:r w:rsidR="00E54ED3">
        <w:rPr>
          <w:rFonts w:ascii="Garamond" w:hAnsi="Garamond" w:cs="Times New Roman"/>
          <w:sz w:val="24"/>
          <w:szCs w:val="24"/>
        </w:rPr>
        <w:t>s</w:t>
      </w:r>
      <w:r w:rsidRPr="00205909">
        <w:rPr>
          <w:rFonts w:ascii="Garamond" w:hAnsi="Garamond" w:cs="Times New Roman"/>
          <w:sz w:val="24"/>
          <w:szCs w:val="24"/>
        </w:rPr>
        <w:t>, et la pauvreté des moyens de défense contre ces actions, à supposer que certaines soient conduites par des acteurs mal intentionnés.</w:t>
      </w:r>
    </w:p>
    <w:bookmarkEnd w:id="0"/>
    <w:bookmarkEnd w:id="1"/>
    <w:p w14:paraId="1903650F" w14:textId="3CC60C06" w:rsidR="001934A7" w:rsidRPr="00205909" w:rsidRDefault="001934A7" w:rsidP="00E54ED3">
      <w:pPr>
        <w:rPr>
          <w:rFonts w:ascii="Garamond" w:hAnsi="Garamond" w:cs="Times New Roman"/>
          <w:sz w:val="24"/>
          <w:szCs w:val="24"/>
        </w:rPr>
      </w:pPr>
    </w:p>
    <w:sectPr w:rsidR="001934A7" w:rsidRPr="00205909" w:rsidSect="007310A6">
      <w:headerReference w:type="default" r:id="rId8"/>
      <w:footerReference w:type="default" r:id="rId9"/>
      <w:pgSz w:w="11906" w:h="16838"/>
      <w:pgMar w:top="1701" w:right="1983" w:bottom="1843"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EFAAD" w14:textId="77777777" w:rsidR="000A3B69" w:rsidRDefault="000A3B69" w:rsidP="00362283">
      <w:pPr>
        <w:spacing w:after="0" w:line="240" w:lineRule="auto"/>
      </w:pPr>
      <w:r>
        <w:separator/>
      </w:r>
    </w:p>
  </w:endnote>
  <w:endnote w:type="continuationSeparator" w:id="0">
    <w:p w14:paraId="33CAF7B1" w14:textId="77777777" w:rsidR="000A3B69" w:rsidRDefault="000A3B69" w:rsidP="0036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Gras">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122220"/>
      <w:docPartObj>
        <w:docPartGallery w:val="Page Numbers (Bottom of Page)"/>
        <w:docPartUnique/>
      </w:docPartObj>
    </w:sdtPr>
    <w:sdtContent>
      <w:p w14:paraId="156A591B" w14:textId="0724F630" w:rsidR="006A0E31" w:rsidRDefault="006A0E31">
        <w:pPr>
          <w:pStyle w:val="Pieddepage"/>
          <w:jc w:val="right"/>
        </w:pPr>
        <w:r w:rsidRPr="006A0E31">
          <w:rPr>
            <w:rFonts w:ascii="Times New Roman" w:hAnsi="Times New Roman" w:cs="Times New Roman"/>
            <w:sz w:val="20"/>
            <w:szCs w:val="20"/>
          </w:rPr>
          <w:fldChar w:fldCharType="begin"/>
        </w:r>
        <w:r w:rsidRPr="006A0E31">
          <w:rPr>
            <w:rFonts w:ascii="Times New Roman" w:hAnsi="Times New Roman" w:cs="Times New Roman"/>
            <w:sz w:val="20"/>
            <w:szCs w:val="20"/>
          </w:rPr>
          <w:instrText>PAGE   \* MERGEFORMAT</w:instrText>
        </w:r>
        <w:r w:rsidRPr="006A0E31">
          <w:rPr>
            <w:rFonts w:ascii="Times New Roman" w:hAnsi="Times New Roman" w:cs="Times New Roman"/>
            <w:sz w:val="20"/>
            <w:szCs w:val="20"/>
          </w:rPr>
          <w:fldChar w:fldCharType="separate"/>
        </w:r>
        <w:r w:rsidRPr="006A0E31">
          <w:rPr>
            <w:rFonts w:ascii="Times New Roman" w:hAnsi="Times New Roman" w:cs="Times New Roman"/>
            <w:sz w:val="20"/>
            <w:szCs w:val="20"/>
          </w:rPr>
          <w:t>2</w:t>
        </w:r>
        <w:r w:rsidRPr="006A0E31">
          <w:rPr>
            <w:rFonts w:ascii="Times New Roman" w:hAnsi="Times New Roman" w:cs="Times New Roman"/>
            <w:sz w:val="20"/>
            <w:szCs w:val="20"/>
          </w:rPr>
          <w:fldChar w:fldCharType="end"/>
        </w:r>
      </w:p>
    </w:sdtContent>
  </w:sdt>
  <w:p w14:paraId="6AA4A7F4" w14:textId="77777777" w:rsidR="006A0E31" w:rsidRDefault="006A0E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0AA6F" w14:textId="77777777" w:rsidR="000A3B69" w:rsidRDefault="000A3B69" w:rsidP="00362283">
      <w:pPr>
        <w:spacing w:after="0" w:line="240" w:lineRule="auto"/>
      </w:pPr>
      <w:r>
        <w:separator/>
      </w:r>
    </w:p>
  </w:footnote>
  <w:footnote w:type="continuationSeparator" w:id="0">
    <w:p w14:paraId="3C8AD4C3" w14:textId="77777777" w:rsidR="000A3B69" w:rsidRDefault="000A3B69" w:rsidP="00362283">
      <w:pPr>
        <w:spacing w:after="0" w:line="240" w:lineRule="auto"/>
      </w:pPr>
      <w:r>
        <w:continuationSeparator/>
      </w:r>
    </w:p>
  </w:footnote>
  <w:footnote w:id="1">
    <w:p w14:paraId="3AD80B10" w14:textId="77777777" w:rsidR="007F1788" w:rsidRPr="00F017DC" w:rsidRDefault="007F1788" w:rsidP="00F56AD9">
      <w:pPr>
        <w:pStyle w:val="Notedebasdepage"/>
        <w:jc w:val="both"/>
        <w:rPr>
          <w:rFonts w:ascii="Garamond" w:hAnsi="Garamond"/>
          <w:b/>
          <w:bCs/>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Cf. A. de Nanteuil, « </w:t>
      </w:r>
      <w:r w:rsidRPr="00F017DC">
        <w:rPr>
          <w:rFonts w:ascii="Garamond" w:hAnsi="Garamond" w:cstheme="minorBidi"/>
          <w:sz w:val="18"/>
          <w:szCs w:val="18"/>
        </w:rPr>
        <w:t>Le concept de génocide et son (risque d’)</w:t>
      </w:r>
      <w:r w:rsidRPr="00F017DC">
        <w:rPr>
          <w:rFonts w:ascii="Garamond" w:hAnsi="Garamond"/>
          <w:sz w:val="18"/>
          <w:szCs w:val="18"/>
        </w:rPr>
        <w:t xml:space="preserve"> </w:t>
      </w:r>
      <w:r w:rsidRPr="00F017DC">
        <w:rPr>
          <w:rFonts w:ascii="Garamond" w:hAnsi="Garamond" w:cstheme="minorBidi"/>
          <w:sz w:val="18"/>
          <w:szCs w:val="18"/>
        </w:rPr>
        <w:t>instrumentalisation. Réflexions sur les ordonnances en indication de mesures conservatoires de la Cour internationale de justice dans l’affaire Afrique du Sud c/ Israël</w:t>
      </w:r>
      <w:r w:rsidRPr="00F017DC">
        <w:rPr>
          <w:rFonts w:ascii="Garamond" w:hAnsi="Garamond"/>
          <w:sz w:val="18"/>
          <w:szCs w:val="18"/>
        </w:rPr>
        <w:t> », JDI 2024, n° 3, var. 4.</w:t>
      </w:r>
    </w:p>
  </w:footnote>
  <w:footnote w:id="2">
    <w:p w14:paraId="0D2D3FDB" w14:textId="48649A94" w:rsidR="007F1788" w:rsidRPr="00F017DC" w:rsidRDefault="007F1788"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 xml:space="preserve">Cf. </w:t>
      </w:r>
      <w:r w:rsidR="00425FD6">
        <w:rPr>
          <w:rFonts w:ascii="Garamond" w:hAnsi="Garamond"/>
          <w:sz w:val="18"/>
          <w:szCs w:val="18"/>
        </w:rPr>
        <w:t xml:space="preserve">sur ces « temps « : </w:t>
      </w:r>
      <w:r w:rsidRPr="00F017DC">
        <w:rPr>
          <w:rFonts w:ascii="Garamond" w:hAnsi="Garamond"/>
          <w:sz w:val="18"/>
          <w:szCs w:val="18"/>
        </w:rPr>
        <w:t xml:space="preserve">D. Mainguy, « Arbitrage et litiges de guerre », JDI 2024, </w:t>
      </w:r>
      <w:r w:rsidR="00455649" w:rsidRPr="00F017DC">
        <w:rPr>
          <w:rFonts w:ascii="Garamond" w:hAnsi="Garamond"/>
          <w:sz w:val="18"/>
          <w:szCs w:val="18"/>
        </w:rPr>
        <w:t>p</w:t>
      </w:r>
      <w:r w:rsidR="00455649" w:rsidRPr="00425FD6">
        <w:rPr>
          <w:rFonts w:ascii="Garamond" w:hAnsi="Garamond"/>
          <w:sz w:val="18"/>
          <w:szCs w:val="18"/>
        </w:rPr>
        <w:t>. 817</w:t>
      </w:r>
      <w:r w:rsidR="00425FD6" w:rsidRPr="00425FD6">
        <w:rPr>
          <w:rFonts w:ascii="Garamond" w:hAnsi="Garamond"/>
          <w:sz w:val="18"/>
          <w:szCs w:val="18"/>
        </w:rPr>
        <w:t xml:space="preserve"> « ‘</w:t>
      </w:r>
      <w:proofErr w:type="spellStart"/>
      <w:r w:rsidR="00425FD6" w:rsidRPr="00425FD6">
        <w:rPr>
          <w:rFonts w:ascii="Garamond" w:hAnsi="Garamond"/>
          <w:i/>
          <w:iCs/>
          <w:sz w:val="18"/>
          <w:szCs w:val="18"/>
        </w:rPr>
        <w:t>Warbitration</w:t>
      </w:r>
      <w:proofErr w:type="spellEnd"/>
      <w:r w:rsidR="00425FD6" w:rsidRPr="00425FD6">
        <w:rPr>
          <w:rFonts w:ascii="Garamond" w:hAnsi="Garamond"/>
          <w:i/>
          <w:iCs/>
          <w:sz w:val="18"/>
          <w:szCs w:val="18"/>
        </w:rPr>
        <w:t xml:space="preserve">’ : Arbitration in an </w:t>
      </w:r>
      <w:proofErr w:type="spellStart"/>
      <w:r w:rsidR="00425FD6" w:rsidRPr="00425FD6">
        <w:rPr>
          <w:rFonts w:ascii="Garamond" w:hAnsi="Garamond"/>
          <w:i/>
          <w:iCs/>
          <w:sz w:val="18"/>
          <w:szCs w:val="18"/>
        </w:rPr>
        <w:t>Atmosphere</w:t>
      </w:r>
      <w:proofErr w:type="spellEnd"/>
      <w:r w:rsidR="00425FD6" w:rsidRPr="00425FD6">
        <w:rPr>
          <w:rFonts w:ascii="Garamond" w:hAnsi="Garamond"/>
          <w:i/>
          <w:iCs/>
          <w:sz w:val="18"/>
          <w:szCs w:val="18"/>
        </w:rPr>
        <w:t xml:space="preserve"> of </w:t>
      </w:r>
      <w:proofErr w:type="spellStart"/>
      <w:r w:rsidR="00425FD6" w:rsidRPr="00425FD6">
        <w:rPr>
          <w:rFonts w:ascii="Garamond" w:hAnsi="Garamond"/>
          <w:i/>
          <w:iCs/>
          <w:sz w:val="18"/>
          <w:szCs w:val="18"/>
        </w:rPr>
        <w:t>War</w:t>
      </w:r>
      <w:proofErr w:type="spellEnd"/>
      <w:r w:rsidR="00425FD6" w:rsidRPr="00425FD6">
        <w:rPr>
          <w:rFonts w:ascii="Garamond" w:hAnsi="Garamond"/>
          <w:i/>
          <w:iCs/>
          <w:sz w:val="18"/>
          <w:szCs w:val="18"/>
        </w:rPr>
        <w:t> »</w:t>
      </w:r>
      <w:r w:rsidR="00425FD6" w:rsidRPr="00425FD6">
        <w:rPr>
          <w:rFonts w:ascii="Garamond" w:hAnsi="Garamond"/>
          <w:sz w:val="18"/>
          <w:szCs w:val="18"/>
        </w:rPr>
        <w:t xml:space="preserve">, International Journal of </w:t>
      </w:r>
      <w:proofErr w:type="spellStart"/>
      <w:r w:rsidR="00425FD6" w:rsidRPr="00425FD6">
        <w:rPr>
          <w:rFonts w:ascii="Garamond" w:hAnsi="Garamond"/>
          <w:sz w:val="18"/>
          <w:szCs w:val="18"/>
        </w:rPr>
        <w:t>Procedural</w:t>
      </w:r>
      <w:proofErr w:type="spellEnd"/>
      <w:r w:rsidR="00425FD6" w:rsidRPr="00425FD6">
        <w:rPr>
          <w:rFonts w:ascii="Garamond" w:hAnsi="Garamond"/>
          <w:sz w:val="18"/>
          <w:szCs w:val="18"/>
        </w:rPr>
        <w:t xml:space="preserve"> Law, Brill éd., 2025, à paraître</w:t>
      </w:r>
      <w:r w:rsidRPr="00425FD6">
        <w:rPr>
          <w:rFonts w:ascii="Garamond" w:hAnsi="Garamond"/>
          <w:sz w:val="18"/>
          <w:szCs w:val="18"/>
        </w:rPr>
        <w:t>.</w:t>
      </w:r>
    </w:p>
  </w:footnote>
  <w:footnote w:id="3">
    <w:p w14:paraId="1BF75C46" w14:textId="1A7E3501" w:rsidR="007F1788" w:rsidRPr="00F017DC" w:rsidRDefault="007F1788"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 xml:space="preserve">Cf. D. Mainguy, </w:t>
      </w:r>
      <w:r w:rsidRPr="00F017DC">
        <w:rPr>
          <w:rFonts w:ascii="Garamond" w:hAnsi="Garamond"/>
          <w:i/>
          <w:iCs/>
          <w:sz w:val="18"/>
          <w:szCs w:val="18"/>
        </w:rPr>
        <w:t>Droit de la guerre atypique, Réflexions sur les conflits non-armés et non militaires (</w:t>
      </w:r>
      <w:proofErr w:type="spellStart"/>
      <w:r w:rsidRPr="00F017DC">
        <w:rPr>
          <w:rFonts w:ascii="Garamond" w:hAnsi="Garamond"/>
          <w:i/>
          <w:iCs/>
          <w:sz w:val="18"/>
          <w:szCs w:val="18"/>
        </w:rPr>
        <w:t>Lawfare</w:t>
      </w:r>
      <w:proofErr w:type="spellEnd"/>
      <w:r w:rsidRPr="00F017DC">
        <w:rPr>
          <w:rFonts w:ascii="Garamond" w:hAnsi="Garamond"/>
          <w:i/>
          <w:iCs/>
          <w:sz w:val="18"/>
          <w:szCs w:val="18"/>
        </w:rPr>
        <w:t>, guerre économique et informationnelle</w:t>
      </w:r>
      <w:r w:rsidRPr="00F017DC">
        <w:rPr>
          <w:rFonts w:ascii="Garamond" w:hAnsi="Garamond"/>
          <w:sz w:val="18"/>
          <w:szCs w:val="18"/>
        </w:rPr>
        <w:t>), LGDJ-Lextenso, 2023.</w:t>
      </w:r>
    </w:p>
  </w:footnote>
  <w:footnote w:id="4">
    <w:p w14:paraId="4860DF25" w14:textId="117436FB" w:rsidR="00475E36" w:rsidRPr="00F017DC" w:rsidRDefault="00475E36"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r>
      <w:bookmarkStart w:id="2" w:name="_Hlk156404746"/>
      <w:r w:rsidRPr="00F017DC">
        <w:rPr>
          <w:rFonts w:ascii="Garamond" w:hAnsi="Garamond"/>
          <w:sz w:val="18"/>
          <w:szCs w:val="18"/>
        </w:rPr>
        <w:t xml:space="preserve">Nous dirons « le » </w:t>
      </w:r>
      <w:proofErr w:type="spellStart"/>
      <w:r w:rsidRPr="00F017DC">
        <w:rPr>
          <w:rFonts w:ascii="Garamond" w:hAnsi="Garamond"/>
          <w:i/>
          <w:iCs/>
          <w:sz w:val="18"/>
          <w:szCs w:val="18"/>
        </w:rPr>
        <w:t>lawfare</w:t>
      </w:r>
      <w:proofErr w:type="spellEnd"/>
      <w:r w:rsidRPr="00F017DC">
        <w:rPr>
          <w:rFonts w:ascii="Garamond" w:hAnsi="Garamond"/>
          <w:sz w:val="18"/>
          <w:szCs w:val="18"/>
        </w:rPr>
        <w:t xml:space="preserve"> ce qui n’est pas nécessairement une forme élégante en français, en tant que le </w:t>
      </w:r>
      <w:proofErr w:type="spellStart"/>
      <w:r w:rsidRPr="00F017DC">
        <w:rPr>
          <w:rFonts w:ascii="Garamond" w:hAnsi="Garamond"/>
          <w:i/>
          <w:iCs/>
          <w:sz w:val="18"/>
          <w:szCs w:val="18"/>
        </w:rPr>
        <w:t>lawfare</w:t>
      </w:r>
      <w:proofErr w:type="spellEnd"/>
      <w:r w:rsidRPr="00F017DC">
        <w:rPr>
          <w:rFonts w:ascii="Garamond" w:hAnsi="Garamond"/>
          <w:i/>
          <w:iCs/>
          <w:sz w:val="18"/>
          <w:szCs w:val="18"/>
        </w:rPr>
        <w:t xml:space="preserve"> </w:t>
      </w:r>
      <w:r w:rsidRPr="00F017DC">
        <w:rPr>
          <w:rFonts w:ascii="Garamond" w:hAnsi="Garamond"/>
          <w:sz w:val="18"/>
          <w:szCs w:val="18"/>
        </w:rPr>
        <w:t>serait</w:t>
      </w:r>
      <w:r w:rsidRPr="00F017DC">
        <w:rPr>
          <w:rFonts w:ascii="Garamond" w:hAnsi="Garamond"/>
          <w:i/>
          <w:iCs/>
          <w:sz w:val="18"/>
          <w:szCs w:val="18"/>
        </w:rPr>
        <w:t xml:space="preserve"> </w:t>
      </w:r>
      <w:r w:rsidRPr="00F017DC">
        <w:rPr>
          <w:rFonts w:ascii="Garamond" w:hAnsi="Garamond"/>
          <w:sz w:val="18"/>
          <w:szCs w:val="18"/>
        </w:rPr>
        <w:t xml:space="preserve">tout à la fois un concept à décrire, celui des moyens utilisés et des objectifs recherchés par « l’utilisation du droit comme arme de guerre », ce qui n’est pas très signifiant, et l’objet du </w:t>
      </w:r>
      <w:proofErr w:type="spellStart"/>
      <w:r w:rsidRPr="00F017DC">
        <w:rPr>
          <w:rFonts w:ascii="Garamond" w:hAnsi="Garamond"/>
          <w:i/>
          <w:iCs/>
          <w:sz w:val="18"/>
          <w:szCs w:val="18"/>
        </w:rPr>
        <w:t>lawfare</w:t>
      </w:r>
      <w:proofErr w:type="spellEnd"/>
      <w:r w:rsidRPr="00F017DC">
        <w:rPr>
          <w:rFonts w:ascii="Garamond" w:hAnsi="Garamond"/>
          <w:sz w:val="18"/>
          <w:szCs w:val="18"/>
        </w:rPr>
        <w:t xml:space="preserve">, des règles de </w:t>
      </w:r>
      <w:r w:rsidR="00A266C6" w:rsidRPr="00F017DC">
        <w:rPr>
          <w:rFonts w:ascii="Garamond" w:hAnsi="Garamond"/>
          <w:sz w:val="18"/>
          <w:szCs w:val="18"/>
        </w:rPr>
        <w:t>d</w:t>
      </w:r>
      <w:r w:rsidRPr="00F017DC">
        <w:rPr>
          <w:rFonts w:ascii="Garamond" w:hAnsi="Garamond"/>
          <w:sz w:val="18"/>
          <w:szCs w:val="18"/>
        </w:rPr>
        <w:t>roit susceptibles de faire l’objet d’une telle utilisation.</w:t>
      </w:r>
      <w:bookmarkEnd w:id="2"/>
    </w:p>
  </w:footnote>
  <w:footnote w:id="5">
    <w:p w14:paraId="7FF2B8EA" w14:textId="2684C3A5" w:rsidR="00571A7A" w:rsidRPr="00F017DC" w:rsidRDefault="00571A7A"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 xml:space="preserve">Cf. (de son propre aveu) D. </w:t>
      </w:r>
      <w:proofErr w:type="spellStart"/>
      <w:r w:rsidRPr="00F017DC">
        <w:rPr>
          <w:rFonts w:ascii="Garamond" w:hAnsi="Garamond"/>
          <w:sz w:val="18"/>
          <w:szCs w:val="18"/>
        </w:rPr>
        <w:t>Guével</w:t>
      </w:r>
      <w:proofErr w:type="spellEnd"/>
      <w:r w:rsidRPr="00F017DC">
        <w:rPr>
          <w:rFonts w:ascii="Garamond" w:hAnsi="Garamond"/>
          <w:sz w:val="18"/>
          <w:szCs w:val="18"/>
        </w:rPr>
        <w:t xml:space="preserve">, « Un </w:t>
      </w:r>
      <w:proofErr w:type="spellStart"/>
      <w:r w:rsidRPr="00F017DC">
        <w:rPr>
          <w:rFonts w:ascii="Garamond" w:hAnsi="Garamond"/>
          <w:i/>
          <w:iCs/>
          <w:sz w:val="18"/>
          <w:szCs w:val="18"/>
        </w:rPr>
        <w:t>Lawfare</w:t>
      </w:r>
      <w:proofErr w:type="spellEnd"/>
      <w:r w:rsidRPr="00F017DC">
        <w:rPr>
          <w:rFonts w:ascii="Garamond" w:hAnsi="Garamond"/>
          <w:sz w:val="18"/>
          <w:szCs w:val="18"/>
        </w:rPr>
        <w:t xml:space="preserve"> à la française ? », D. 2021, p. 177 ; mais : Cf. J. Fernandez, « </w:t>
      </w:r>
      <w:proofErr w:type="spellStart"/>
      <w:r w:rsidRPr="00F017DC">
        <w:rPr>
          <w:rFonts w:ascii="Garamond" w:hAnsi="Garamond"/>
          <w:i/>
          <w:iCs/>
          <w:sz w:val="18"/>
          <w:szCs w:val="18"/>
        </w:rPr>
        <w:t>Lawfare</w:t>
      </w:r>
      <w:proofErr w:type="spellEnd"/>
      <w:r w:rsidRPr="00F017DC">
        <w:rPr>
          <w:rFonts w:ascii="Garamond" w:hAnsi="Garamond"/>
          <w:i/>
          <w:iCs/>
          <w:sz w:val="18"/>
          <w:szCs w:val="18"/>
        </w:rPr>
        <w:t xml:space="preserve"> </w:t>
      </w:r>
      <w:r w:rsidRPr="00F017DC">
        <w:rPr>
          <w:rFonts w:ascii="Garamond" w:hAnsi="Garamond"/>
          <w:sz w:val="18"/>
          <w:szCs w:val="18"/>
        </w:rPr>
        <w:t>: le droit comme continuation de la guerre par d'autres moyens ? » JCP G 2019, 1108.</w:t>
      </w:r>
      <w:r w:rsidR="00375D94" w:rsidRPr="00F017DC">
        <w:rPr>
          <w:rFonts w:ascii="Garamond" w:hAnsi="Garamond"/>
          <w:sz w:val="18"/>
          <w:szCs w:val="18"/>
        </w:rPr>
        <w:t xml:space="preserve"> </w:t>
      </w:r>
      <w:proofErr w:type="spellStart"/>
      <w:r w:rsidR="00375D94" w:rsidRPr="00F017DC">
        <w:rPr>
          <w:rFonts w:ascii="Garamond" w:hAnsi="Garamond"/>
          <w:sz w:val="18"/>
          <w:szCs w:val="18"/>
        </w:rPr>
        <w:t>Adde</w:t>
      </w:r>
      <w:proofErr w:type="spellEnd"/>
      <w:r w:rsidR="00375D94" w:rsidRPr="00F017DC">
        <w:rPr>
          <w:rFonts w:ascii="Garamond" w:hAnsi="Garamond"/>
          <w:sz w:val="18"/>
          <w:szCs w:val="18"/>
        </w:rPr>
        <w:t xml:space="preserve"> : J. Ancelin et A </w:t>
      </w:r>
      <w:proofErr w:type="spellStart"/>
      <w:r w:rsidR="00375D94" w:rsidRPr="00F017DC">
        <w:rPr>
          <w:rFonts w:ascii="Garamond" w:hAnsi="Garamond"/>
          <w:sz w:val="18"/>
          <w:szCs w:val="18"/>
        </w:rPr>
        <w:t>Ferey</w:t>
      </w:r>
      <w:proofErr w:type="spellEnd"/>
      <w:r w:rsidR="00375D94" w:rsidRPr="00F017DC">
        <w:rPr>
          <w:rFonts w:ascii="Garamond" w:hAnsi="Garamond"/>
          <w:sz w:val="18"/>
          <w:szCs w:val="18"/>
        </w:rPr>
        <w:t xml:space="preserve">, « Vers une théorie du </w:t>
      </w:r>
      <w:proofErr w:type="spellStart"/>
      <w:r w:rsidR="00375D94" w:rsidRPr="00F017DC">
        <w:rPr>
          <w:rFonts w:ascii="Garamond" w:hAnsi="Garamond"/>
          <w:sz w:val="18"/>
          <w:szCs w:val="18"/>
        </w:rPr>
        <w:t>Lawfare</w:t>
      </w:r>
      <w:proofErr w:type="spellEnd"/>
      <w:r w:rsidR="00375D94" w:rsidRPr="00F017DC">
        <w:rPr>
          <w:rFonts w:ascii="Garamond" w:hAnsi="Garamond"/>
          <w:sz w:val="18"/>
          <w:szCs w:val="18"/>
        </w:rPr>
        <w:t xml:space="preserve"> ? », in </w:t>
      </w:r>
      <w:proofErr w:type="spellStart"/>
      <w:r w:rsidR="00375D94" w:rsidRPr="00F017DC">
        <w:rPr>
          <w:rFonts w:ascii="Garamond" w:hAnsi="Garamond"/>
          <w:i/>
          <w:iCs/>
          <w:sz w:val="18"/>
          <w:szCs w:val="18"/>
        </w:rPr>
        <w:t>Lawfare</w:t>
      </w:r>
      <w:proofErr w:type="spellEnd"/>
      <w:r w:rsidR="00375D94" w:rsidRPr="00F017DC">
        <w:rPr>
          <w:rFonts w:ascii="Garamond" w:hAnsi="Garamond"/>
          <w:i/>
          <w:iCs/>
          <w:sz w:val="18"/>
          <w:szCs w:val="18"/>
        </w:rPr>
        <w:t> : le droit en procès</w:t>
      </w:r>
      <w:r w:rsidR="00375D94" w:rsidRPr="00F017DC">
        <w:rPr>
          <w:rFonts w:ascii="Garamond" w:hAnsi="Garamond"/>
          <w:sz w:val="18"/>
          <w:szCs w:val="18"/>
        </w:rPr>
        <w:t xml:space="preserve">, Raisons politiques, 2022/1, n° 85, </w:t>
      </w:r>
      <w:proofErr w:type="spellStart"/>
      <w:r w:rsidR="00375D94" w:rsidRPr="00F017DC">
        <w:rPr>
          <w:rFonts w:ascii="Garamond" w:hAnsi="Garamond"/>
          <w:sz w:val="18"/>
          <w:szCs w:val="18"/>
        </w:rPr>
        <w:t>sp</w:t>
      </w:r>
      <w:proofErr w:type="spellEnd"/>
      <w:r w:rsidR="00375D94" w:rsidRPr="00F017DC">
        <w:rPr>
          <w:rFonts w:ascii="Garamond" w:hAnsi="Garamond"/>
          <w:sz w:val="18"/>
          <w:szCs w:val="18"/>
        </w:rPr>
        <w:t>. p. 5.</w:t>
      </w:r>
    </w:p>
  </w:footnote>
  <w:footnote w:id="6">
    <w:p w14:paraId="5EA372F9" w14:textId="5A443380" w:rsidR="00207E28" w:rsidRPr="00F017DC" w:rsidRDefault="00207E28"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Cf. J. Fernandez, « </w:t>
      </w:r>
      <w:proofErr w:type="spellStart"/>
      <w:r w:rsidRPr="00F017DC">
        <w:rPr>
          <w:rFonts w:ascii="Garamond" w:hAnsi="Garamond"/>
          <w:i/>
          <w:iCs/>
          <w:sz w:val="18"/>
          <w:szCs w:val="18"/>
        </w:rPr>
        <w:t>Lawfare</w:t>
      </w:r>
      <w:proofErr w:type="spellEnd"/>
      <w:r w:rsidRPr="00F017DC">
        <w:rPr>
          <w:rFonts w:ascii="Garamond" w:hAnsi="Garamond"/>
          <w:i/>
          <w:iCs/>
          <w:sz w:val="18"/>
          <w:szCs w:val="18"/>
        </w:rPr>
        <w:t xml:space="preserve"> </w:t>
      </w:r>
      <w:r w:rsidRPr="00F017DC">
        <w:rPr>
          <w:rFonts w:ascii="Garamond" w:hAnsi="Garamond"/>
          <w:sz w:val="18"/>
          <w:szCs w:val="18"/>
        </w:rPr>
        <w:t>: le droit comme continuation de la guerre par d'autres moyens ? »</w:t>
      </w:r>
      <w:r w:rsidR="00571A7A" w:rsidRPr="00F017DC">
        <w:rPr>
          <w:rFonts w:ascii="Garamond" w:hAnsi="Garamond"/>
          <w:sz w:val="18"/>
          <w:szCs w:val="18"/>
        </w:rPr>
        <w:t xml:space="preserve">, </w:t>
      </w:r>
      <w:r w:rsidR="00571A7A" w:rsidRPr="00F017DC">
        <w:rPr>
          <w:rFonts w:ascii="Garamond" w:hAnsi="Garamond"/>
          <w:i/>
          <w:iCs/>
          <w:sz w:val="18"/>
          <w:szCs w:val="18"/>
        </w:rPr>
        <w:t xml:space="preserve">op. </w:t>
      </w:r>
      <w:proofErr w:type="spellStart"/>
      <w:proofErr w:type="gramStart"/>
      <w:r w:rsidR="00571A7A" w:rsidRPr="00F017DC">
        <w:rPr>
          <w:rFonts w:ascii="Garamond" w:hAnsi="Garamond"/>
          <w:i/>
          <w:iCs/>
          <w:sz w:val="18"/>
          <w:szCs w:val="18"/>
        </w:rPr>
        <w:t>cit</w:t>
      </w:r>
      <w:proofErr w:type="spellEnd"/>
      <w:r w:rsidR="00571A7A" w:rsidRPr="00F017DC">
        <w:rPr>
          <w:rFonts w:ascii="Garamond" w:hAnsi="Garamond"/>
          <w:i/>
          <w:iCs/>
          <w:sz w:val="18"/>
          <w:szCs w:val="18"/>
        </w:rPr>
        <w:t>.</w:t>
      </w:r>
      <w:r w:rsidRPr="00F017DC">
        <w:rPr>
          <w:rFonts w:ascii="Garamond" w:hAnsi="Garamond"/>
          <w:sz w:val="18"/>
          <w:szCs w:val="18"/>
        </w:rPr>
        <w:t>.</w:t>
      </w:r>
      <w:proofErr w:type="gramEnd"/>
    </w:p>
  </w:footnote>
  <w:footnote w:id="7">
    <w:p w14:paraId="0944422B" w14:textId="6B7E0A55" w:rsidR="0053103B" w:rsidRPr="00F017DC" w:rsidRDefault="0053103B" w:rsidP="00F56AD9">
      <w:pPr>
        <w:pStyle w:val="Notedebasdepage"/>
        <w:jc w:val="both"/>
        <w:rPr>
          <w:rFonts w:ascii="Garamond" w:hAnsi="Garamond"/>
          <w:sz w:val="18"/>
          <w:szCs w:val="18"/>
          <w:lang w:val="en-GB"/>
        </w:rPr>
      </w:pPr>
      <w:r w:rsidRPr="00F017DC">
        <w:rPr>
          <w:rStyle w:val="Appelnotedebasdep"/>
          <w:rFonts w:ascii="Garamond" w:hAnsi="Garamond"/>
          <w:sz w:val="18"/>
          <w:szCs w:val="18"/>
        </w:rPr>
        <w:footnoteRef/>
      </w:r>
      <w:r w:rsidRPr="00F017DC">
        <w:rPr>
          <w:rFonts w:ascii="Garamond" w:hAnsi="Garamond"/>
          <w:sz w:val="18"/>
          <w:szCs w:val="18"/>
          <w:lang w:val="en-GB"/>
        </w:rPr>
        <w:t xml:space="preserve"> </w:t>
      </w:r>
      <w:r w:rsidR="00A70D34" w:rsidRPr="00F017DC">
        <w:rPr>
          <w:rFonts w:ascii="Garamond" w:hAnsi="Garamond"/>
          <w:sz w:val="18"/>
          <w:szCs w:val="18"/>
          <w:lang w:val="en-GB"/>
        </w:rPr>
        <w:tab/>
      </w:r>
      <w:r w:rsidRPr="00F017DC">
        <w:rPr>
          <w:rFonts w:ascii="Garamond" w:hAnsi="Garamond"/>
          <w:sz w:val="18"/>
          <w:szCs w:val="18"/>
          <w:lang w:val="en-GB"/>
        </w:rPr>
        <w:t xml:space="preserve">Le </w:t>
      </w:r>
      <w:proofErr w:type="spellStart"/>
      <w:r w:rsidRPr="00F017DC">
        <w:rPr>
          <w:rFonts w:ascii="Garamond" w:hAnsi="Garamond"/>
          <w:sz w:val="18"/>
          <w:szCs w:val="18"/>
          <w:lang w:val="en-GB"/>
        </w:rPr>
        <w:t>terme</w:t>
      </w:r>
      <w:proofErr w:type="spellEnd"/>
      <w:r w:rsidRPr="00F017DC">
        <w:rPr>
          <w:rFonts w:ascii="Garamond" w:hAnsi="Garamond"/>
          <w:sz w:val="18"/>
          <w:szCs w:val="18"/>
          <w:lang w:val="en-GB"/>
        </w:rPr>
        <w:t xml:space="preserve"> </w:t>
      </w:r>
      <w:r w:rsidRPr="00F017DC">
        <w:rPr>
          <w:rFonts w:ascii="Garamond" w:hAnsi="Garamond"/>
          <w:i/>
          <w:iCs/>
          <w:sz w:val="18"/>
          <w:szCs w:val="18"/>
          <w:lang w:val="en-GB"/>
        </w:rPr>
        <w:t xml:space="preserve">Lawfare </w:t>
      </w:r>
      <w:proofErr w:type="spellStart"/>
      <w:r w:rsidRPr="00F017DC">
        <w:rPr>
          <w:rFonts w:ascii="Garamond" w:hAnsi="Garamond"/>
          <w:sz w:val="18"/>
          <w:szCs w:val="18"/>
          <w:lang w:val="en-GB"/>
        </w:rPr>
        <w:t>est</w:t>
      </w:r>
      <w:proofErr w:type="spellEnd"/>
      <w:r w:rsidRPr="00F017DC">
        <w:rPr>
          <w:rFonts w:ascii="Garamond" w:hAnsi="Garamond"/>
          <w:sz w:val="18"/>
          <w:szCs w:val="18"/>
          <w:lang w:val="en-GB"/>
        </w:rPr>
        <w:t xml:space="preserve"> </w:t>
      </w:r>
      <w:proofErr w:type="spellStart"/>
      <w:r w:rsidRPr="00F017DC">
        <w:rPr>
          <w:rFonts w:ascii="Garamond" w:hAnsi="Garamond"/>
          <w:sz w:val="18"/>
          <w:szCs w:val="18"/>
          <w:lang w:val="en-GB"/>
        </w:rPr>
        <w:t>apparu</w:t>
      </w:r>
      <w:proofErr w:type="spellEnd"/>
      <w:r w:rsidRPr="00F017DC">
        <w:rPr>
          <w:rFonts w:ascii="Garamond" w:hAnsi="Garamond"/>
          <w:sz w:val="18"/>
          <w:szCs w:val="18"/>
          <w:lang w:val="en-GB"/>
        </w:rPr>
        <w:t xml:space="preserve"> dans un article </w:t>
      </w:r>
      <w:proofErr w:type="spellStart"/>
      <w:r w:rsidRPr="00F017DC">
        <w:rPr>
          <w:rFonts w:ascii="Garamond" w:hAnsi="Garamond"/>
          <w:sz w:val="18"/>
          <w:szCs w:val="18"/>
          <w:lang w:val="en-GB"/>
        </w:rPr>
        <w:t>en</w:t>
      </w:r>
      <w:proofErr w:type="spellEnd"/>
      <w:r w:rsidRPr="00F017DC">
        <w:rPr>
          <w:rFonts w:ascii="Garamond" w:hAnsi="Garamond"/>
          <w:sz w:val="18"/>
          <w:szCs w:val="18"/>
          <w:lang w:val="en-GB"/>
        </w:rPr>
        <w:t xml:space="preserve"> 1975 (J. Carlson et N. Yeomans, « Whither </w:t>
      </w:r>
      <w:proofErr w:type="spellStart"/>
      <w:r w:rsidRPr="00F017DC">
        <w:rPr>
          <w:rFonts w:ascii="Garamond" w:hAnsi="Garamond"/>
          <w:sz w:val="18"/>
          <w:szCs w:val="18"/>
          <w:lang w:val="en-GB"/>
        </w:rPr>
        <w:t>Goeth</w:t>
      </w:r>
      <w:proofErr w:type="spellEnd"/>
      <w:r w:rsidRPr="00F017DC">
        <w:rPr>
          <w:rFonts w:ascii="Garamond" w:hAnsi="Garamond"/>
          <w:sz w:val="18"/>
          <w:szCs w:val="18"/>
          <w:lang w:val="en-GB"/>
        </w:rPr>
        <w:t xml:space="preserve"> the Law: Humanity or Barbarity »,</w:t>
      </w:r>
      <w:r w:rsidRPr="00F017DC">
        <w:rPr>
          <w:rFonts w:ascii="Garamond" w:hAnsi="Garamond"/>
          <w:i/>
          <w:sz w:val="18"/>
          <w:szCs w:val="18"/>
          <w:lang w:val="en-GB"/>
        </w:rPr>
        <w:t xml:space="preserve"> in </w:t>
      </w:r>
      <w:r w:rsidRPr="00F017DC">
        <w:rPr>
          <w:rFonts w:ascii="Garamond" w:hAnsi="Garamond"/>
          <w:sz w:val="18"/>
          <w:szCs w:val="18"/>
          <w:lang w:val="en-GB"/>
        </w:rPr>
        <w:t xml:space="preserve">M. Smith et D. Crossley (dir.), </w:t>
      </w:r>
      <w:r w:rsidRPr="00F017DC">
        <w:rPr>
          <w:rFonts w:ascii="Garamond" w:hAnsi="Garamond"/>
          <w:i/>
          <w:iCs/>
          <w:sz w:val="18"/>
          <w:szCs w:val="18"/>
          <w:lang w:val="en-GB"/>
        </w:rPr>
        <w:t>The Way Out: Radical Alternatives in Australia</w:t>
      </w:r>
      <w:r w:rsidRPr="00F017DC">
        <w:rPr>
          <w:rFonts w:ascii="Garamond" w:hAnsi="Garamond"/>
          <w:sz w:val="18"/>
          <w:szCs w:val="18"/>
          <w:lang w:val="en-GB"/>
        </w:rPr>
        <w:t xml:space="preserve">, Melbourne, Lansdowne Press, 1975). </w:t>
      </w:r>
      <w:r w:rsidRPr="00F017DC">
        <w:rPr>
          <w:rFonts w:ascii="Garamond" w:hAnsi="Garamond"/>
          <w:sz w:val="18"/>
          <w:szCs w:val="18"/>
        </w:rPr>
        <w:t xml:space="preserve">Ils opposent des conceptions, difficiles à traduire en français de « droit humanitaire » ou « communautaire », qui s’opposerait au « droit utilitariste » ou « étatique », le second validant le droit comme une guerre, le </w:t>
      </w:r>
      <w:proofErr w:type="spellStart"/>
      <w:r w:rsidRPr="00F017DC">
        <w:rPr>
          <w:rFonts w:ascii="Garamond" w:hAnsi="Garamond"/>
          <w:i/>
          <w:iCs/>
          <w:sz w:val="18"/>
          <w:szCs w:val="18"/>
        </w:rPr>
        <w:t>lawfare</w:t>
      </w:r>
      <w:proofErr w:type="spellEnd"/>
      <w:r w:rsidRPr="00F017DC">
        <w:rPr>
          <w:rFonts w:ascii="Garamond" w:hAnsi="Garamond"/>
          <w:sz w:val="18"/>
          <w:szCs w:val="18"/>
        </w:rPr>
        <w:t xml:space="preserve">. Il a cependant été repris, développé et généralisé dans la sphère militaire en 2001 par Charles J. </w:t>
      </w:r>
      <w:proofErr w:type="spellStart"/>
      <w:r w:rsidRPr="00F017DC">
        <w:rPr>
          <w:rFonts w:ascii="Garamond" w:hAnsi="Garamond"/>
          <w:sz w:val="18"/>
          <w:szCs w:val="18"/>
        </w:rPr>
        <w:t>Dunlap</w:t>
      </w:r>
      <w:proofErr w:type="spellEnd"/>
      <w:r w:rsidRPr="00F017DC">
        <w:rPr>
          <w:rFonts w:ascii="Garamond" w:hAnsi="Garamond"/>
          <w:sz w:val="18"/>
          <w:szCs w:val="18"/>
        </w:rPr>
        <w:t xml:space="preserve"> Jr (Ch. J. </w:t>
      </w:r>
      <w:proofErr w:type="spellStart"/>
      <w:r w:rsidRPr="00F017DC">
        <w:rPr>
          <w:rFonts w:ascii="Garamond" w:hAnsi="Garamond"/>
          <w:sz w:val="18"/>
          <w:szCs w:val="18"/>
        </w:rPr>
        <w:t>Dunlap</w:t>
      </w:r>
      <w:proofErr w:type="spellEnd"/>
      <w:r w:rsidRPr="00F017DC">
        <w:rPr>
          <w:rFonts w:ascii="Garamond" w:hAnsi="Garamond"/>
          <w:sz w:val="18"/>
          <w:szCs w:val="18"/>
        </w:rPr>
        <w:t xml:space="preserve"> Jr., « Law and </w:t>
      </w:r>
      <w:proofErr w:type="spellStart"/>
      <w:r w:rsidRPr="00F017DC">
        <w:rPr>
          <w:rFonts w:ascii="Garamond" w:hAnsi="Garamond"/>
          <w:sz w:val="18"/>
          <w:szCs w:val="18"/>
        </w:rPr>
        <w:t>Military</w:t>
      </w:r>
      <w:proofErr w:type="spellEnd"/>
      <w:r w:rsidRPr="00F017DC">
        <w:rPr>
          <w:rFonts w:ascii="Garamond" w:hAnsi="Garamond"/>
          <w:sz w:val="18"/>
          <w:szCs w:val="18"/>
        </w:rPr>
        <w:t xml:space="preserve"> Interventions: </w:t>
      </w:r>
      <w:proofErr w:type="spellStart"/>
      <w:r w:rsidRPr="00F017DC">
        <w:rPr>
          <w:rFonts w:ascii="Garamond" w:hAnsi="Garamond"/>
          <w:sz w:val="18"/>
          <w:szCs w:val="18"/>
        </w:rPr>
        <w:t>Preserving</w:t>
      </w:r>
      <w:proofErr w:type="spellEnd"/>
      <w:r w:rsidRPr="00F017DC">
        <w:rPr>
          <w:rFonts w:ascii="Garamond" w:hAnsi="Garamond"/>
          <w:sz w:val="18"/>
          <w:szCs w:val="18"/>
        </w:rPr>
        <w:t xml:space="preserve"> </w:t>
      </w:r>
      <w:proofErr w:type="spellStart"/>
      <w:r w:rsidRPr="00F017DC">
        <w:rPr>
          <w:rFonts w:ascii="Garamond" w:hAnsi="Garamond"/>
          <w:sz w:val="18"/>
          <w:szCs w:val="18"/>
        </w:rPr>
        <w:t>Humanitarian</w:t>
      </w:r>
      <w:proofErr w:type="spellEnd"/>
      <w:r w:rsidRPr="00F017DC">
        <w:rPr>
          <w:rFonts w:ascii="Garamond" w:hAnsi="Garamond"/>
          <w:sz w:val="18"/>
          <w:szCs w:val="18"/>
        </w:rPr>
        <w:t xml:space="preserve"> Values in 21st </w:t>
      </w:r>
      <w:proofErr w:type="spellStart"/>
      <w:r w:rsidRPr="00F017DC">
        <w:rPr>
          <w:rFonts w:ascii="Garamond" w:hAnsi="Garamond"/>
          <w:sz w:val="18"/>
          <w:szCs w:val="18"/>
        </w:rPr>
        <w:t>Conflicts</w:t>
      </w:r>
      <w:proofErr w:type="spellEnd"/>
      <w:r w:rsidRPr="00F017DC">
        <w:rPr>
          <w:rFonts w:ascii="Garamond" w:hAnsi="Garamond"/>
          <w:sz w:val="18"/>
          <w:szCs w:val="18"/>
        </w:rPr>
        <w:t xml:space="preserve"> », </w:t>
      </w:r>
      <w:proofErr w:type="spellStart"/>
      <w:r w:rsidRPr="00F017DC">
        <w:rPr>
          <w:rFonts w:ascii="Garamond" w:hAnsi="Garamond"/>
          <w:sz w:val="18"/>
          <w:szCs w:val="18"/>
        </w:rPr>
        <w:t>Humanitarian</w:t>
      </w:r>
      <w:proofErr w:type="spellEnd"/>
      <w:r w:rsidRPr="00F017DC">
        <w:rPr>
          <w:rFonts w:ascii="Garamond" w:hAnsi="Garamond"/>
          <w:sz w:val="18"/>
          <w:szCs w:val="18"/>
        </w:rPr>
        <w:t xml:space="preserve"> Challenges in </w:t>
      </w:r>
      <w:proofErr w:type="spellStart"/>
      <w:r w:rsidRPr="00F017DC">
        <w:rPr>
          <w:rFonts w:ascii="Garamond" w:hAnsi="Garamond"/>
          <w:sz w:val="18"/>
          <w:szCs w:val="18"/>
        </w:rPr>
        <w:t>Military</w:t>
      </w:r>
      <w:proofErr w:type="spellEnd"/>
      <w:r w:rsidRPr="00F017DC">
        <w:rPr>
          <w:rFonts w:ascii="Garamond" w:hAnsi="Garamond"/>
          <w:sz w:val="18"/>
          <w:szCs w:val="18"/>
        </w:rPr>
        <w:t xml:space="preserve"> Intervention </w:t>
      </w:r>
      <w:proofErr w:type="spellStart"/>
      <w:r w:rsidRPr="00F017DC">
        <w:rPr>
          <w:rFonts w:ascii="Garamond" w:hAnsi="Garamond"/>
          <w:sz w:val="18"/>
          <w:szCs w:val="18"/>
        </w:rPr>
        <w:t>Conference</w:t>
      </w:r>
      <w:proofErr w:type="spellEnd"/>
      <w:r w:rsidRPr="00F017DC">
        <w:rPr>
          <w:rFonts w:ascii="Garamond" w:hAnsi="Garamond"/>
          <w:sz w:val="18"/>
          <w:szCs w:val="18"/>
        </w:rPr>
        <w:t xml:space="preserve">, Carr Center for Human </w:t>
      </w:r>
      <w:proofErr w:type="spellStart"/>
      <w:r w:rsidRPr="00F017DC">
        <w:rPr>
          <w:rFonts w:ascii="Garamond" w:hAnsi="Garamond"/>
          <w:sz w:val="18"/>
          <w:szCs w:val="18"/>
        </w:rPr>
        <w:t>Rights</w:t>
      </w:r>
      <w:proofErr w:type="spellEnd"/>
      <w:r w:rsidRPr="00F017DC">
        <w:rPr>
          <w:rFonts w:ascii="Garamond" w:hAnsi="Garamond"/>
          <w:sz w:val="18"/>
          <w:szCs w:val="18"/>
        </w:rPr>
        <w:t xml:space="preserve"> Policy, Kennedy </w:t>
      </w:r>
      <w:proofErr w:type="spellStart"/>
      <w:r w:rsidRPr="00F017DC">
        <w:rPr>
          <w:rFonts w:ascii="Garamond" w:hAnsi="Garamond"/>
          <w:sz w:val="18"/>
          <w:szCs w:val="18"/>
        </w:rPr>
        <w:t>School</w:t>
      </w:r>
      <w:proofErr w:type="spellEnd"/>
      <w:r w:rsidRPr="00F017DC">
        <w:rPr>
          <w:rFonts w:ascii="Garamond" w:hAnsi="Garamond"/>
          <w:sz w:val="18"/>
          <w:szCs w:val="18"/>
        </w:rPr>
        <w:t xml:space="preserve"> of </w:t>
      </w:r>
      <w:proofErr w:type="spellStart"/>
      <w:r w:rsidRPr="00F017DC">
        <w:rPr>
          <w:rFonts w:ascii="Garamond" w:hAnsi="Garamond"/>
          <w:sz w:val="18"/>
          <w:szCs w:val="18"/>
        </w:rPr>
        <w:t>Government</w:t>
      </w:r>
      <w:proofErr w:type="spellEnd"/>
      <w:r w:rsidRPr="00F017DC">
        <w:rPr>
          <w:rFonts w:ascii="Garamond" w:hAnsi="Garamond"/>
          <w:sz w:val="18"/>
          <w:szCs w:val="18"/>
        </w:rPr>
        <w:t xml:space="preserve">, Harvard </w:t>
      </w:r>
      <w:proofErr w:type="spellStart"/>
      <w:r w:rsidRPr="00F017DC">
        <w:rPr>
          <w:rFonts w:ascii="Garamond" w:hAnsi="Garamond"/>
          <w:sz w:val="18"/>
          <w:szCs w:val="18"/>
        </w:rPr>
        <w:t>University</w:t>
      </w:r>
      <w:proofErr w:type="spellEnd"/>
      <w:r w:rsidRPr="00F017DC">
        <w:rPr>
          <w:rFonts w:ascii="Garamond" w:hAnsi="Garamond"/>
          <w:sz w:val="18"/>
          <w:szCs w:val="18"/>
        </w:rPr>
        <w:t>, Washington, 29 nov. 2001 (en ligne), Ch. J. </w:t>
      </w:r>
      <w:proofErr w:type="spellStart"/>
      <w:r w:rsidRPr="00F017DC">
        <w:rPr>
          <w:rFonts w:ascii="Garamond" w:hAnsi="Garamond"/>
          <w:sz w:val="18"/>
          <w:szCs w:val="18"/>
        </w:rPr>
        <w:t>Dunlap</w:t>
      </w:r>
      <w:proofErr w:type="spellEnd"/>
      <w:r w:rsidRPr="00F017DC">
        <w:rPr>
          <w:rFonts w:ascii="Garamond" w:hAnsi="Garamond"/>
          <w:sz w:val="18"/>
          <w:szCs w:val="18"/>
        </w:rPr>
        <w:t xml:space="preserve"> Jr. </w:t>
      </w:r>
      <w:r w:rsidRPr="00F017DC">
        <w:rPr>
          <w:rFonts w:ascii="Garamond" w:hAnsi="Garamond"/>
          <w:sz w:val="18"/>
          <w:szCs w:val="18"/>
          <w:lang w:val="en-GB"/>
        </w:rPr>
        <w:t xml:space="preserve">« Lawfare Today: A Perspective », </w:t>
      </w:r>
      <w:r w:rsidRPr="00F017DC">
        <w:rPr>
          <w:rFonts w:ascii="Garamond" w:hAnsi="Garamond"/>
          <w:i/>
          <w:iCs/>
          <w:sz w:val="18"/>
          <w:szCs w:val="18"/>
          <w:lang w:val="en-GB"/>
        </w:rPr>
        <w:t>Yale Journal of International Affairs</w:t>
      </w:r>
      <w:r w:rsidRPr="00F017DC">
        <w:rPr>
          <w:rFonts w:ascii="Garamond" w:hAnsi="Garamond"/>
          <w:sz w:val="18"/>
          <w:szCs w:val="18"/>
          <w:lang w:val="en-GB"/>
        </w:rPr>
        <w:t xml:space="preserve">, 2008, p. 146 ; Ch. J. Dunlap Jr., « Lawfare Today... and Tomorrow », </w:t>
      </w:r>
      <w:r w:rsidRPr="00F017DC">
        <w:rPr>
          <w:rFonts w:ascii="Garamond" w:hAnsi="Garamond"/>
          <w:i/>
          <w:iCs/>
          <w:sz w:val="18"/>
          <w:szCs w:val="18"/>
          <w:lang w:val="en-GB"/>
        </w:rPr>
        <w:t>International Law Studies</w:t>
      </w:r>
      <w:r w:rsidRPr="00F017DC">
        <w:rPr>
          <w:rFonts w:ascii="Garamond" w:hAnsi="Garamond"/>
          <w:sz w:val="18"/>
          <w:szCs w:val="18"/>
          <w:lang w:val="en-GB"/>
        </w:rPr>
        <w:t>, vol. 87, 2011, p. 315). V. surtout O</w:t>
      </w:r>
      <w:r w:rsidR="006D1B68" w:rsidRPr="00F017DC">
        <w:rPr>
          <w:rFonts w:ascii="Garamond" w:hAnsi="Garamond"/>
          <w:sz w:val="18"/>
          <w:szCs w:val="18"/>
          <w:lang w:val="en-GB"/>
        </w:rPr>
        <w:t>rde</w:t>
      </w:r>
      <w:r w:rsidRPr="00F017DC">
        <w:rPr>
          <w:rFonts w:ascii="Garamond" w:hAnsi="Garamond"/>
          <w:sz w:val="18"/>
          <w:szCs w:val="18"/>
          <w:lang w:val="en-GB"/>
        </w:rPr>
        <w:t xml:space="preserve"> F. </w:t>
      </w:r>
      <w:proofErr w:type="spellStart"/>
      <w:r w:rsidRPr="00F017DC">
        <w:rPr>
          <w:rFonts w:ascii="Garamond" w:hAnsi="Garamond"/>
          <w:sz w:val="18"/>
          <w:szCs w:val="18"/>
          <w:lang w:val="en-GB"/>
        </w:rPr>
        <w:t>Kiterie</w:t>
      </w:r>
      <w:proofErr w:type="spellEnd"/>
      <w:r w:rsidRPr="00F017DC">
        <w:rPr>
          <w:rFonts w:ascii="Garamond" w:hAnsi="Garamond"/>
          <w:sz w:val="18"/>
          <w:szCs w:val="18"/>
          <w:lang w:val="en-GB"/>
        </w:rPr>
        <w:t xml:space="preserve">, </w:t>
      </w:r>
      <w:r w:rsidRPr="00F017DC">
        <w:rPr>
          <w:rFonts w:ascii="Garamond" w:hAnsi="Garamond"/>
          <w:i/>
          <w:iCs/>
          <w:sz w:val="18"/>
          <w:szCs w:val="18"/>
          <w:lang w:val="en-GB"/>
        </w:rPr>
        <w:t>Lawfare, Law as a Weapon of War,</w:t>
      </w:r>
      <w:r w:rsidRPr="00F017DC">
        <w:rPr>
          <w:rFonts w:ascii="Garamond" w:hAnsi="Garamond"/>
          <w:sz w:val="18"/>
          <w:szCs w:val="18"/>
          <w:lang w:val="en-GB"/>
        </w:rPr>
        <w:t xml:space="preserve"> Oxfo</w:t>
      </w:r>
      <w:r w:rsidR="00CA4406" w:rsidRPr="00F017DC">
        <w:rPr>
          <w:rFonts w:ascii="Garamond" w:hAnsi="Garamond"/>
          <w:sz w:val="18"/>
          <w:szCs w:val="18"/>
          <w:lang w:val="en-GB"/>
        </w:rPr>
        <w:t>r</w:t>
      </w:r>
      <w:r w:rsidRPr="00F017DC">
        <w:rPr>
          <w:rFonts w:ascii="Garamond" w:hAnsi="Garamond"/>
          <w:sz w:val="18"/>
          <w:szCs w:val="18"/>
          <w:lang w:val="en-GB"/>
        </w:rPr>
        <w:t xml:space="preserve">d Press, 2016. V. </w:t>
      </w:r>
      <w:proofErr w:type="spellStart"/>
      <w:r w:rsidRPr="00F017DC">
        <w:rPr>
          <w:rFonts w:ascii="Garamond" w:hAnsi="Garamond"/>
          <w:sz w:val="18"/>
          <w:szCs w:val="18"/>
          <w:lang w:val="en-GB"/>
        </w:rPr>
        <w:t>aussi</w:t>
      </w:r>
      <w:proofErr w:type="spellEnd"/>
      <w:r w:rsidRPr="00F017DC">
        <w:rPr>
          <w:rFonts w:ascii="Garamond" w:hAnsi="Garamond"/>
          <w:sz w:val="18"/>
          <w:szCs w:val="18"/>
          <w:lang w:val="en-GB"/>
        </w:rPr>
        <w:t>, Tom C.W. Lin, « Business warfare », 3 </w:t>
      </w:r>
      <w:proofErr w:type="spellStart"/>
      <w:r w:rsidRPr="00F017DC">
        <w:rPr>
          <w:rFonts w:ascii="Garamond" w:hAnsi="Garamond"/>
          <w:sz w:val="18"/>
          <w:szCs w:val="18"/>
          <w:lang w:val="en-GB"/>
        </w:rPr>
        <w:t>févr</w:t>
      </w:r>
      <w:proofErr w:type="spellEnd"/>
      <w:r w:rsidRPr="00F017DC">
        <w:rPr>
          <w:rFonts w:ascii="Garamond" w:hAnsi="Garamond"/>
          <w:sz w:val="18"/>
          <w:szCs w:val="18"/>
          <w:lang w:val="en-GB"/>
        </w:rPr>
        <w:t xml:space="preserve">. </w:t>
      </w:r>
      <w:proofErr w:type="gramStart"/>
      <w:r w:rsidRPr="00F017DC">
        <w:rPr>
          <w:rFonts w:ascii="Garamond" w:hAnsi="Garamond"/>
          <w:sz w:val="18"/>
          <w:szCs w:val="18"/>
          <w:lang w:val="en-GB"/>
        </w:rPr>
        <w:t>2022 ;</w:t>
      </w:r>
      <w:proofErr w:type="gramEnd"/>
      <w:r w:rsidRPr="00F017DC">
        <w:rPr>
          <w:rFonts w:ascii="Garamond" w:hAnsi="Garamond"/>
          <w:sz w:val="18"/>
          <w:szCs w:val="18"/>
          <w:lang w:val="en-GB"/>
        </w:rPr>
        <w:t xml:space="preserve"> 63 Boston College Law Review 1 (2022), </w:t>
      </w:r>
      <w:r w:rsidRPr="00F017DC">
        <w:rPr>
          <w:rFonts w:ascii="Garamond" w:hAnsi="Garamond"/>
          <w:i/>
          <w:iCs/>
          <w:sz w:val="18"/>
          <w:szCs w:val="18"/>
          <w:lang w:val="en-GB"/>
        </w:rPr>
        <w:t>Temple University Legal Studies Research Paper</w:t>
      </w:r>
      <w:r w:rsidRPr="00F017DC">
        <w:rPr>
          <w:rFonts w:ascii="Garamond" w:hAnsi="Garamond"/>
          <w:sz w:val="18"/>
          <w:szCs w:val="18"/>
          <w:lang w:val="en-GB"/>
        </w:rPr>
        <w:t xml:space="preserve"> n° 2022-04.</w:t>
      </w:r>
    </w:p>
  </w:footnote>
  <w:footnote w:id="8">
    <w:p w14:paraId="00A0F4E0" w14:textId="012D527C" w:rsidR="0053103B" w:rsidRPr="00F017DC" w:rsidRDefault="0053103B" w:rsidP="00F56AD9">
      <w:pPr>
        <w:pStyle w:val="Notedebasdepage"/>
        <w:jc w:val="both"/>
        <w:rPr>
          <w:rFonts w:ascii="Garamond" w:hAnsi="Garamond"/>
          <w:sz w:val="18"/>
          <w:szCs w:val="18"/>
          <w:lang w:val="en-GB"/>
        </w:rPr>
      </w:pPr>
      <w:r w:rsidRPr="00F017DC">
        <w:rPr>
          <w:rStyle w:val="Appelnotedebasdep"/>
          <w:rFonts w:ascii="Garamond" w:hAnsi="Garamond"/>
          <w:sz w:val="18"/>
          <w:szCs w:val="18"/>
        </w:rPr>
        <w:footnoteRef/>
      </w:r>
      <w:r w:rsidRPr="00F017DC">
        <w:rPr>
          <w:rFonts w:ascii="Garamond" w:hAnsi="Garamond"/>
          <w:sz w:val="18"/>
          <w:szCs w:val="18"/>
          <w:lang w:val="en-GB"/>
        </w:rPr>
        <w:t xml:space="preserve"> </w:t>
      </w:r>
      <w:r w:rsidR="00A70D34" w:rsidRPr="00F017DC">
        <w:rPr>
          <w:rFonts w:ascii="Garamond" w:hAnsi="Garamond"/>
          <w:sz w:val="18"/>
          <w:szCs w:val="18"/>
          <w:lang w:val="en-GB"/>
        </w:rPr>
        <w:tab/>
      </w:r>
      <w:r w:rsidR="002969A6" w:rsidRPr="00F017DC">
        <w:rPr>
          <w:rFonts w:ascii="Garamond" w:hAnsi="Garamond"/>
          <w:sz w:val="18"/>
          <w:szCs w:val="18"/>
          <w:lang w:val="en-GB"/>
        </w:rPr>
        <w:t xml:space="preserve">Parmi </w:t>
      </w:r>
      <w:proofErr w:type="spellStart"/>
      <w:r w:rsidR="002969A6" w:rsidRPr="00F017DC">
        <w:rPr>
          <w:rFonts w:ascii="Garamond" w:hAnsi="Garamond"/>
          <w:sz w:val="18"/>
          <w:szCs w:val="18"/>
          <w:lang w:val="en-GB"/>
        </w:rPr>
        <w:t>une</w:t>
      </w:r>
      <w:proofErr w:type="spellEnd"/>
      <w:r w:rsidR="002969A6" w:rsidRPr="00F017DC">
        <w:rPr>
          <w:rFonts w:ascii="Garamond" w:hAnsi="Garamond"/>
          <w:sz w:val="18"/>
          <w:szCs w:val="18"/>
          <w:lang w:val="en-GB"/>
        </w:rPr>
        <w:t xml:space="preserve"> </w:t>
      </w:r>
      <w:proofErr w:type="spellStart"/>
      <w:r w:rsidR="002969A6" w:rsidRPr="00F017DC">
        <w:rPr>
          <w:rFonts w:ascii="Garamond" w:hAnsi="Garamond"/>
          <w:sz w:val="18"/>
          <w:szCs w:val="18"/>
          <w:lang w:val="en-GB"/>
        </w:rPr>
        <w:t>abondante</w:t>
      </w:r>
      <w:proofErr w:type="spellEnd"/>
      <w:r w:rsidR="002969A6" w:rsidRPr="00F017DC">
        <w:rPr>
          <w:rFonts w:ascii="Garamond" w:hAnsi="Garamond"/>
          <w:sz w:val="18"/>
          <w:szCs w:val="18"/>
          <w:lang w:val="en-GB"/>
        </w:rPr>
        <w:t xml:space="preserve"> </w:t>
      </w:r>
      <w:proofErr w:type="spellStart"/>
      <w:r w:rsidR="002969A6" w:rsidRPr="00F017DC">
        <w:rPr>
          <w:rFonts w:ascii="Garamond" w:hAnsi="Garamond"/>
          <w:sz w:val="18"/>
          <w:szCs w:val="18"/>
          <w:lang w:val="en-GB"/>
        </w:rPr>
        <w:t>bibliographie</w:t>
      </w:r>
      <w:proofErr w:type="spellEnd"/>
      <w:r w:rsidR="002969A6" w:rsidRPr="00F017DC">
        <w:rPr>
          <w:rFonts w:ascii="Garamond" w:hAnsi="Garamond"/>
          <w:sz w:val="18"/>
          <w:szCs w:val="18"/>
          <w:lang w:val="en-GB"/>
        </w:rPr>
        <w:t xml:space="preserve"> : </w:t>
      </w:r>
      <w:r w:rsidRPr="00F017DC">
        <w:rPr>
          <w:rFonts w:ascii="Garamond" w:hAnsi="Garamond"/>
          <w:sz w:val="18"/>
          <w:szCs w:val="18"/>
          <w:lang w:val="en-GB"/>
        </w:rPr>
        <w:t xml:space="preserve">L. R. Blank, « Media Warfare, Propaganda and the Law of War », in M. L. Gross et T. Meisels (dir.), </w:t>
      </w:r>
      <w:r w:rsidRPr="00F017DC">
        <w:rPr>
          <w:rFonts w:ascii="Garamond" w:hAnsi="Garamond"/>
          <w:i/>
          <w:iCs/>
          <w:sz w:val="18"/>
          <w:szCs w:val="18"/>
          <w:lang w:val="en-GB"/>
        </w:rPr>
        <w:t>Soft War: The Ethics of Unarmed Conflict</w:t>
      </w:r>
      <w:r w:rsidRPr="00F017DC">
        <w:rPr>
          <w:rFonts w:ascii="Garamond" w:hAnsi="Garamond"/>
          <w:sz w:val="18"/>
          <w:szCs w:val="18"/>
          <w:lang w:val="en-GB"/>
        </w:rPr>
        <w:t xml:space="preserve">, Cambridge University Press, 2017 ; J. Dill, « Abuse of Law on the 21st Century Battlefield: A Typology of Lawfare », in M. L. Gross et T. Meisels (dir.), ibid. ; O. F. </w:t>
      </w:r>
      <w:proofErr w:type="spellStart"/>
      <w:r w:rsidRPr="00F017DC">
        <w:rPr>
          <w:rFonts w:ascii="Garamond" w:hAnsi="Garamond"/>
          <w:sz w:val="18"/>
          <w:szCs w:val="18"/>
          <w:lang w:val="en-GB"/>
        </w:rPr>
        <w:t>Kittrie</w:t>
      </w:r>
      <w:proofErr w:type="spellEnd"/>
      <w:r w:rsidRPr="00F017DC">
        <w:rPr>
          <w:rFonts w:ascii="Garamond" w:hAnsi="Garamond"/>
          <w:sz w:val="18"/>
          <w:szCs w:val="18"/>
          <w:lang w:val="en-GB"/>
        </w:rPr>
        <w:t xml:space="preserve">, </w:t>
      </w:r>
      <w:r w:rsidRPr="00F017DC">
        <w:rPr>
          <w:rFonts w:ascii="Garamond" w:hAnsi="Garamond"/>
          <w:i/>
          <w:iCs/>
          <w:sz w:val="18"/>
          <w:szCs w:val="18"/>
          <w:lang w:val="en-GB"/>
        </w:rPr>
        <w:t>Lawfare: Law as a Weapon of War</w:t>
      </w:r>
      <w:r w:rsidRPr="00F017DC">
        <w:rPr>
          <w:rFonts w:ascii="Garamond" w:hAnsi="Garamond"/>
          <w:sz w:val="18"/>
          <w:szCs w:val="18"/>
          <w:lang w:val="en-GB"/>
        </w:rPr>
        <w:t xml:space="preserve">, Oxford University Press, 2016 ; H. Marouf, </w:t>
      </w:r>
      <w:r w:rsidRPr="00F017DC">
        <w:rPr>
          <w:rFonts w:ascii="Garamond" w:hAnsi="Garamond"/>
          <w:i/>
          <w:iCs/>
          <w:sz w:val="18"/>
          <w:szCs w:val="18"/>
          <w:lang w:val="en-GB"/>
        </w:rPr>
        <w:t>Drone Warfare and Lawfare in a Post-Heroic Age (Rhetoric, Law and the Humanities)</w:t>
      </w:r>
      <w:r w:rsidRPr="00F017DC">
        <w:rPr>
          <w:rFonts w:ascii="Garamond" w:hAnsi="Garamond"/>
          <w:sz w:val="18"/>
          <w:szCs w:val="18"/>
          <w:lang w:val="en-GB"/>
        </w:rPr>
        <w:t>, Univ. of Alabama Press, 2016.</w:t>
      </w:r>
    </w:p>
  </w:footnote>
  <w:footnote w:id="9">
    <w:p w14:paraId="15981118" w14:textId="2E36A569" w:rsidR="00A007F1" w:rsidRPr="00F017DC" w:rsidRDefault="00A007F1"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00A70D34" w:rsidRPr="00F017DC">
        <w:rPr>
          <w:rFonts w:ascii="Garamond" w:hAnsi="Garamond"/>
          <w:sz w:val="18"/>
          <w:szCs w:val="18"/>
        </w:rPr>
        <w:tab/>
      </w:r>
      <w:r w:rsidRPr="00F017DC">
        <w:rPr>
          <w:rFonts w:ascii="Garamond" w:hAnsi="Garamond"/>
          <w:sz w:val="18"/>
          <w:szCs w:val="18"/>
        </w:rPr>
        <w:t xml:space="preserve">Cf. J. Ancelin et A </w:t>
      </w:r>
      <w:proofErr w:type="spellStart"/>
      <w:r w:rsidRPr="00F017DC">
        <w:rPr>
          <w:rFonts w:ascii="Garamond" w:hAnsi="Garamond"/>
          <w:sz w:val="18"/>
          <w:szCs w:val="18"/>
        </w:rPr>
        <w:t>Ferey</w:t>
      </w:r>
      <w:proofErr w:type="spellEnd"/>
      <w:r w:rsidRPr="00F017DC">
        <w:rPr>
          <w:rFonts w:ascii="Garamond" w:hAnsi="Garamond"/>
          <w:sz w:val="18"/>
          <w:szCs w:val="18"/>
        </w:rPr>
        <w:t xml:space="preserve"> (</w:t>
      </w:r>
      <w:proofErr w:type="spellStart"/>
      <w:r w:rsidRPr="00F017DC">
        <w:rPr>
          <w:rFonts w:ascii="Garamond" w:hAnsi="Garamond"/>
          <w:sz w:val="18"/>
          <w:szCs w:val="18"/>
        </w:rPr>
        <w:t>dir</w:t>
      </w:r>
      <w:proofErr w:type="spellEnd"/>
      <w:r w:rsidRPr="00F017DC">
        <w:rPr>
          <w:rFonts w:ascii="Garamond" w:hAnsi="Garamond"/>
          <w:sz w:val="18"/>
          <w:szCs w:val="18"/>
        </w:rPr>
        <w:t xml:space="preserve">.), </w:t>
      </w:r>
      <w:proofErr w:type="spellStart"/>
      <w:r w:rsidRPr="00F017DC">
        <w:rPr>
          <w:rFonts w:ascii="Garamond" w:hAnsi="Garamond"/>
          <w:i/>
          <w:iCs/>
          <w:sz w:val="18"/>
          <w:szCs w:val="18"/>
        </w:rPr>
        <w:t>Lawfare</w:t>
      </w:r>
      <w:proofErr w:type="spellEnd"/>
      <w:r w:rsidRPr="00F017DC">
        <w:rPr>
          <w:rFonts w:ascii="Garamond" w:hAnsi="Garamond"/>
          <w:i/>
          <w:iCs/>
          <w:sz w:val="18"/>
          <w:szCs w:val="18"/>
        </w:rPr>
        <w:t> : le droit en procès</w:t>
      </w:r>
      <w:r w:rsidRPr="00F017DC">
        <w:rPr>
          <w:rFonts w:ascii="Garamond" w:hAnsi="Garamond"/>
          <w:sz w:val="18"/>
          <w:szCs w:val="18"/>
        </w:rPr>
        <w:t>, Raisons politiques, 2022/1, n° 85.</w:t>
      </w:r>
    </w:p>
  </w:footnote>
  <w:footnote w:id="10">
    <w:p w14:paraId="3933B2B0" w14:textId="14C45190" w:rsidR="006D1B68" w:rsidRPr="00F017DC" w:rsidRDefault="006D1B68"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000636E1" w:rsidRPr="00F017DC">
        <w:rPr>
          <w:rFonts w:ascii="Garamond" w:hAnsi="Garamond"/>
          <w:sz w:val="18"/>
          <w:szCs w:val="18"/>
        </w:rPr>
        <w:tab/>
      </w:r>
      <w:r w:rsidRPr="00F017DC">
        <w:rPr>
          <w:rFonts w:ascii="Garamond" w:hAnsi="Garamond"/>
          <w:sz w:val="18"/>
          <w:szCs w:val="18"/>
        </w:rPr>
        <w:t xml:space="preserve">Cf. A. Laidi, « le droit, nouvelle arme de guerre économique », Actes sud, 2019 ; </w:t>
      </w:r>
      <w:proofErr w:type="spellStart"/>
      <w:r w:rsidRPr="00F017DC">
        <w:rPr>
          <w:rFonts w:ascii="Garamond" w:hAnsi="Garamond"/>
          <w:sz w:val="18"/>
          <w:szCs w:val="18"/>
        </w:rPr>
        <w:t>Orde</w:t>
      </w:r>
      <w:proofErr w:type="spellEnd"/>
      <w:r w:rsidRPr="00F017DC">
        <w:rPr>
          <w:rFonts w:ascii="Garamond" w:hAnsi="Garamond"/>
          <w:sz w:val="18"/>
          <w:szCs w:val="18"/>
        </w:rPr>
        <w:t xml:space="preserve"> F. </w:t>
      </w:r>
      <w:proofErr w:type="spellStart"/>
      <w:r w:rsidRPr="00F017DC">
        <w:rPr>
          <w:rFonts w:ascii="Garamond" w:hAnsi="Garamond"/>
          <w:sz w:val="18"/>
          <w:szCs w:val="18"/>
        </w:rPr>
        <w:t>Kiterie</w:t>
      </w:r>
      <w:proofErr w:type="spellEnd"/>
      <w:r w:rsidRPr="00F017DC">
        <w:rPr>
          <w:rFonts w:ascii="Garamond" w:hAnsi="Garamond"/>
          <w:sz w:val="18"/>
          <w:szCs w:val="18"/>
        </w:rPr>
        <w:t xml:space="preserve">, </w:t>
      </w:r>
      <w:proofErr w:type="spellStart"/>
      <w:r w:rsidRPr="00F017DC">
        <w:rPr>
          <w:rFonts w:ascii="Garamond" w:hAnsi="Garamond"/>
          <w:i/>
          <w:iCs/>
          <w:sz w:val="18"/>
          <w:szCs w:val="18"/>
        </w:rPr>
        <w:t>Lawfare</w:t>
      </w:r>
      <w:proofErr w:type="spellEnd"/>
      <w:r w:rsidRPr="00F017DC">
        <w:rPr>
          <w:rFonts w:ascii="Garamond" w:hAnsi="Garamond"/>
          <w:i/>
          <w:iCs/>
          <w:sz w:val="18"/>
          <w:szCs w:val="18"/>
        </w:rPr>
        <w:t xml:space="preserve">, Law as a </w:t>
      </w:r>
      <w:proofErr w:type="spellStart"/>
      <w:r w:rsidRPr="00F017DC">
        <w:rPr>
          <w:rFonts w:ascii="Garamond" w:hAnsi="Garamond"/>
          <w:i/>
          <w:iCs/>
          <w:sz w:val="18"/>
          <w:szCs w:val="18"/>
        </w:rPr>
        <w:t>Weapon</w:t>
      </w:r>
      <w:proofErr w:type="spellEnd"/>
      <w:r w:rsidRPr="00F017DC">
        <w:rPr>
          <w:rFonts w:ascii="Garamond" w:hAnsi="Garamond"/>
          <w:i/>
          <w:iCs/>
          <w:sz w:val="18"/>
          <w:szCs w:val="18"/>
        </w:rPr>
        <w:t xml:space="preserve"> of </w:t>
      </w:r>
      <w:proofErr w:type="spellStart"/>
      <w:r w:rsidRPr="00F017DC">
        <w:rPr>
          <w:rFonts w:ascii="Garamond" w:hAnsi="Garamond"/>
          <w:i/>
          <w:iCs/>
          <w:sz w:val="18"/>
          <w:szCs w:val="18"/>
        </w:rPr>
        <w:t>War</w:t>
      </w:r>
      <w:proofErr w:type="spellEnd"/>
      <w:r w:rsidRPr="00F017DC">
        <w:rPr>
          <w:rFonts w:ascii="Garamond" w:hAnsi="Garamond"/>
          <w:sz w:val="18"/>
          <w:szCs w:val="18"/>
        </w:rPr>
        <w:t xml:space="preserve">, op. </w:t>
      </w:r>
      <w:proofErr w:type="spellStart"/>
      <w:r w:rsidRPr="00F017DC">
        <w:rPr>
          <w:rFonts w:ascii="Garamond" w:hAnsi="Garamond"/>
          <w:sz w:val="18"/>
          <w:szCs w:val="18"/>
        </w:rPr>
        <w:t>cit</w:t>
      </w:r>
      <w:proofErr w:type="spellEnd"/>
      <w:r w:rsidRPr="00F017DC">
        <w:rPr>
          <w:rFonts w:ascii="Garamond" w:hAnsi="Garamond"/>
          <w:sz w:val="18"/>
          <w:szCs w:val="18"/>
        </w:rPr>
        <w:t xml:space="preserve">. </w:t>
      </w:r>
    </w:p>
  </w:footnote>
  <w:footnote w:id="11">
    <w:p w14:paraId="04F53249" w14:textId="27B13CDB" w:rsidR="004D7CA3" w:rsidRPr="00F017DC" w:rsidRDefault="004D7CA3"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 xml:space="preserve">Cf. F. Chatillon, </w:t>
      </w:r>
      <w:r w:rsidRPr="00F017DC">
        <w:rPr>
          <w:rFonts w:ascii="Garamond" w:hAnsi="Garamond"/>
          <w:i/>
          <w:iCs/>
          <w:sz w:val="18"/>
          <w:szCs w:val="18"/>
        </w:rPr>
        <w:t>Les guerres d’influence</w:t>
      </w:r>
      <w:r w:rsidRPr="00F017DC">
        <w:rPr>
          <w:rFonts w:ascii="Garamond" w:hAnsi="Garamond"/>
          <w:sz w:val="18"/>
          <w:szCs w:val="18"/>
        </w:rPr>
        <w:t>, Ed. Odile Jacob, 2023.</w:t>
      </w:r>
    </w:p>
  </w:footnote>
  <w:footnote w:id="12">
    <w:p w14:paraId="22AF0400" w14:textId="4A79C56C" w:rsidR="001370F7" w:rsidRPr="00F017DC" w:rsidRDefault="001370F7"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000636E1" w:rsidRPr="00F017DC">
        <w:rPr>
          <w:rFonts w:ascii="Garamond" w:hAnsi="Garamond"/>
          <w:sz w:val="18"/>
          <w:szCs w:val="18"/>
        </w:rPr>
        <w:tab/>
      </w:r>
      <w:r w:rsidRPr="00F017DC">
        <w:rPr>
          <w:rFonts w:ascii="Garamond" w:hAnsi="Garamond"/>
          <w:sz w:val="18"/>
          <w:szCs w:val="18"/>
        </w:rPr>
        <w:t xml:space="preserve">La formule </w:t>
      </w:r>
      <w:r w:rsidR="00BC7437" w:rsidRPr="00F017DC">
        <w:rPr>
          <w:rFonts w:ascii="Garamond" w:hAnsi="Garamond"/>
          <w:sz w:val="18"/>
          <w:szCs w:val="18"/>
        </w:rPr>
        <w:t>« </w:t>
      </w:r>
      <w:proofErr w:type="spellStart"/>
      <w:r w:rsidR="00BC7437" w:rsidRPr="00F017DC">
        <w:rPr>
          <w:rFonts w:ascii="Garamond" w:hAnsi="Garamond"/>
          <w:i/>
          <w:iCs/>
          <w:sz w:val="18"/>
          <w:szCs w:val="18"/>
        </w:rPr>
        <w:t>winning</w:t>
      </w:r>
      <w:proofErr w:type="spellEnd"/>
      <w:r w:rsidR="00BC7437" w:rsidRPr="00F017DC">
        <w:rPr>
          <w:rFonts w:ascii="Garamond" w:hAnsi="Garamond"/>
          <w:i/>
          <w:iCs/>
          <w:sz w:val="18"/>
          <w:szCs w:val="18"/>
        </w:rPr>
        <w:t xml:space="preserve"> </w:t>
      </w:r>
      <w:proofErr w:type="spellStart"/>
      <w:r w:rsidR="00BC7437" w:rsidRPr="00F017DC">
        <w:rPr>
          <w:rFonts w:ascii="Garamond" w:hAnsi="Garamond"/>
          <w:i/>
          <w:iCs/>
          <w:sz w:val="18"/>
          <w:szCs w:val="18"/>
        </w:rPr>
        <w:t>hearts</w:t>
      </w:r>
      <w:proofErr w:type="spellEnd"/>
      <w:r w:rsidR="00BC7437" w:rsidRPr="00F017DC">
        <w:rPr>
          <w:rFonts w:ascii="Garamond" w:hAnsi="Garamond"/>
          <w:i/>
          <w:iCs/>
          <w:sz w:val="18"/>
          <w:szCs w:val="18"/>
        </w:rPr>
        <w:t xml:space="preserve"> and </w:t>
      </w:r>
      <w:proofErr w:type="spellStart"/>
      <w:r w:rsidR="00BC7437" w:rsidRPr="00F017DC">
        <w:rPr>
          <w:rFonts w:ascii="Garamond" w:hAnsi="Garamond"/>
          <w:i/>
          <w:iCs/>
          <w:sz w:val="18"/>
          <w:szCs w:val="18"/>
        </w:rPr>
        <w:t>minds</w:t>
      </w:r>
      <w:proofErr w:type="spellEnd"/>
      <w:r w:rsidR="00BC7437" w:rsidRPr="00F017DC">
        <w:rPr>
          <w:rFonts w:ascii="Garamond" w:hAnsi="Garamond"/>
          <w:i/>
          <w:iCs/>
          <w:sz w:val="18"/>
          <w:szCs w:val="18"/>
        </w:rPr>
        <w:t xml:space="preserve"> » </w:t>
      </w:r>
      <w:r w:rsidRPr="00F017DC">
        <w:rPr>
          <w:rFonts w:ascii="Garamond" w:hAnsi="Garamond"/>
          <w:sz w:val="18"/>
          <w:szCs w:val="18"/>
        </w:rPr>
        <w:t xml:space="preserve">est généralement attribuée à Sir Gerard </w:t>
      </w:r>
      <w:proofErr w:type="spellStart"/>
      <w:r w:rsidRPr="00F017DC">
        <w:rPr>
          <w:rFonts w:ascii="Garamond" w:hAnsi="Garamond"/>
          <w:sz w:val="18"/>
          <w:szCs w:val="18"/>
        </w:rPr>
        <w:t>Templer</w:t>
      </w:r>
      <w:proofErr w:type="spellEnd"/>
      <w:r w:rsidRPr="00F017DC">
        <w:rPr>
          <w:rFonts w:ascii="Garamond" w:hAnsi="Garamond"/>
          <w:sz w:val="18"/>
          <w:szCs w:val="18"/>
        </w:rPr>
        <w:t xml:space="preserve">, pendant la campagne contre-insurrectionnelle du </w:t>
      </w:r>
      <w:proofErr w:type="spellStart"/>
      <w:r w:rsidRPr="00F017DC">
        <w:rPr>
          <w:rFonts w:ascii="Garamond" w:hAnsi="Garamond"/>
          <w:i/>
          <w:iCs/>
          <w:sz w:val="18"/>
          <w:szCs w:val="18"/>
        </w:rPr>
        <w:t>Malayan</w:t>
      </w:r>
      <w:proofErr w:type="spellEnd"/>
      <w:r w:rsidRPr="00F017DC">
        <w:rPr>
          <w:rFonts w:ascii="Garamond" w:hAnsi="Garamond"/>
          <w:i/>
          <w:iCs/>
          <w:sz w:val="18"/>
          <w:szCs w:val="18"/>
        </w:rPr>
        <w:t xml:space="preserve"> Emergency</w:t>
      </w:r>
      <w:r w:rsidRPr="00F017DC">
        <w:rPr>
          <w:rFonts w:ascii="Garamond" w:hAnsi="Garamond"/>
          <w:sz w:val="18"/>
          <w:szCs w:val="18"/>
        </w:rPr>
        <w:t xml:space="preserve"> entre 1948-1960. Elle s’inscrit cependant dans toute</w:t>
      </w:r>
      <w:r w:rsidR="00BC7437" w:rsidRPr="00F017DC">
        <w:rPr>
          <w:rFonts w:ascii="Garamond" w:hAnsi="Garamond"/>
          <w:sz w:val="18"/>
          <w:szCs w:val="18"/>
        </w:rPr>
        <w:t>s les opérations de « contre-insurrection »</w:t>
      </w:r>
      <w:r w:rsidR="00404BB8" w:rsidRPr="00F017DC">
        <w:rPr>
          <w:rFonts w:ascii="Garamond" w:hAnsi="Garamond"/>
          <w:sz w:val="18"/>
          <w:szCs w:val="18"/>
        </w:rPr>
        <w:t> : c</w:t>
      </w:r>
      <w:r w:rsidRPr="00F017DC">
        <w:rPr>
          <w:rFonts w:ascii="Garamond" w:hAnsi="Garamond"/>
          <w:sz w:val="18"/>
          <w:szCs w:val="18"/>
        </w:rPr>
        <w:t xml:space="preserve">f. Ch. Olsson, « Guerre totale et/ou force minimale ? Histoire et paradoxes des « cœurs et des esprits », Cultures </w:t>
      </w:r>
      <w:r w:rsidR="00BC7437" w:rsidRPr="00F017DC">
        <w:rPr>
          <w:rFonts w:ascii="Garamond" w:hAnsi="Garamond"/>
          <w:sz w:val="18"/>
          <w:szCs w:val="18"/>
        </w:rPr>
        <w:t>&amp; Conflits, 2007, 67, p. 35 </w:t>
      </w:r>
      <w:r w:rsidR="00404BB8" w:rsidRPr="00F017DC">
        <w:rPr>
          <w:rFonts w:ascii="Garamond" w:hAnsi="Garamond"/>
          <w:sz w:val="18"/>
          <w:szCs w:val="18"/>
        </w:rPr>
        <w:t xml:space="preserve">(en ligne) </w:t>
      </w:r>
      <w:r w:rsidR="00BC7437" w:rsidRPr="00F017DC">
        <w:rPr>
          <w:rFonts w:ascii="Garamond" w:hAnsi="Garamond"/>
          <w:sz w:val="18"/>
          <w:szCs w:val="18"/>
        </w:rPr>
        <w:t>;  Ch. Olsson, « De la pacification coloniale aux opérations</w:t>
      </w:r>
      <w:r w:rsidR="00404BB8" w:rsidRPr="00F017DC">
        <w:rPr>
          <w:rFonts w:ascii="Garamond" w:hAnsi="Garamond"/>
          <w:sz w:val="18"/>
          <w:szCs w:val="18"/>
        </w:rPr>
        <w:t xml:space="preserve"> e</w:t>
      </w:r>
      <w:r w:rsidR="00BC7437" w:rsidRPr="00F017DC">
        <w:rPr>
          <w:rFonts w:ascii="Garamond" w:hAnsi="Garamond"/>
          <w:sz w:val="18"/>
          <w:szCs w:val="18"/>
        </w:rPr>
        <w:t>xtérieures Retour sur la généalogie « des cœurs et des esprits », Questions de Recherche, Sces Po,</w:t>
      </w:r>
      <w:r w:rsidR="00404BB8" w:rsidRPr="00F017DC">
        <w:rPr>
          <w:rFonts w:ascii="Garamond" w:hAnsi="Garamond"/>
          <w:sz w:val="18"/>
          <w:szCs w:val="18"/>
        </w:rPr>
        <w:t xml:space="preserve"> 2012, n° 39 (en ligne) ;</w:t>
      </w:r>
      <w:r w:rsidR="00BC7437" w:rsidRPr="00F017DC">
        <w:rPr>
          <w:rFonts w:ascii="Garamond" w:hAnsi="Garamond"/>
          <w:sz w:val="18"/>
          <w:szCs w:val="18"/>
        </w:rPr>
        <w:t xml:space="preserve">dans la pensée militaire contemporaine », Lieutenant B. </w:t>
      </w:r>
      <w:proofErr w:type="spellStart"/>
      <w:r w:rsidR="00BC7437" w:rsidRPr="00F017DC">
        <w:rPr>
          <w:rFonts w:ascii="Garamond" w:hAnsi="Garamond"/>
          <w:sz w:val="18"/>
          <w:szCs w:val="18"/>
        </w:rPr>
        <w:t>Valeyre</w:t>
      </w:r>
      <w:proofErr w:type="spellEnd"/>
      <w:r w:rsidR="00BC7437" w:rsidRPr="00F017DC">
        <w:rPr>
          <w:rFonts w:ascii="Garamond" w:hAnsi="Garamond"/>
          <w:sz w:val="18"/>
          <w:szCs w:val="18"/>
        </w:rPr>
        <w:t>, « </w:t>
      </w:r>
      <w:r w:rsidR="00BC7437" w:rsidRPr="00F017DC">
        <w:rPr>
          <w:rFonts w:ascii="Garamond" w:hAnsi="Garamond"/>
          <w:i/>
          <w:iCs/>
          <w:sz w:val="18"/>
          <w:szCs w:val="18"/>
        </w:rPr>
        <w:t>Gagner les cœurs et</w:t>
      </w:r>
      <w:r w:rsidR="00404BB8" w:rsidRPr="00F017DC">
        <w:rPr>
          <w:rFonts w:ascii="Garamond" w:hAnsi="Garamond"/>
          <w:i/>
          <w:iCs/>
          <w:sz w:val="18"/>
          <w:szCs w:val="18"/>
        </w:rPr>
        <w:t xml:space="preserve"> </w:t>
      </w:r>
      <w:r w:rsidR="00BC7437" w:rsidRPr="00F017DC">
        <w:rPr>
          <w:rFonts w:ascii="Garamond" w:hAnsi="Garamond"/>
          <w:i/>
          <w:iCs/>
          <w:sz w:val="18"/>
          <w:szCs w:val="18"/>
        </w:rPr>
        <w:t>les esprits », Origine historique du concept et application actuelle en Afghanistan »</w:t>
      </w:r>
      <w:r w:rsidR="00BC7437" w:rsidRPr="00F017DC">
        <w:rPr>
          <w:rFonts w:ascii="Garamond" w:hAnsi="Garamond"/>
          <w:sz w:val="18"/>
          <w:szCs w:val="18"/>
        </w:rPr>
        <w:t>, Cahier de la recherche doctrinale, DREX, MINDEF, 2010 (en ligne).</w:t>
      </w:r>
    </w:p>
  </w:footnote>
  <w:footnote w:id="13">
    <w:p w14:paraId="4CE09450" w14:textId="0E35BA94" w:rsidR="00083E6D" w:rsidRPr="00F017DC" w:rsidRDefault="00083E6D"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ab/>
      </w:r>
      <w:proofErr w:type="spellStart"/>
      <w:r w:rsidRPr="00F017DC">
        <w:rPr>
          <w:rFonts w:ascii="Garamond" w:hAnsi="Garamond"/>
          <w:sz w:val="18"/>
          <w:szCs w:val="18"/>
        </w:rPr>
        <w:t>Comp</w:t>
      </w:r>
      <w:proofErr w:type="spellEnd"/>
      <w:r w:rsidRPr="00F017DC">
        <w:rPr>
          <w:rFonts w:ascii="Garamond" w:hAnsi="Garamond"/>
          <w:sz w:val="18"/>
          <w:szCs w:val="18"/>
        </w:rPr>
        <w:t xml:space="preserve">. A. </w:t>
      </w:r>
      <w:proofErr w:type="spellStart"/>
      <w:r w:rsidRPr="00F017DC">
        <w:rPr>
          <w:rFonts w:ascii="Garamond" w:hAnsi="Garamond"/>
          <w:sz w:val="18"/>
          <w:szCs w:val="18"/>
        </w:rPr>
        <w:t>Férey</w:t>
      </w:r>
      <w:proofErr w:type="spellEnd"/>
      <w:r w:rsidRPr="00F017DC">
        <w:rPr>
          <w:rFonts w:ascii="Garamond" w:hAnsi="Garamond"/>
          <w:sz w:val="18"/>
          <w:szCs w:val="18"/>
        </w:rPr>
        <w:t xml:space="preserve">, « Vers une guerre des normes ? Du </w:t>
      </w:r>
      <w:proofErr w:type="spellStart"/>
      <w:r w:rsidRPr="00F017DC">
        <w:rPr>
          <w:rStyle w:val="selected"/>
          <w:rFonts w:ascii="Garamond" w:hAnsi="Garamond"/>
          <w:i/>
          <w:iCs/>
          <w:sz w:val="18"/>
          <w:szCs w:val="18"/>
        </w:rPr>
        <w:t>lawfare</w:t>
      </w:r>
      <w:proofErr w:type="spellEnd"/>
      <w:r w:rsidRPr="00F017DC">
        <w:rPr>
          <w:rStyle w:val="highlight-phrase"/>
          <w:rFonts w:ascii="Garamond" w:hAnsi="Garamond"/>
          <w:i/>
          <w:iCs/>
          <w:sz w:val="18"/>
          <w:szCs w:val="18"/>
        </w:rPr>
        <w:t xml:space="preserve"> </w:t>
      </w:r>
      <w:r w:rsidRPr="00F017DC">
        <w:rPr>
          <w:rFonts w:ascii="Garamond" w:hAnsi="Garamond"/>
          <w:sz w:val="18"/>
          <w:szCs w:val="18"/>
        </w:rPr>
        <w:t xml:space="preserve">aux opérations juridiques », </w:t>
      </w:r>
      <w:r w:rsidRPr="00F017DC">
        <w:rPr>
          <w:rFonts w:ascii="Garamond" w:hAnsi="Garamond"/>
          <w:i/>
          <w:iCs/>
          <w:sz w:val="18"/>
          <w:szCs w:val="18"/>
        </w:rPr>
        <w:t>Focus stratégique</w:t>
      </w:r>
      <w:r w:rsidRPr="00F017DC">
        <w:rPr>
          <w:rFonts w:ascii="Garamond" w:hAnsi="Garamond"/>
          <w:sz w:val="18"/>
          <w:szCs w:val="18"/>
        </w:rPr>
        <w:t xml:space="preserve">, n° 108, </w:t>
      </w:r>
      <w:proofErr w:type="spellStart"/>
      <w:r w:rsidRPr="00F017DC">
        <w:rPr>
          <w:rFonts w:ascii="Garamond" w:hAnsi="Garamond"/>
          <w:sz w:val="18"/>
          <w:szCs w:val="18"/>
        </w:rPr>
        <w:t>Ifri</w:t>
      </w:r>
      <w:proofErr w:type="spellEnd"/>
      <w:r w:rsidRPr="00F017DC">
        <w:rPr>
          <w:rFonts w:ascii="Garamond" w:hAnsi="Garamond"/>
          <w:sz w:val="18"/>
          <w:szCs w:val="18"/>
        </w:rPr>
        <w:t>, avril 2022.</w:t>
      </w:r>
    </w:p>
  </w:footnote>
  <w:footnote w:id="14">
    <w:p w14:paraId="25B09AE9" w14:textId="35575315" w:rsidR="00631095" w:rsidRPr="00F017DC" w:rsidRDefault="00631095"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00083E6D" w:rsidRPr="00F017DC">
        <w:rPr>
          <w:rFonts w:ascii="Garamond" w:hAnsi="Garamond"/>
          <w:sz w:val="18"/>
          <w:szCs w:val="18"/>
        </w:rPr>
        <w:tab/>
      </w:r>
      <w:r w:rsidRPr="00F017DC">
        <w:rPr>
          <w:rFonts w:ascii="Garamond" w:hAnsi="Garamond"/>
          <w:sz w:val="18"/>
          <w:szCs w:val="18"/>
        </w:rPr>
        <w:t>La réinterprétation du droit de la mer par la Chine, au prétexte de droits historiques dont elle prétend</w:t>
      </w:r>
      <w:r w:rsidR="00083E6D" w:rsidRPr="00F017DC">
        <w:rPr>
          <w:rFonts w:ascii="Garamond" w:hAnsi="Garamond"/>
          <w:sz w:val="18"/>
          <w:szCs w:val="18"/>
        </w:rPr>
        <w:t>r</w:t>
      </w:r>
      <w:r w:rsidRPr="00F017DC">
        <w:rPr>
          <w:rFonts w:ascii="Garamond" w:hAnsi="Garamond"/>
          <w:sz w:val="18"/>
          <w:szCs w:val="18"/>
        </w:rPr>
        <w:t>ait</w:t>
      </w:r>
      <w:r w:rsidR="00083E6D" w:rsidRPr="00F017DC">
        <w:rPr>
          <w:rFonts w:ascii="Garamond" w:hAnsi="Garamond"/>
          <w:sz w:val="18"/>
          <w:szCs w:val="18"/>
        </w:rPr>
        <w:t xml:space="preserve"> </w:t>
      </w:r>
      <w:r w:rsidRPr="00F017DC">
        <w:rPr>
          <w:rFonts w:ascii="Garamond" w:hAnsi="Garamond"/>
          <w:sz w:val="18"/>
          <w:szCs w:val="18"/>
        </w:rPr>
        <w:t>être titulaire lui permet d’effectuer, sans tenir compte des règles du droit de la Mer, un certain nombre d’opérations agressives</w:t>
      </w:r>
      <w:r w:rsidR="00083E6D" w:rsidRPr="00F017DC">
        <w:rPr>
          <w:rFonts w:ascii="Garamond" w:hAnsi="Garamond"/>
          <w:sz w:val="18"/>
          <w:szCs w:val="18"/>
        </w:rPr>
        <w:t xml:space="preserve"> contre ses </w:t>
      </w:r>
      <w:r w:rsidRPr="00F017DC">
        <w:rPr>
          <w:rFonts w:ascii="Garamond" w:hAnsi="Garamond"/>
          <w:sz w:val="18"/>
          <w:szCs w:val="18"/>
        </w:rPr>
        <w:t xml:space="preserve">voisins. Les Philippines ont engagé une procédure d’arbitrage, devant la Cour Permanente d’arbitrage de La Haye, auquel la Chine a refusé de participer, et pour cause, ses positions étant totalement étrangères aux règles du droit international de la mer, coutumier ou conventionnel. Une sentence a été rendue le 12 juillet 2016, après une sentence sur la compétence du tribunal arbitral, condamnant la délimitation unilatéralement choisie par la Chine, notamment la « ligne des neuf traits » (PCA Case 2013-19, </w:t>
      </w:r>
      <w:proofErr w:type="spellStart"/>
      <w:r w:rsidRPr="00F017DC">
        <w:rPr>
          <w:rFonts w:ascii="Garamond" w:hAnsi="Garamond"/>
          <w:sz w:val="18"/>
          <w:szCs w:val="18"/>
        </w:rPr>
        <w:t>Award</w:t>
      </w:r>
      <w:proofErr w:type="spellEnd"/>
      <w:r w:rsidRPr="00F017DC">
        <w:rPr>
          <w:rFonts w:ascii="Garamond" w:hAnsi="Garamond"/>
          <w:sz w:val="18"/>
          <w:szCs w:val="18"/>
        </w:rPr>
        <w:t xml:space="preserve">, PCA, 12 juill. 2016, en ligne). V. aussi, toujours sur le fondement de la Convention de 1982, les procédures d’arbitrage engagées par l’Ukraine, en 2016, </w:t>
      </w:r>
      <w:proofErr w:type="gramStart"/>
      <w:r w:rsidRPr="00F017DC">
        <w:rPr>
          <w:rFonts w:ascii="Garamond" w:hAnsi="Garamond"/>
          <w:sz w:val="18"/>
          <w:szCs w:val="18"/>
        </w:rPr>
        <w:t>contre</w:t>
      </w:r>
      <w:proofErr w:type="gramEnd"/>
      <w:r w:rsidRPr="00F017DC">
        <w:rPr>
          <w:rFonts w:ascii="Garamond" w:hAnsi="Garamond"/>
          <w:sz w:val="18"/>
          <w:szCs w:val="18"/>
        </w:rPr>
        <w:t xml:space="preserve"> la Fédération de Russie, sur les droits côtiers de la Mer Noire, de la Mer d’Azov et du Détroit de </w:t>
      </w:r>
      <w:proofErr w:type="spellStart"/>
      <w:r w:rsidRPr="00F017DC">
        <w:rPr>
          <w:rFonts w:ascii="Garamond" w:hAnsi="Garamond"/>
          <w:sz w:val="18"/>
          <w:szCs w:val="18"/>
        </w:rPr>
        <w:t>Kerch</w:t>
      </w:r>
      <w:proofErr w:type="spellEnd"/>
      <w:r w:rsidRPr="00F017DC">
        <w:rPr>
          <w:rFonts w:ascii="Garamond" w:hAnsi="Garamond"/>
          <w:sz w:val="18"/>
          <w:szCs w:val="18"/>
        </w:rPr>
        <w:t xml:space="preserve"> (PCA Case n° 2017-06), et en 2019, relatif à la détention de bateaux et de marins ukrainiens (PCA Case n° 2019-28).</w:t>
      </w:r>
    </w:p>
  </w:footnote>
  <w:footnote w:id="15">
    <w:p w14:paraId="239ADE56" w14:textId="5B58F55C" w:rsidR="002C6A4F" w:rsidRPr="00F017DC" w:rsidRDefault="002C6A4F" w:rsidP="00F56AD9">
      <w:pPr>
        <w:pStyle w:val="Notedebasdepage"/>
        <w:jc w:val="both"/>
        <w:rPr>
          <w:rFonts w:ascii="Garamond" w:hAnsi="Garamond"/>
          <w:sz w:val="18"/>
          <w:szCs w:val="18"/>
          <w:lang w:val="en-GB"/>
        </w:rPr>
      </w:pPr>
      <w:r w:rsidRPr="00D13758">
        <w:rPr>
          <w:rStyle w:val="Appelnotedebasdep"/>
          <w:rFonts w:ascii="Garamond" w:hAnsi="Garamond"/>
          <w:sz w:val="18"/>
          <w:szCs w:val="18"/>
        </w:rPr>
        <w:footnoteRef/>
      </w:r>
      <w:r w:rsidRPr="00D13758">
        <w:rPr>
          <w:rFonts w:ascii="Garamond" w:hAnsi="Garamond"/>
          <w:sz w:val="18"/>
          <w:szCs w:val="18"/>
          <w:lang w:val="en-GB"/>
        </w:rPr>
        <w:t xml:space="preserve"> </w:t>
      </w:r>
      <w:r w:rsidRPr="00D13758">
        <w:rPr>
          <w:rFonts w:ascii="Garamond" w:hAnsi="Garamond"/>
          <w:sz w:val="18"/>
          <w:szCs w:val="18"/>
          <w:lang w:val="en-GB"/>
        </w:rPr>
        <w:tab/>
        <w:t xml:space="preserve">Cf. </w:t>
      </w:r>
      <w:r w:rsidR="00D13758" w:rsidRPr="00D13758">
        <w:rPr>
          <w:rFonts w:ascii="Garamond" w:hAnsi="Garamond"/>
          <w:sz w:val="18"/>
          <w:szCs w:val="18"/>
          <w:lang w:val="en-GB"/>
        </w:rPr>
        <w:t>infra.</w:t>
      </w:r>
    </w:p>
  </w:footnote>
  <w:footnote w:id="16">
    <w:p w14:paraId="096B317D" w14:textId="3C979E58" w:rsidR="00404BB8" w:rsidRPr="00F017DC" w:rsidRDefault="00404BB8" w:rsidP="00F56AD9">
      <w:pPr>
        <w:pStyle w:val="Notedebasdepage"/>
        <w:jc w:val="both"/>
        <w:rPr>
          <w:rFonts w:ascii="Garamond" w:hAnsi="Garamond"/>
          <w:sz w:val="18"/>
          <w:szCs w:val="18"/>
          <w:lang w:val="en-GB"/>
        </w:rPr>
      </w:pPr>
      <w:r w:rsidRPr="00F017DC">
        <w:rPr>
          <w:rStyle w:val="Appelnotedebasdep"/>
          <w:rFonts w:ascii="Garamond" w:hAnsi="Garamond"/>
          <w:sz w:val="18"/>
          <w:szCs w:val="18"/>
        </w:rPr>
        <w:footnoteRef/>
      </w:r>
      <w:r w:rsidRPr="00F017DC">
        <w:rPr>
          <w:rFonts w:ascii="Garamond" w:hAnsi="Garamond"/>
          <w:sz w:val="18"/>
          <w:szCs w:val="18"/>
          <w:lang w:val="en-GB"/>
        </w:rPr>
        <w:t xml:space="preserve"> </w:t>
      </w:r>
      <w:r w:rsidR="000636E1" w:rsidRPr="00F017DC">
        <w:rPr>
          <w:rFonts w:ascii="Garamond" w:hAnsi="Garamond"/>
          <w:sz w:val="18"/>
          <w:szCs w:val="18"/>
          <w:lang w:val="en-GB"/>
        </w:rPr>
        <w:tab/>
      </w:r>
      <w:r w:rsidRPr="00F017DC">
        <w:rPr>
          <w:rFonts w:ascii="Garamond" w:hAnsi="Garamond"/>
          <w:sz w:val="18"/>
          <w:szCs w:val="18"/>
          <w:lang w:val="en-GB"/>
        </w:rPr>
        <w:t xml:space="preserve">Orde F. </w:t>
      </w:r>
      <w:proofErr w:type="spellStart"/>
      <w:r w:rsidRPr="00F017DC">
        <w:rPr>
          <w:rFonts w:ascii="Garamond" w:hAnsi="Garamond"/>
          <w:sz w:val="18"/>
          <w:szCs w:val="18"/>
          <w:lang w:val="en-GB"/>
        </w:rPr>
        <w:t>Kiterie</w:t>
      </w:r>
      <w:proofErr w:type="spellEnd"/>
      <w:r w:rsidRPr="00F017DC">
        <w:rPr>
          <w:rFonts w:ascii="Garamond" w:hAnsi="Garamond"/>
          <w:sz w:val="18"/>
          <w:szCs w:val="18"/>
          <w:lang w:val="en-GB"/>
        </w:rPr>
        <w:t>, Lawfare, Law as a Weapon of War, op. cit.</w:t>
      </w:r>
    </w:p>
  </w:footnote>
  <w:footnote w:id="17">
    <w:p w14:paraId="11C35908" w14:textId="1ECC0CB4" w:rsidR="00404BB8" w:rsidRPr="00F017DC" w:rsidRDefault="00404BB8"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000636E1" w:rsidRPr="00F017DC">
        <w:rPr>
          <w:rFonts w:ascii="Garamond" w:hAnsi="Garamond"/>
          <w:sz w:val="18"/>
          <w:szCs w:val="18"/>
        </w:rPr>
        <w:tab/>
      </w:r>
      <w:r w:rsidRPr="00F017DC">
        <w:rPr>
          <w:rFonts w:ascii="Garamond" w:hAnsi="Garamond"/>
          <w:sz w:val="18"/>
          <w:szCs w:val="18"/>
        </w:rPr>
        <w:t xml:space="preserve">A. </w:t>
      </w:r>
      <w:proofErr w:type="spellStart"/>
      <w:r w:rsidRPr="00F017DC">
        <w:rPr>
          <w:rFonts w:ascii="Garamond" w:hAnsi="Garamond"/>
          <w:sz w:val="18"/>
          <w:szCs w:val="18"/>
        </w:rPr>
        <w:t>S</w:t>
      </w:r>
      <w:r w:rsidR="00991CB2" w:rsidRPr="00F017DC">
        <w:rPr>
          <w:rFonts w:ascii="Garamond" w:hAnsi="Garamond"/>
          <w:sz w:val="18"/>
          <w:szCs w:val="18"/>
        </w:rPr>
        <w:t>c</w:t>
      </w:r>
      <w:r w:rsidRPr="00F017DC">
        <w:rPr>
          <w:rFonts w:ascii="Garamond" w:hAnsi="Garamond"/>
          <w:sz w:val="18"/>
          <w:szCs w:val="18"/>
        </w:rPr>
        <w:t>hu</w:t>
      </w:r>
      <w:proofErr w:type="spellEnd"/>
      <w:r w:rsidRPr="00F017DC">
        <w:rPr>
          <w:rFonts w:ascii="Garamond" w:hAnsi="Garamond"/>
          <w:sz w:val="18"/>
          <w:szCs w:val="18"/>
        </w:rPr>
        <w:t>, « </w:t>
      </w:r>
      <w:proofErr w:type="spellStart"/>
      <w:r w:rsidRPr="00F017DC">
        <w:rPr>
          <w:rFonts w:ascii="Garamond" w:hAnsi="Garamond"/>
          <w:sz w:val="18"/>
          <w:szCs w:val="18"/>
        </w:rPr>
        <w:t>Lawfare</w:t>
      </w:r>
      <w:proofErr w:type="spellEnd"/>
      <w:r w:rsidRPr="00F017DC">
        <w:rPr>
          <w:rFonts w:ascii="Garamond" w:hAnsi="Garamond"/>
          <w:sz w:val="18"/>
          <w:szCs w:val="18"/>
        </w:rPr>
        <w:t> : critique d’un concept défaillant »</w:t>
      </w:r>
      <w:r w:rsidR="000636E1" w:rsidRPr="00F017DC">
        <w:rPr>
          <w:rFonts w:ascii="Garamond" w:hAnsi="Garamond"/>
          <w:sz w:val="18"/>
          <w:szCs w:val="18"/>
        </w:rPr>
        <w:t xml:space="preserve">, in J. Ancelin et A </w:t>
      </w:r>
      <w:proofErr w:type="spellStart"/>
      <w:r w:rsidR="000636E1" w:rsidRPr="00F017DC">
        <w:rPr>
          <w:rFonts w:ascii="Garamond" w:hAnsi="Garamond"/>
          <w:sz w:val="18"/>
          <w:szCs w:val="18"/>
        </w:rPr>
        <w:t>Ferey</w:t>
      </w:r>
      <w:proofErr w:type="spellEnd"/>
      <w:r w:rsidR="000636E1" w:rsidRPr="00F017DC">
        <w:rPr>
          <w:rFonts w:ascii="Garamond" w:hAnsi="Garamond"/>
          <w:sz w:val="18"/>
          <w:szCs w:val="18"/>
        </w:rPr>
        <w:t xml:space="preserve"> (</w:t>
      </w:r>
      <w:proofErr w:type="spellStart"/>
      <w:r w:rsidR="000636E1" w:rsidRPr="00F017DC">
        <w:rPr>
          <w:rFonts w:ascii="Garamond" w:hAnsi="Garamond"/>
          <w:sz w:val="18"/>
          <w:szCs w:val="18"/>
        </w:rPr>
        <w:t>dir</w:t>
      </w:r>
      <w:proofErr w:type="spellEnd"/>
      <w:r w:rsidR="000636E1" w:rsidRPr="00F017DC">
        <w:rPr>
          <w:rFonts w:ascii="Garamond" w:hAnsi="Garamond"/>
          <w:sz w:val="18"/>
          <w:szCs w:val="18"/>
        </w:rPr>
        <w:t xml:space="preserve">.), </w:t>
      </w:r>
      <w:proofErr w:type="spellStart"/>
      <w:r w:rsidR="000636E1" w:rsidRPr="00F017DC">
        <w:rPr>
          <w:rFonts w:ascii="Garamond" w:hAnsi="Garamond"/>
          <w:i/>
          <w:iCs/>
          <w:sz w:val="18"/>
          <w:szCs w:val="18"/>
        </w:rPr>
        <w:t>Lawfare</w:t>
      </w:r>
      <w:proofErr w:type="spellEnd"/>
      <w:r w:rsidR="000636E1" w:rsidRPr="00F017DC">
        <w:rPr>
          <w:rFonts w:ascii="Garamond" w:hAnsi="Garamond"/>
          <w:i/>
          <w:iCs/>
          <w:sz w:val="18"/>
          <w:szCs w:val="18"/>
        </w:rPr>
        <w:t> : le droit en procès</w:t>
      </w:r>
      <w:r w:rsidR="000636E1" w:rsidRPr="00F017DC">
        <w:rPr>
          <w:rFonts w:ascii="Garamond" w:hAnsi="Garamond"/>
          <w:sz w:val="18"/>
          <w:szCs w:val="18"/>
        </w:rPr>
        <w:t xml:space="preserve">, op. </w:t>
      </w:r>
      <w:proofErr w:type="spellStart"/>
      <w:r w:rsidR="000636E1" w:rsidRPr="00F017DC">
        <w:rPr>
          <w:rFonts w:ascii="Garamond" w:hAnsi="Garamond"/>
          <w:sz w:val="18"/>
          <w:szCs w:val="18"/>
        </w:rPr>
        <w:t>cit</w:t>
      </w:r>
      <w:proofErr w:type="spellEnd"/>
      <w:r w:rsidR="000636E1" w:rsidRPr="00F017DC">
        <w:rPr>
          <w:rFonts w:ascii="Garamond" w:hAnsi="Garamond"/>
          <w:sz w:val="18"/>
          <w:szCs w:val="18"/>
        </w:rPr>
        <w:t xml:space="preserve">., p. </w:t>
      </w:r>
      <w:r w:rsidR="00991CB2" w:rsidRPr="00F017DC">
        <w:rPr>
          <w:rFonts w:ascii="Garamond" w:hAnsi="Garamond"/>
          <w:sz w:val="18"/>
          <w:szCs w:val="18"/>
        </w:rPr>
        <w:t>39.</w:t>
      </w:r>
    </w:p>
  </w:footnote>
  <w:footnote w:id="18">
    <w:p w14:paraId="777DB03E" w14:textId="6B1AADC8" w:rsidR="0043399A" w:rsidRPr="00F017DC" w:rsidRDefault="0043399A" w:rsidP="00F56AD9">
      <w:pPr>
        <w:autoSpaceDE w:val="0"/>
        <w:autoSpaceDN w:val="0"/>
        <w:adjustRightInd w:val="0"/>
        <w:spacing w:after="0" w:line="240" w:lineRule="auto"/>
        <w:ind w:left="284" w:hanging="284"/>
        <w:jc w:val="both"/>
        <w:rPr>
          <w:rFonts w:ascii="Garamond" w:hAnsi="Garamond" w:cs="Times New Roman"/>
          <w:kern w:val="0"/>
          <w:sz w:val="18"/>
          <w:szCs w:val="18"/>
        </w:rPr>
      </w:pPr>
      <w:r w:rsidRPr="00F017DC">
        <w:rPr>
          <w:rStyle w:val="Appelnotedebasdep"/>
          <w:rFonts w:ascii="Garamond" w:hAnsi="Garamond" w:cs="Times New Roman"/>
          <w:sz w:val="18"/>
          <w:szCs w:val="18"/>
        </w:rPr>
        <w:footnoteRef/>
      </w:r>
      <w:r w:rsidRPr="00F017DC">
        <w:rPr>
          <w:rFonts w:ascii="Garamond" w:hAnsi="Garamond" w:cs="Times New Roman"/>
          <w:sz w:val="18"/>
          <w:szCs w:val="18"/>
        </w:rPr>
        <w:t xml:space="preserve"> </w:t>
      </w:r>
      <w:r w:rsidRPr="00F017DC">
        <w:rPr>
          <w:rFonts w:ascii="Garamond" w:hAnsi="Garamond" w:cs="Times New Roman"/>
          <w:sz w:val="18"/>
          <w:szCs w:val="18"/>
        </w:rPr>
        <w:tab/>
      </w:r>
      <w:r w:rsidRPr="00F017DC">
        <w:rPr>
          <w:rFonts w:ascii="Garamond" w:hAnsi="Garamond" w:cs="Times New Roman"/>
          <w:kern w:val="0"/>
          <w:sz w:val="18"/>
          <w:szCs w:val="18"/>
        </w:rPr>
        <w:t>E</w:t>
      </w:r>
      <w:r w:rsidR="008921A6" w:rsidRPr="00F017DC">
        <w:rPr>
          <w:rFonts w:ascii="Garamond" w:hAnsi="Garamond" w:cs="Times New Roman"/>
          <w:kern w:val="0"/>
          <w:sz w:val="18"/>
          <w:szCs w:val="18"/>
        </w:rPr>
        <w:t>.</w:t>
      </w:r>
      <w:r w:rsidRPr="00F017DC">
        <w:rPr>
          <w:rFonts w:ascii="Garamond" w:hAnsi="Garamond" w:cs="Times New Roman"/>
          <w:kern w:val="0"/>
          <w:sz w:val="18"/>
          <w:szCs w:val="18"/>
        </w:rPr>
        <w:t xml:space="preserve"> Newman, « The “New Wars” </w:t>
      </w:r>
      <w:proofErr w:type="spellStart"/>
      <w:proofErr w:type="gramStart"/>
      <w:r w:rsidRPr="00F017DC">
        <w:rPr>
          <w:rFonts w:ascii="Garamond" w:hAnsi="Garamond" w:cs="Times New Roman"/>
          <w:kern w:val="0"/>
          <w:sz w:val="18"/>
          <w:szCs w:val="18"/>
        </w:rPr>
        <w:t>Debate</w:t>
      </w:r>
      <w:proofErr w:type="spellEnd"/>
      <w:r w:rsidRPr="00F017DC">
        <w:rPr>
          <w:rFonts w:ascii="Garamond" w:hAnsi="Garamond" w:cs="Times New Roman"/>
          <w:kern w:val="0"/>
          <w:sz w:val="18"/>
          <w:szCs w:val="18"/>
        </w:rPr>
        <w:t>:</w:t>
      </w:r>
      <w:proofErr w:type="gramEnd"/>
      <w:r w:rsidRPr="00F017DC">
        <w:rPr>
          <w:rFonts w:ascii="Garamond" w:hAnsi="Garamond" w:cs="Times New Roman"/>
          <w:kern w:val="0"/>
          <w:sz w:val="18"/>
          <w:szCs w:val="18"/>
        </w:rPr>
        <w:t xml:space="preserve"> A </w:t>
      </w:r>
      <w:proofErr w:type="spellStart"/>
      <w:r w:rsidRPr="00F017DC">
        <w:rPr>
          <w:rFonts w:ascii="Garamond" w:hAnsi="Garamond" w:cs="Times New Roman"/>
          <w:kern w:val="0"/>
          <w:sz w:val="18"/>
          <w:szCs w:val="18"/>
        </w:rPr>
        <w:t>Historical</w:t>
      </w:r>
      <w:proofErr w:type="spellEnd"/>
      <w:r w:rsidRPr="00F017DC">
        <w:rPr>
          <w:rFonts w:ascii="Garamond" w:hAnsi="Garamond" w:cs="Times New Roman"/>
          <w:kern w:val="0"/>
          <w:sz w:val="18"/>
          <w:szCs w:val="18"/>
        </w:rPr>
        <w:t xml:space="preserve"> Perspective Is </w:t>
      </w:r>
      <w:proofErr w:type="spellStart"/>
      <w:r w:rsidRPr="00F017DC">
        <w:rPr>
          <w:rFonts w:ascii="Garamond" w:hAnsi="Garamond" w:cs="Times New Roman"/>
          <w:kern w:val="0"/>
          <w:sz w:val="18"/>
          <w:szCs w:val="18"/>
        </w:rPr>
        <w:t>Needed</w:t>
      </w:r>
      <w:proofErr w:type="spellEnd"/>
      <w:r w:rsidRPr="00F017DC">
        <w:rPr>
          <w:rFonts w:ascii="Garamond" w:hAnsi="Garamond" w:cs="Times New Roman"/>
          <w:kern w:val="0"/>
          <w:sz w:val="18"/>
          <w:szCs w:val="18"/>
        </w:rPr>
        <w:t xml:space="preserve"> », Security Dialogue, vol. 35, no 2, 2004, p. 173 ; A. </w:t>
      </w:r>
      <w:proofErr w:type="spellStart"/>
      <w:r w:rsidRPr="00F017DC">
        <w:rPr>
          <w:rFonts w:ascii="Garamond" w:hAnsi="Garamond" w:cs="Times New Roman"/>
          <w:kern w:val="0"/>
          <w:sz w:val="18"/>
          <w:szCs w:val="18"/>
        </w:rPr>
        <w:t>Schu</w:t>
      </w:r>
      <w:proofErr w:type="spellEnd"/>
      <w:r w:rsidRPr="00F017DC">
        <w:rPr>
          <w:rFonts w:ascii="Garamond" w:hAnsi="Garamond" w:cs="Times New Roman"/>
          <w:kern w:val="0"/>
          <w:sz w:val="18"/>
          <w:szCs w:val="18"/>
        </w:rPr>
        <w:t>, « L’impuissance de la victoire” comme symbole d’un changement dans la nature de la guerre ? Étude critique d’une contribution au paradigme des “nouvelles guerres” », Études internationales, vol. 48, no 3-4, automne-été 2017, p. 489 ; D</w:t>
      </w:r>
      <w:r w:rsidR="008921A6" w:rsidRPr="00F017DC">
        <w:rPr>
          <w:rFonts w:ascii="Garamond" w:hAnsi="Garamond" w:cs="Times New Roman"/>
          <w:kern w:val="0"/>
          <w:sz w:val="18"/>
          <w:szCs w:val="18"/>
        </w:rPr>
        <w:t xml:space="preserve">. </w:t>
      </w:r>
      <w:r w:rsidRPr="00F017DC">
        <w:rPr>
          <w:rFonts w:ascii="Garamond" w:hAnsi="Garamond" w:cs="Times New Roman"/>
          <w:kern w:val="0"/>
          <w:sz w:val="18"/>
          <w:szCs w:val="18"/>
        </w:rPr>
        <w:t>Stoker et C</w:t>
      </w:r>
      <w:r w:rsidR="008921A6" w:rsidRPr="00F017DC">
        <w:rPr>
          <w:rFonts w:ascii="Garamond" w:hAnsi="Garamond" w:cs="Times New Roman"/>
          <w:kern w:val="0"/>
          <w:sz w:val="18"/>
          <w:szCs w:val="18"/>
        </w:rPr>
        <w:t>.</w:t>
      </w:r>
      <w:r w:rsidRPr="00F017DC">
        <w:rPr>
          <w:rFonts w:ascii="Garamond" w:hAnsi="Garamond" w:cs="Times New Roman"/>
          <w:kern w:val="0"/>
          <w:sz w:val="18"/>
          <w:szCs w:val="18"/>
        </w:rPr>
        <w:t xml:space="preserve"> </w:t>
      </w:r>
      <w:proofErr w:type="spellStart"/>
      <w:r w:rsidRPr="00F017DC">
        <w:rPr>
          <w:rFonts w:ascii="Garamond" w:hAnsi="Garamond" w:cs="Times New Roman"/>
          <w:kern w:val="0"/>
          <w:sz w:val="18"/>
          <w:szCs w:val="18"/>
        </w:rPr>
        <w:t>Whiteside</w:t>
      </w:r>
      <w:proofErr w:type="spellEnd"/>
      <w:r w:rsidRPr="00F017DC">
        <w:rPr>
          <w:rFonts w:ascii="Garamond" w:hAnsi="Garamond" w:cs="Times New Roman"/>
          <w:kern w:val="0"/>
          <w:sz w:val="18"/>
          <w:szCs w:val="18"/>
        </w:rPr>
        <w:t xml:space="preserve">, « </w:t>
      </w:r>
      <w:proofErr w:type="spellStart"/>
      <w:r w:rsidRPr="00F017DC">
        <w:rPr>
          <w:rFonts w:ascii="Garamond" w:hAnsi="Garamond" w:cs="Times New Roman"/>
          <w:kern w:val="0"/>
          <w:sz w:val="18"/>
          <w:szCs w:val="18"/>
        </w:rPr>
        <w:t>Blurred</w:t>
      </w:r>
      <w:proofErr w:type="spellEnd"/>
      <w:r w:rsidRPr="00F017DC">
        <w:rPr>
          <w:rFonts w:ascii="Garamond" w:hAnsi="Garamond" w:cs="Times New Roman"/>
          <w:kern w:val="0"/>
          <w:sz w:val="18"/>
          <w:szCs w:val="18"/>
        </w:rPr>
        <w:t xml:space="preserve"> </w:t>
      </w:r>
      <w:proofErr w:type="gramStart"/>
      <w:r w:rsidRPr="00F017DC">
        <w:rPr>
          <w:rFonts w:ascii="Garamond" w:hAnsi="Garamond" w:cs="Times New Roman"/>
          <w:kern w:val="0"/>
          <w:sz w:val="18"/>
          <w:szCs w:val="18"/>
        </w:rPr>
        <w:t>Lines:</w:t>
      </w:r>
      <w:proofErr w:type="gramEnd"/>
      <w:r w:rsidRPr="00F017DC">
        <w:rPr>
          <w:rFonts w:ascii="Garamond" w:hAnsi="Garamond" w:cs="Times New Roman"/>
          <w:kern w:val="0"/>
          <w:sz w:val="18"/>
          <w:szCs w:val="18"/>
        </w:rPr>
        <w:t xml:space="preserve"> Gray-Zone </w:t>
      </w:r>
      <w:proofErr w:type="spellStart"/>
      <w:r w:rsidRPr="00F017DC">
        <w:rPr>
          <w:rFonts w:ascii="Garamond" w:hAnsi="Garamond" w:cs="Times New Roman"/>
          <w:kern w:val="0"/>
          <w:sz w:val="18"/>
          <w:szCs w:val="18"/>
        </w:rPr>
        <w:t>Conflict</w:t>
      </w:r>
      <w:proofErr w:type="spellEnd"/>
      <w:r w:rsidRPr="00F017DC">
        <w:rPr>
          <w:rFonts w:ascii="Garamond" w:hAnsi="Garamond" w:cs="Times New Roman"/>
          <w:kern w:val="0"/>
          <w:sz w:val="18"/>
          <w:szCs w:val="18"/>
        </w:rPr>
        <w:t xml:space="preserve"> and </w:t>
      </w:r>
      <w:proofErr w:type="spellStart"/>
      <w:r w:rsidRPr="00F017DC">
        <w:rPr>
          <w:rFonts w:ascii="Garamond" w:hAnsi="Garamond" w:cs="Times New Roman"/>
          <w:kern w:val="0"/>
          <w:sz w:val="18"/>
          <w:szCs w:val="18"/>
        </w:rPr>
        <w:t>Hybrid</w:t>
      </w:r>
      <w:proofErr w:type="spellEnd"/>
      <w:r w:rsidRPr="00F017DC">
        <w:rPr>
          <w:rFonts w:ascii="Garamond" w:hAnsi="Garamond" w:cs="Times New Roman"/>
          <w:kern w:val="0"/>
          <w:sz w:val="18"/>
          <w:szCs w:val="18"/>
        </w:rPr>
        <w:t xml:space="preserve"> </w:t>
      </w:r>
      <w:proofErr w:type="spellStart"/>
      <w:r w:rsidRPr="00F017DC">
        <w:rPr>
          <w:rFonts w:ascii="Garamond" w:hAnsi="Garamond" w:cs="Times New Roman"/>
          <w:kern w:val="0"/>
          <w:sz w:val="18"/>
          <w:szCs w:val="18"/>
        </w:rPr>
        <w:t>War</w:t>
      </w:r>
      <w:proofErr w:type="spellEnd"/>
      <w:r w:rsidRPr="00F017DC">
        <w:rPr>
          <w:rFonts w:ascii="Garamond" w:hAnsi="Garamond" w:cs="Times New Roman"/>
          <w:kern w:val="0"/>
          <w:sz w:val="18"/>
          <w:szCs w:val="18"/>
        </w:rPr>
        <w:t xml:space="preserve"> »,</w:t>
      </w:r>
      <w:r w:rsidR="00420DA0" w:rsidRPr="00F017DC">
        <w:rPr>
          <w:rFonts w:ascii="Garamond" w:hAnsi="Garamond" w:cs="Times New Roman"/>
          <w:kern w:val="0"/>
          <w:sz w:val="18"/>
          <w:szCs w:val="18"/>
        </w:rPr>
        <w:t xml:space="preserve"> Naval </w:t>
      </w:r>
      <w:proofErr w:type="spellStart"/>
      <w:r w:rsidR="00420DA0" w:rsidRPr="00F017DC">
        <w:rPr>
          <w:rFonts w:ascii="Garamond" w:hAnsi="Garamond" w:cs="Times New Roman"/>
          <w:kern w:val="0"/>
          <w:sz w:val="18"/>
          <w:szCs w:val="18"/>
        </w:rPr>
        <w:t>War</w:t>
      </w:r>
      <w:proofErr w:type="spellEnd"/>
      <w:r w:rsidR="00420DA0" w:rsidRPr="00F017DC">
        <w:rPr>
          <w:rFonts w:ascii="Garamond" w:hAnsi="Garamond" w:cs="Times New Roman"/>
          <w:kern w:val="0"/>
          <w:sz w:val="18"/>
          <w:szCs w:val="18"/>
        </w:rPr>
        <w:t xml:space="preserve"> </w:t>
      </w:r>
      <w:proofErr w:type="spellStart"/>
      <w:r w:rsidR="00420DA0" w:rsidRPr="00F017DC">
        <w:rPr>
          <w:rFonts w:ascii="Garamond" w:hAnsi="Garamond" w:cs="Times New Roman"/>
          <w:kern w:val="0"/>
          <w:sz w:val="18"/>
          <w:szCs w:val="18"/>
        </w:rPr>
        <w:t>College</w:t>
      </w:r>
      <w:proofErr w:type="spellEnd"/>
      <w:r w:rsidR="00420DA0" w:rsidRPr="00F017DC">
        <w:rPr>
          <w:rFonts w:ascii="Garamond" w:hAnsi="Garamond" w:cs="Times New Roman"/>
          <w:kern w:val="0"/>
          <w:sz w:val="18"/>
          <w:szCs w:val="18"/>
        </w:rPr>
        <w:t xml:space="preserve"> </w:t>
      </w:r>
      <w:proofErr w:type="spellStart"/>
      <w:r w:rsidR="00420DA0" w:rsidRPr="00F017DC">
        <w:rPr>
          <w:rFonts w:ascii="Garamond" w:hAnsi="Garamond" w:cs="Times New Roman"/>
          <w:kern w:val="0"/>
          <w:sz w:val="18"/>
          <w:szCs w:val="18"/>
        </w:rPr>
        <w:t>Review</w:t>
      </w:r>
      <w:proofErr w:type="spellEnd"/>
      <w:r w:rsidR="00420DA0" w:rsidRPr="00F017DC">
        <w:rPr>
          <w:rFonts w:ascii="Garamond" w:hAnsi="Garamond" w:cs="Times New Roman"/>
          <w:kern w:val="0"/>
          <w:sz w:val="18"/>
          <w:szCs w:val="18"/>
        </w:rPr>
        <w:t>, vol. 73, n°1, hiver 2020.</w:t>
      </w:r>
    </w:p>
  </w:footnote>
  <w:footnote w:id="19">
    <w:p w14:paraId="0547F9D7" w14:textId="77777777" w:rsidR="00991CB2" w:rsidRPr="00F017DC" w:rsidRDefault="00991CB2"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D. </w:t>
      </w:r>
      <w:proofErr w:type="spellStart"/>
      <w:r w:rsidRPr="00F017DC">
        <w:rPr>
          <w:rFonts w:ascii="Garamond" w:hAnsi="Garamond"/>
          <w:sz w:val="18"/>
          <w:szCs w:val="18"/>
        </w:rPr>
        <w:t>Minic</w:t>
      </w:r>
      <w:proofErr w:type="spellEnd"/>
      <w:r w:rsidRPr="00F017DC">
        <w:rPr>
          <w:rFonts w:ascii="Garamond" w:hAnsi="Garamond"/>
          <w:sz w:val="18"/>
          <w:szCs w:val="18"/>
        </w:rPr>
        <w:t>, Pensée et culture stratégiques russes. Du contournement de la lutte armée à la guerre en Ukraine, éd. Maison des sciences de l’homme, 2023 (v. aussi, avec A. Jubelin, Podcast, Le collimateur, 25 avr. 2023.</w:t>
      </w:r>
    </w:p>
  </w:footnote>
  <w:footnote w:id="20">
    <w:p w14:paraId="33649BE7" w14:textId="55853017" w:rsidR="00991CB2" w:rsidRPr="00F017DC" w:rsidRDefault="00991CB2" w:rsidP="00F56AD9">
      <w:pPr>
        <w:pStyle w:val="Notedebasdepage"/>
        <w:jc w:val="both"/>
        <w:rPr>
          <w:rFonts w:ascii="Garamond" w:hAnsi="Garamond"/>
          <w:sz w:val="18"/>
          <w:szCs w:val="18"/>
          <w:lang w:val="en-GB"/>
        </w:rPr>
      </w:pPr>
      <w:r w:rsidRPr="00F017DC">
        <w:rPr>
          <w:rStyle w:val="Appelnotedebasdep"/>
          <w:rFonts w:ascii="Garamond" w:hAnsi="Garamond"/>
          <w:sz w:val="18"/>
          <w:szCs w:val="18"/>
        </w:rPr>
        <w:footnoteRef/>
      </w:r>
      <w:r w:rsidRPr="00F017DC">
        <w:rPr>
          <w:rFonts w:ascii="Garamond" w:hAnsi="Garamond"/>
          <w:sz w:val="18"/>
          <w:szCs w:val="18"/>
          <w:lang w:val="en-GB"/>
        </w:rPr>
        <w:t xml:space="preserve"> </w:t>
      </w:r>
      <w:r w:rsidRPr="00F017DC">
        <w:rPr>
          <w:rFonts w:ascii="Garamond" w:hAnsi="Garamond"/>
          <w:sz w:val="18"/>
          <w:szCs w:val="18"/>
          <w:lang w:val="en-GB"/>
        </w:rPr>
        <w:tab/>
        <w:t xml:space="preserve">Q. Liang et W. </w:t>
      </w:r>
      <w:proofErr w:type="spellStart"/>
      <w:r w:rsidRPr="00F017DC">
        <w:rPr>
          <w:rFonts w:ascii="Garamond" w:hAnsi="Garamond"/>
          <w:sz w:val="18"/>
          <w:szCs w:val="18"/>
          <w:lang w:val="en-GB"/>
        </w:rPr>
        <w:t>Xiangsui</w:t>
      </w:r>
      <w:proofErr w:type="spellEnd"/>
      <w:r w:rsidRPr="00F017DC">
        <w:rPr>
          <w:rFonts w:ascii="Garamond" w:hAnsi="Garamond"/>
          <w:sz w:val="18"/>
          <w:szCs w:val="18"/>
          <w:lang w:val="en-GB"/>
        </w:rPr>
        <w:t xml:space="preserve">, </w:t>
      </w:r>
      <w:r w:rsidRPr="00F017DC">
        <w:rPr>
          <w:rFonts w:ascii="Garamond" w:hAnsi="Garamond"/>
          <w:i/>
          <w:iCs/>
          <w:sz w:val="18"/>
          <w:szCs w:val="18"/>
          <w:lang w:val="en-GB"/>
        </w:rPr>
        <w:t xml:space="preserve">La Guerre hors </w:t>
      </w:r>
      <w:proofErr w:type="spellStart"/>
      <w:r w:rsidRPr="00F017DC">
        <w:rPr>
          <w:rFonts w:ascii="Garamond" w:hAnsi="Garamond"/>
          <w:i/>
          <w:iCs/>
          <w:sz w:val="18"/>
          <w:szCs w:val="18"/>
          <w:lang w:val="en-GB"/>
        </w:rPr>
        <w:t>limites</w:t>
      </w:r>
      <w:proofErr w:type="spellEnd"/>
      <w:r w:rsidRPr="00F017DC">
        <w:rPr>
          <w:rFonts w:ascii="Garamond" w:hAnsi="Garamond"/>
          <w:sz w:val="18"/>
          <w:szCs w:val="18"/>
          <w:lang w:val="en-GB"/>
        </w:rPr>
        <w:t xml:space="preserve">, </w:t>
      </w:r>
      <w:proofErr w:type="spellStart"/>
      <w:r w:rsidRPr="00F017DC">
        <w:rPr>
          <w:rFonts w:ascii="Garamond" w:hAnsi="Garamond"/>
          <w:sz w:val="18"/>
          <w:szCs w:val="18"/>
          <w:lang w:val="en-GB"/>
        </w:rPr>
        <w:t>Payot</w:t>
      </w:r>
      <w:proofErr w:type="spellEnd"/>
      <w:r w:rsidRPr="00F017DC">
        <w:rPr>
          <w:rFonts w:ascii="Garamond" w:hAnsi="Garamond"/>
          <w:sz w:val="18"/>
          <w:szCs w:val="18"/>
          <w:lang w:val="en-GB"/>
        </w:rPr>
        <w:t xml:space="preserve"> et Rivages, 2003, </w:t>
      </w:r>
      <w:r w:rsidRPr="00F017DC">
        <w:rPr>
          <w:rFonts w:ascii="Garamond" w:hAnsi="Garamond"/>
          <w:i/>
          <w:iCs/>
          <w:sz w:val="18"/>
          <w:szCs w:val="18"/>
          <w:lang w:val="en-GB"/>
        </w:rPr>
        <w:t>Unrestricted Warfare</w:t>
      </w:r>
      <w:r w:rsidRPr="00F017DC">
        <w:rPr>
          <w:rFonts w:ascii="Garamond" w:hAnsi="Garamond"/>
          <w:sz w:val="18"/>
          <w:szCs w:val="18"/>
          <w:lang w:val="en-GB"/>
        </w:rPr>
        <w:t>, PLA Literature and Arts Publishing House (Trad.), 1999 (</w:t>
      </w:r>
      <w:proofErr w:type="spellStart"/>
      <w:r w:rsidRPr="00F017DC">
        <w:rPr>
          <w:rFonts w:ascii="Garamond" w:hAnsi="Garamond"/>
          <w:sz w:val="18"/>
          <w:szCs w:val="18"/>
          <w:lang w:val="en-GB"/>
        </w:rPr>
        <w:t>en</w:t>
      </w:r>
      <w:proofErr w:type="spellEnd"/>
      <w:r w:rsidRPr="00F017DC">
        <w:rPr>
          <w:rFonts w:ascii="Garamond" w:hAnsi="Garamond"/>
          <w:sz w:val="18"/>
          <w:szCs w:val="18"/>
          <w:lang w:val="en-GB"/>
        </w:rPr>
        <w:t xml:space="preserve"> </w:t>
      </w:r>
      <w:proofErr w:type="spellStart"/>
      <w:r w:rsidRPr="00F017DC">
        <w:rPr>
          <w:rFonts w:ascii="Garamond" w:hAnsi="Garamond"/>
          <w:sz w:val="18"/>
          <w:szCs w:val="18"/>
          <w:lang w:val="en-GB"/>
        </w:rPr>
        <w:t>ligne</w:t>
      </w:r>
      <w:proofErr w:type="spellEnd"/>
      <w:proofErr w:type="gramStart"/>
      <w:r w:rsidRPr="00F017DC">
        <w:rPr>
          <w:rFonts w:ascii="Garamond" w:hAnsi="Garamond"/>
          <w:sz w:val="18"/>
          <w:szCs w:val="18"/>
          <w:lang w:val="en-GB"/>
        </w:rPr>
        <w:t>)</w:t>
      </w:r>
      <w:r w:rsidR="002C6482" w:rsidRPr="00F017DC">
        <w:rPr>
          <w:rFonts w:ascii="Garamond" w:hAnsi="Garamond"/>
          <w:sz w:val="18"/>
          <w:szCs w:val="18"/>
          <w:lang w:val="en-GB"/>
        </w:rPr>
        <w:t> :</w:t>
      </w:r>
      <w:proofErr w:type="gramEnd"/>
      <w:r w:rsidR="002C6482" w:rsidRPr="00F017DC">
        <w:rPr>
          <w:rFonts w:ascii="Garamond" w:hAnsi="Garamond"/>
          <w:sz w:val="18"/>
          <w:szCs w:val="18"/>
          <w:lang w:val="en-GB"/>
        </w:rPr>
        <w:t xml:space="preserve"> : « </w:t>
      </w:r>
      <w:r w:rsidR="002C6482" w:rsidRPr="00F017DC">
        <w:rPr>
          <w:rFonts w:ascii="Garamond" w:hAnsi="Garamond"/>
          <w:i/>
          <w:iCs/>
          <w:sz w:val="18"/>
          <w:szCs w:val="18"/>
          <w:lang w:val="en-GB"/>
        </w:rPr>
        <w:t>The use of domestic trade law on the international stage can have a destructive effect that equal to that of a military operation</w:t>
      </w:r>
      <w:r w:rsidR="002C6482" w:rsidRPr="00F017DC">
        <w:rPr>
          <w:rFonts w:ascii="Garamond" w:hAnsi="Garamond"/>
          <w:sz w:val="18"/>
          <w:szCs w:val="18"/>
          <w:lang w:val="en-GB"/>
        </w:rPr>
        <w:t> ».</w:t>
      </w:r>
    </w:p>
  </w:footnote>
  <w:footnote w:id="21">
    <w:p w14:paraId="0D575639" w14:textId="77777777" w:rsidR="00991CB2" w:rsidRPr="00F017DC" w:rsidRDefault="00991CB2"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 xml:space="preserve">A. </w:t>
      </w:r>
      <w:proofErr w:type="spellStart"/>
      <w:r w:rsidRPr="00F017DC">
        <w:rPr>
          <w:rFonts w:ascii="Garamond" w:hAnsi="Garamond"/>
          <w:sz w:val="18"/>
          <w:szCs w:val="18"/>
        </w:rPr>
        <w:t>Schu</w:t>
      </w:r>
      <w:proofErr w:type="spellEnd"/>
      <w:r w:rsidRPr="00F017DC">
        <w:rPr>
          <w:rFonts w:ascii="Garamond" w:hAnsi="Garamond"/>
          <w:sz w:val="18"/>
          <w:szCs w:val="18"/>
        </w:rPr>
        <w:t>, « </w:t>
      </w:r>
      <w:proofErr w:type="spellStart"/>
      <w:r w:rsidRPr="00F017DC">
        <w:rPr>
          <w:rFonts w:ascii="Garamond" w:hAnsi="Garamond"/>
          <w:sz w:val="18"/>
          <w:szCs w:val="18"/>
        </w:rPr>
        <w:t>Lawfare</w:t>
      </w:r>
      <w:proofErr w:type="spellEnd"/>
      <w:r w:rsidRPr="00F017DC">
        <w:rPr>
          <w:rFonts w:ascii="Garamond" w:hAnsi="Garamond"/>
          <w:sz w:val="18"/>
          <w:szCs w:val="18"/>
        </w:rPr>
        <w:t xml:space="preserve"> : critique d’un concept défaillant », in J. Ancelin et A </w:t>
      </w:r>
      <w:proofErr w:type="spellStart"/>
      <w:r w:rsidRPr="00F017DC">
        <w:rPr>
          <w:rFonts w:ascii="Garamond" w:hAnsi="Garamond"/>
          <w:sz w:val="18"/>
          <w:szCs w:val="18"/>
        </w:rPr>
        <w:t>Ferey</w:t>
      </w:r>
      <w:proofErr w:type="spellEnd"/>
      <w:r w:rsidRPr="00F017DC">
        <w:rPr>
          <w:rFonts w:ascii="Garamond" w:hAnsi="Garamond"/>
          <w:sz w:val="18"/>
          <w:szCs w:val="18"/>
        </w:rPr>
        <w:t xml:space="preserve"> (</w:t>
      </w:r>
      <w:proofErr w:type="spellStart"/>
      <w:r w:rsidRPr="00F017DC">
        <w:rPr>
          <w:rFonts w:ascii="Garamond" w:hAnsi="Garamond"/>
          <w:sz w:val="18"/>
          <w:szCs w:val="18"/>
        </w:rPr>
        <w:t>dir</w:t>
      </w:r>
      <w:proofErr w:type="spellEnd"/>
      <w:r w:rsidRPr="00F017DC">
        <w:rPr>
          <w:rFonts w:ascii="Garamond" w:hAnsi="Garamond"/>
          <w:sz w:val="18"/>
          <w:szCs w:val="18"/>
        </w:rPr>
        <w:t xml:space="preserve">.), </w:t>
      </w:r>
      <w:proofErr w:type="spellStart"/>
      <w:r w:rsidRPr="00F017DC">
        <w:rPr>
          <w:rFonts w:ascii="Garamond" w:hAnsi="Garamond"/>
          <w:i/>
          <w:iCs/>
          <w:sz w:val="18"/>
          <w:szCs w:val="18"/>
        </w:rPr>
        <w:t>Lawfare</w:t>
      </w:r>
      <w:proofErr w:type="spellEnd"/>
      <w:r w:rsidRPr="00F017DC">
        <w:rPr>
          <w:rFonts w:ascii="Garamond" w:hAnsi="Garamond"/>
          <w:i/>
          <w:iCs/>
          <w:sz w:val="18"/>
          <w:szCs w:val="18"/>
        </w:rPr>
        <w:t> : le droit en procès</w:t>
      </w:r>
      <w:r w:rsidRPr="00F017DC">
        <w:rPr>
          <w:rFonts w:ascii="Garamond" w:hAnsi="Garamond"/>
          <w:sz w:val="18"/>
          <w:szCs w:val="18"/>
        </w:rPr>
        <w:t xml:space="preserve">, op. </w:t>
      </w:r>
      <w:proofErr w:type="spellStart"/>
      <w:r w:rsidRPr="00F017DC">
        <w:rPr>
          <w:rFonts w:ascii="Garamond" w:hAnsi="Garamond"/>
          <w:sz w:val="18"/>
          <w:szCs w:val="18"/>
        </w:rPr>
        <w:t>cit</w:t>
      </w:r>
      <w:proofErr w:type="spellEnd"/>
      <w:r w:rsidRPr="00F017DC">
        <w:rPr>
          <w:rFonts w:ascii="Garamond" w:hAnsi="Garamond"/>
          <w:sz w:val="18"/>
          <w:szCs w:val="18"/>
        </w:rPr>
        <w:t>., p. 39.</w:t>
      </w:r>
    </w:p>
  </w:footnote>
  <w:footnote w:id="22">
    <w:p w14:paraId="473B1A8E" w14:textId="468AD47C" w:rsidR="005B215C" w:rsidRPr="00F017DC" w:rsidRDefault="005B215C"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 xml:space="preserve">Cf. R. </w:t>
      </w:r>
      <w:proofErr w:type="spellStart"/>
      <w:r w:rsidRPr="00F017DC">
        <w:rPr>
          <w:rFonts w:ascii="Garamond" w:hAnsi="Garamond"/>
          <w:sz w:val="18"/>
          <w:szCs w:val="18"/>
        </w:rPr>
        <w:t>Carugati</w:t>
      </w:r>
      <w:proofErr w:type="spellEnd"/>
      <w:r w:rsidRPr="00F017DC">
        <w:rPr>
          <w:rFonts w:ascii="Garamond" w:hAnsi="Garamond"/>
          <w:sz w:val="18"/>
          <w:szCs w:val="18"/>
        </w:rPr>
        <w:t>, « Le partenariat sino-russe et la bipolarisation du monde », Réseau d’analyse stratégique, note stratégique n° 18, 2022.</w:t>
      </w:r>
    </w:p>
  </w:footnote>
  <w:footnote w:id="23">
    <w:p w14:paraId="2816425E" w14:textId="6D11151C" w:rsidR="00397647" w:rsidRPr="00D55C57" w:rsidRDefault="00397647" w:rsidP="00F56AD9">
      <w:pPr>
        <w:pStyle w:val="Notedebasdepage"/>
        <w:jc w:val="both"/>
        <w:rPr>
          <w:rFonts w:ascii="Garamond" w:hAnsi="Garamond"/>
          <w:sz w:val="18"/>
          <w:szCs w:val="18"/>
          <w:lang w:val="en-GB"/>
        </w:rPr>
      </w:pPr>
      <w:r w:rsidRPr="00F017DC">
        <w:rPr>
          <w:rStyle w:val="Appelnotedebasdep"/>
          <w:rFonts w:ascii="Garamond" w:hAnsi="Garamond"/>
          <w:sz w:val="18"/>
          <w:szCs w:val="18"/>
        </w:rPr>
        <w:footnoteRef/>
      </w:r>
      <w:r w:rsidRPr="00D55C57">
        <w:rPr>
          <w:rFonts w:ascii="Garamond" w:hAnsi="Garamond"/>
          <w:sz w:val="18"/>
          <w:szCs w:val="18"/>
          <w:lang w:val="en-GB"/>
        </w:rPr>
        <w:t xml:space="preserve"> </w:t>
      </w:r>
      <w:r w:rsidRPr="00D55C57">
        <w:rPr>
          <w:rFonts w:ascii="Garamond" w:hAnsi="Garamond"/>
          <w:sz w:val="18"/>
          <w:szCs w:val="18"/>
          <w:lang w:val="en-GB"/>
        </w:rPr>
        <w:tab/>
      </w:r>
      <w:r w:rsidR="00D13758" w:rsidRPr="00D55C57">
        <w:rPr>
          <w:rFonts w:ascii="Garamond" w:hAnsi="Garamond"/>
          <w:sz w:val="18"/>
          <w:szCs w:val="18"/>
          <w:lang w:val="en-GB"/>
        </w:rPr>
        <w:t xml:space="preserve">Cf. </w:t>
      </w:r>
      <w:r w:rsidR="00D13758" w:rsidRPr="00D55C57">
        <w:rPr>
          <w:rFonts w:ascii="Garamond" w:hAnsi="Garamond"/>
          <w:i/>
          <w:iCs/>
          <w:sz w:val="18"/>
          <w:szCs w:val="18"/>
          <w:lang w:val="en-GB"/>
        </w:rPr>
        <w:t>supra</w:t>
      </w:r>
      <w:r w:rsidRPr="00D55C57">
        <w:rPr>
          <w:rFonts w:ascii="Garamond" w:hAnsi="Garamond"/>
          <w:sz w:val="18"/>
          <w:szCs w:val="18"/>
          <w:lang w:val="en-GB"/>
        </w:rPr>
        <w:t xml:space="preserve">. </w:t>
      </w:r>
    </w:p>
  </w:footnote>
  <w:footnote w:id="24">
    <w:p w14:paraId="39DDC014" w14:textId="77777777" w:rsidR="002B75DB" w:rsidRPr="00F017DC" w:rsidRDefault="002B75DB" w:rsidP="00F56AD9">
      <w:pPr>
        <w:pStyle w:val="Notedebasdepage"/>
        <w:jc w:val="both"/>
        <w:rPr>
          <w:rFonts w:ascii="Garamond" w:hAnsi="Garamond"/>
          <w:sz w:val="18"/>
          <w:szCs w:val="18"/>
          <w:lang w:val="en-GB"/>
        </w:rPr>
      </w:pPr>
      <w:r w:rsidRPr="00F017DC">
        <w:rPr>
          <w:rStyle w:val="Appelnotedebasdep"/>
          <w:rFonts w:ascii="Garamond" w:hAnsi="Garamond"/>
          <w:sz w:val="18"/>
          <w:szCs w:val="18"/>
        </w:rPr>
        <w:footnoteRef/>
      </w:r>
      <w:r w:rsidRPr="00F017DC">
        <w:rPr>
          <w:rFonts w:ascii="Garamond" w:hAnsi="Garamond"/>
          <w:sz w:val="18"/>
          <w:szCs w:val="18"/>
          <w:lang w:val="en-GB"/>
        </w:rPr>
        <w:t xml:space="preserve"> </w:t>
      </w:r>
      <w:r w:rsidRPr="00F017DC">
        <w:rPr>
          <w:rFonts w:ascii="Garamond" w:hAnsi="Garamond"/>
          <w:sz w:val="18"/>
          <w:szCs w:val="18"/>
          <w:lang w:val="en-GB"/>
        </w:rPr>
        <w:tab/>
        <w:t xml:space="preserve">O. F. </w:t>
      </w:r>
      <w:proofErr w:type="spellStart"/>
      <w:r w:rsidRPr="00F017DC">
        <w:rPr>
          <w:rFonts w:ascii="Garamond" w:hAnsi="Garamond"/>
          <w:sz w:val="18"/>
          <w:szCs w:val="18"/>
          <w:lang w:val="en-GB"/>
        </w:rPr>
        <w:t>Kiterie</w:t>
      </w:r>
      <w:proofErr w:type="spellEnd"/>
      <w:r w:rsidRPr="00F017DC">
        <w:rPr>
          <w:rFonts w:ascii="Garamond" w:hAnsi="Garamond"/>
          <w:sz w:val="18"/>
          <w:szCs w:val="18"/>
          <w:lang w:val="en-GB"/>
        </w:rPr>
        <w:t xml:space="preserve">, </w:t>
      </w:r>
      <w:r w:rsidRPr="00F017DC">
        <w:rPr>
          <w:rFonts w:ascii="Garamond" w:hAnsi="Garamond"/>
          <w:i/>
          <w:iCs/>
          <w:sz w:val="18"/>
          <w:szCs w:val="18"/>
          <w:lang w:val="en-GB"/>
        </w:rPr>
        <w:t>Lawfare, Law as a Weapon of War</w:t>
      </w:r>
      <w:r w:rsidRPr="00F017DC">
        <w:rPr>
          <w:rFonts w:ascii="Garamond" w:hAnsi="Garamond"/>
          <w:sz w:val="18"/>
          <w:szCs w:val="18"/>
          <w:lang w:val="en-GB"/>
        </w:rPr>
        <w:t>, op. cit.</w:t>
      </w:r>
    </w:p>
  </w:footnote>
  <w:footnote w:id="25">
    <w:p w14:paraId="0ABC351E" w14:textId="70851B3E" w:rsidR="00444135" w:rsidRPr="00F017DC" w:rsidRDefault="00444135"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00375D94" w:rsidRPr="00F017DC">
        <w:rPr>
          <w:rFonts w:ascii="Garamond" w:hAnsi="Garamond"/>
          <w:sz w:val="18"/>
          <w:szCs w:val="18"/>
        </w:rPr>
        <w:tab/>
      </w:r>
      <w:proofErr w:type="spellStart"/>
      <w:r w:rsidRPr="00F017DC">
        <w:rPr>
          <w:rFonts w:ascii="Garamond" w:hAnsi="Garamond"/>
          <w:sz w:val="18"/>
          <w:szCs w:val="18"/>
        </w:rPr>
        <w:t>Comp</w:t>
      </w:r>
      <w:proofErr w:type="spellEnd"/>
      <w:r w:rsidRPr="00F017DC">
        <w:rPr>
          <w:rFonts w:ascii="Garamond" w:hAnsi="Garamond"/>
          <w:sz w:val="18"/>
          <w:szCs w:val="18"/>
        </w:rPr>
        <w:t xml:space="preserve">. P. </w:t>
      </w:r>
      <w:proofErr w:type="spellStart"/>
      <w:r w:rsidRPr="00F017DC">
        <w:rPr>
          <w:rFonts w:ascii="Garamond" w:hAnsi="Garamond"/>
          <w:sz w:val="18"/>
          <w:szCs w:val="18"/>
        </w:rPr>
        <w:t>Grosser</w:t>
      </w:r>
      <w:proofErr w:type="spellEnd"/>
      <w:r w:rsidRPr="00F017DC">
        <w:rPr>
          <w:rFonts w:ascii="Garamond" w:hAnsi="Garamond"/>
          <w:sz w:val="18"/>
          <w:szCs w:val="18"/>
        </w:rPr>
        <w:t xml:space="preserve"> (</w:t>
      </w:r>
      <w:proofErr w:type="spellStart"/>
      <w:r w:rsidRPr="00F017DC">
        <w:rPr>
          <w:rFonts w:ascii="Garamond" w:hAnsi="Garamond"/>
          <w:sz w:val="18"/>
          <w:szCs w:val="18"/>
        </w:rPr>
        <w:t>dir</w:t>
      </w:r>
      <w:proofErr w:type="spellEnd"/>
      <w:r w:rsidRPr="00F017DC">
        <w:rPr>
          <w:rFonts w:ascii="Garamond" w:hAnsi="Garamond"/>
          <w:sz w:val="18"/>
          <w:szCs w:val="18"/>
        </w:rPr>
        <w:t>.), Histoire mondiale des relations internationales, Bouquins, 2023.</w:t>
      </w:r>
    </w:p>
  </w:footnote>
  <w:footnote w:id="26">
    <w:p w14:paraId="4AAD84B8" w14:textId="42D3E85D" w:rsidR="006A5DF8" w:rsidRPr="00F017DC" w:rsidRDefault="006A5DF8" w:rsidP="00F56AD9">
      <w:pPr>
        <w:pStyle w:val="Notedebasdepage"/>
        <w:jc w:val="both"/>
        <w:rPr>
          <w:rFonts w:ascii="Garamond" w:hAnsi="Garamond"/>
          <w:i/>
          <w:iCs/>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 xml:space="preserve">Cf. D. Mainguy, « Arbitrage et litiges de guerre », </w:t>
      </w:r>
      <w:r w:rsidR="008921A6" w:rsidRPr="00F017DC">
        <w:rPr>
          <w:rFonts w:ascii="Garamond" w:hAnsi="Garamond"/>
          <w:sz w:val="18"/>
          <w:szCs w:val="18"/>
        </w:rPr>
        <w:t>JDI</w:t>
      </w:r>
      <w:r w:rsidRPr="00F017DC">
        <w:rPr>
          <w:rFonts w:ascii="Garamond" w:hAnsi="Garamond"/>
          <w:sz w:val="18"/>
          <w:szCs w:val="18"/>
        </w:rPr>
        <w:t xml:space="preserve"> 2024, </w:t>
      </w:r>
      <w:r w:rsidR="008921A6" w:rsidRPr="00F017DC">
        <w:rPr>
          <w:rFonts w:ascii="Garamond" w:hAnsi="Garamond"/>
          <w:i/>
          <w:iCs/>
          <w:sz w:val="18"/>
          <w:szCs w:val="18"/>
        </w:rPr>
        <w:t xml:space="preserve">op. </w:t>
      </w:r>
      <w:proofErr w:type="spellStart"/>
      <w:proofErr w:type="gramStart"/>
      <w:r w:rsidR="008921A6" w:rsidRPr="00F017DC">
        <w:rPr>
          <w:rFonts w:ascii="Garamond" w:hAnsi="Garamond"/>
          <w:i/>
          <w:iCs/>
          <w:sz w:val="18"/>
          <w:szCs w:val="18"/>
        </w:rPr>
        <w:t>cit</w:t>
      </w:r>
      <w:proofErr w:type="spellEnd"/>
      <w:r w:rsidR="008921A6" w:rsidRPr="00F017DC">
        <w:rPr>
          <w:rFonts w:ascii="Garamond" w:hAnsi="Garamond"/>
          <w:i/>
          <w:iCs/>
          <w:sz w:val="18"/>
          <w:szCs w:val="18"/>
        </w:rPr>
        <w:t>.</w:t>
      </w:r>
      <w:r w:rsidRPr="00F017DC">
        <w:rPr>
          <w:rFonts w:ascii="Garamond" w:hAnsi="Garamond"/>
          <w:i/>
          <w:iCs/>
          <w:sz w:val="18"/>
          <w:szCs w:val="18"/>
        </w:rPr>
        <w:t>.</w:t>
      </w:r>
      <w:proofErr w:type="gramEnd"/>
    </w:p>
  </w:footnote>
  <w:footnote w:id="27">
    <w:p w14:paraId="061384FF" w14:textId="3C83879A" w:rsidR="00767010" w:rsidRPr="00F017DC" w:rsidRDefault="00767010" w:rsidP="00F56AD9">
      <w:pPr>
        <w:pStyle w:val="Notedebasdepage"/>
        <w:jc w:val="both"/>
        <w:rPr>
          <w:rFonts w:ascii="Garamond" w:hAnsi="Garamond"/>
          <w:sz w:val="18"/>
          <w:szCs w:val="18"/>
          <w:lang w:val="en-GB"/>
        </w:rPr>
      </w:pPr>
      <w:r w:rsidRPr="00F017DC">
        <w:rPr>
          <w:rStyle w:val="Appelnotedebasdep"/>
          <w:rFonts w:ascii="Garamond" w:hAnsi="Garamond"/>
          <w:sz w:val="18"/>
          <w:szCs w:val="18"/>
        </w:rPr>
        <w:footnoteRef/>
      </w:r>
      <w:r w:rsidRPr="00F017DC">
        <w:rPr>
          <w:rFonts w:ascii="Garamond" w:hAnsi="Garamond"/>
          <w:sz w:val="18"/>
          <w:szCs w:val="18"/>
          <w:lang w:val="en-GB"/>
        </w:rPr>
        <w:t xml:space="preserve"> </w:t>
      </w:r>
      <w:r w:rsidR="00B11DA0" w:rsidRPr="00F017DC">
        <w:rPr>
          <w:rFonts w:ascii="Garamond" w:hAnsi="Garamond"/>
          <w:sz w:val="18"/>
          <w:szCs w:val="18"/>
          <w:lang w:val="en-GB"/>
        </w:rPr>
        <w:tab/>
      </w:r>
      <w:r w:rsidRPr="00F017DC">
        <w:rPr>
          <w:rFonts w:ascii="Garamond" w:hAnsi="Garamond"/>
          <w:sz w:val="18"/>
          <w:szCs w:val="18"/>
          <w:lang w:val="en-GB"/>
        </w:rPr>
        <w:t xml:space="preserve">National </w:t>
      </w:r>
      <w:proofErr w:type="spellStart"/>
      <w:r w:rsidRPr="00F017DC">
        <w:rPr>
          <w:rFonts w:ascii="Garamond" w:hAnsi="Garamond"/>
          <w:sz w:val="18"/>
          <w:szCs w:val="18"/>
          <w:lang w:val="en-GB"/>
        </w:rPr>
        <w:t>Defense</w:t>
      </w:r>
      <w:proofErr w:type="spellEnd"/>
      <w:r w:rsidRPr="00F017DC">
        <w:rPr>
          <w:rFonts w:ascii="Garamond" w:hAnsi="Garamond"/>
          <w:sz w:val="18"/>
          <w:szCs w:val="18"/>
          <w:lang w:val="en-GB"/>
        </w:rPr>
        <w:t xml:space="preserve"> Strategy of the United States of America, Department of </w:t>
      </w:r>
      <w:proofErr w:type="spellStart"/>
      <w:r w:rsidRPr="00F017DC">
        <w:rPr>
          <w:rFonts w:ascii="Garamond" w:hAnsi="Garamond"/>
          <w:sz w:val="18"/>
          <w:szCs w:val="18"/>
          <w:lang w:val="en-GB"/>
        </w:rPr>
        <w:t>Defense</w:t>
      </w:r>
      <w:proofErr w:type="spellEnd"/>
      <w:r w:rsidRPr="00F017DC">
        <w:rPr>
          <w:rFonts w:ascii="Garamond" w:hAnsi="Garamond"/>
          <w:sz w:val="18"/>
          <w:szCs w:val="18"/>
          <w:lang w:val="en-GB"/>
        </w:rPr>
        <w:t>, mars 2005.</w:t>
      </w:r>
    </w:p>
  </w:footnote>
  <w:footnote w:id="28">
    <w:p w14:paraId="4A3ED301" w14:textId="77777777" w:rsidR="00542230" w:rsidRPr="00F017DC" w:rsidRDefault="00542230"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RNS 2022, n° 181, Objectif stratégique n° 9 : « une capacité à se défendre et à agir dans les champs hybrides ».</w:t>
      </w:r>
    </w:p>
  </w:footnote>
  <w:footnote w:id="29">
    <w:p w14:paraId="4FD2DECC" w14:textId="77777777" w:rsidR="007625A2" w:rsidRPr="00F017DC" w:rsidRDefault="007625A2"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 xml:space="preserve">A. </w:t>
      </w:r>
      <w:proofErr w:type="spellStart"/>
      <w:r w:rsidRPr="00F017DC">
        <w:rPr>
          <w:rFonts w:ascii="Garamond" w:hAnsi="Garamond"/>
          <w:sz w:val="18"/>
          <w:szCs w:val="18"/>
        </w:rPr>
        <w:t>Schu</w:t>
      </w:r>
      <w:proofErr w:type="spellEnd"/>
      <w:r w:rsidRPr="00F017DC">
        <w:rPr>
          <w:rFonts w:ascii="Garamond" w:hAnsi="Garamond"/>
          <w:sz w:val="18"/>
          <w:szCs w:val="18"/>
        </w:rPr>
        <w:t>, « </w:t>
      </w:r>
      <w:proofErr w:type="spellStart"/>
      <w:r w:rsidRPr="00F017DC">
        <w:rPr>
          <w:rFonts w:ascii="Garamond" w:hAnsi="Garamond"/>
          <w:sz w:val="18"/>
          <w:szCs w:val="18"/>
        </w:rPr>
        <w:t>Lawfare</w:t>
      </w:r>
      <w:proofErr w:type="spellEnd"/>
      <w:r w:rsidRPr="00F017DC">
        <w:rPr>
          <w:rFonts w:ascii="Garamond" w:hAnsi="Garamond"/>
          <w:sz w:val="18"/>
          <w:szCs w:val="18"/>
        </w:rPr>
        <w:t xml:space="preserve"> : critique d’un concept défaillant », in J. Ancelin et A </w:t>
      </w:r>
      <w:proofErr w:type="spellStart"/>
      <w:r w:rsidRPr="00F017DC">
        <w:rPr>
          <w:rFonts w:ascii="Garamond" w:hAnsi="Garamond"/>
          <w:sz w:val="18"/>
          <w:szCs w:val="18"/>
        </w:rPr>
        <w:t>Ferey</w:t>
      </w:r>
      <w:proofErr w:type="spellEnd"/>
      <w:r w:rsidRPr="00F017DC">
        <w:rPr>
          <w:rFonts w:ascii="Garamond" w:hAnsi="Garamond"/>
          <w:sz w:val="18"/>
          <w:szCs w:val="18"/>
        </w:rPr>
        <w:t xml:space="preserve"> (</w:t>
      </w:r>
      <w:proofErr w:type="spellStart"/>
      <w:r w:rsidRPr="00F017DC">
        <w:rPr>
          <w:rFonts w:ascii="Garamond" w:hAnsi="Garamond"/>
          <w:sz w:val="18"/>
          <w:szCs w:val="18"/>
        </w:rPr>
        <w:t>dir</w:t>
      </w:r>
      <w:proofErr w:type="spellEnd"/>
      <w:r w:rsidRPr="00F017DC">
        <w:rPr>
          <w:rFonts w:ascii="Garamond" w:hAnsi="Garamond"/>
          <w:sz w:val="18"/>
          <w:szCs w:val="18"/>
        </w:rPr>
        <w:t xml:space="preserve">.), </w:t>
      </w:r>
      <w:proofErr w:type="spellStart"/>
      <w:r w:rsidRPr="00F017DC">
        <w:rPr>
          <w:rFonts w:ascii="Garamond" w:hAnsi="Garamond"/>
          <w:i/>
          <w:iCs/>
          <w:sz w:val="18"/>
          <w:szCs w:val="18"/>
        </w:rPr>
        <w:t>Lawfare</w:t>
      </w:r>
      <w:proofErr w:type="spellEnd"/>
      <w:r w:rsidRPr="00F017DC">
        <w:rPr>
          <w:rFonts w:ascii="Garamond" w:hAnsi="Garamond"/>
          <w:i/>
          <w:iCs/>
          <w:sz w:val="18"/>
          <w:szCs w:val="18"/>
        </w:rPr>
        <w:t> : le droit en procès</w:t>
      </w:r>
      <w:r w:rsidRPr="00F017DC">
        <w:rPr>
          <w:rFonts w:ascii="Garamond" w:hAnsi="Garamond"/>
          <w:sz w:val="18"/>
          <w:szCs w:val="18"/>
        </w:rPr>
        <w:t xml:space="preserve">, op. </w:t>
      </w:r>
      <w:proofErr w:type="spellStart"/>
      <w:r w:rsidRPr="00F017DC">
        <w:rPr>
          <w:rFonts w:ascii="Garamond" w:hAnsi="Garamond"/>
          <w:sz w:val="18"/>
          <w:szCs w:val="18"/>
        </w:rPr>
        <w:t>cit</w:t>
      </w:r>
      <w:proofErr w:type="spellEnd"/>
      <w:r w:rsidRPr="00F017DC">
        <w:rPr>
          <w:rFonts w:ascii="Garamond" w:hAnsi="Garamond"/>
          <w:sz w:val="18"/>
          <w:szCs w:val="18"/>
        </w:rPr>
        <w:t>., p. 42.</w:t>
      </w:r>
    </w:p>
  </w:footnote>
  <w:footnote w:id="30">
    <w:p w14:paraId="5DA22460" w14:textId="7BAC91B1" w:rsidR="00F6054C" w:rsidRPr="00F017DC" w:rsidRDefault="00F6054C"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008921A6" w:rsidRPr="00F017DC">
        <w:rPr>
          <w:rFonts w:ascii="Garamond" w:hAnsi="Garamond"/>
          <w:sz w:val="18"/>
          <w:szCs w:val="18"/>
        </w:rPr>
        <w:tab/>
      </w:r>
      <w:r w:rsidRPr="00F017DC">
        <w:rPr>
          <w:rFonts w:ascii="Garamond" w:hAnsi="Garamond"/>
          <w:sz w:val="18"/>
          <w:szCs w:val="18"/>
        </w:rPr>
        <w:t xml:space="preserve">SGDSN, </w:t>
      </w:r>
      <w:r w:rsidRPr="00F017DC">
        <w:rPr>
          <w:rFonts w:ascii="Garamond" w:hAnsi="Garamond"/>
          <w:i/>
          <w:iCs/>
          <w:sz w:val="18"/>
          <w:szCs w:val="18"/>
        </w:rPr>
        <w:t>« </w:t>
      </w:r>
      <w:r w:rsidRPr="00F017DC">
        <w:rPr>
          <w:rStyle w:val="Accentuation"/>
          <w:rFonts w:ascii="Garamond" w:hAnsi="Garamond"/>
          <w:sz w:val="18"/>
          <w:szCs w:val="18"/>
        </w:rPr>
        <w:t>RRN : une campagne numérique de manipulation de l’information complexe et persistante</w:t>
      </w:r>
      <w:r w:rsidRPr="00F017DC">
        <w:rPr>
          <w:rFonts w:ascii="Garamond" w:hAnsi="Garamond"/>
          <w:i/>
          <w:iCs/>
          <w:sz w:val="18"/>
          <w:szCs w:val="18"/>
        </w:rPr>
        <w:t> </w:t>
      </w:r>
      <w:r w:rsidRPr="00F017DC">
        <w:rPr>
          <w:rFonts w:ascii="Garamond" w:hAnsi="Garamond"/>
          <w:sz w:val="18"/>
          <w:szCs w:val="18"/>
        </w:rPr>
        <w:t>», 13 juin 2023 (en ligne).</w:t>
      </w:r>
    </w:p>
  </w:footnote>
  <w:footnote w:id="31">
    <w:p w14:paraId="305A6253" w14:textId="2A51B719" w:rsidR="00F6054C" w:rsidRPr="00F017DC" w:rsidRDefault="00F6054C"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008921A6" w:rsidRPr="00F017DC">
        <w:rPr>
          <w:rFonts w:ascii="Garamond" w:hAnsi="Garamond"/>
          <w:sz w:val="18"/>
          <w:szCs w:val="18"/>
        </w:rPr>
        <w:tab/>
      </w:r>
      <w:r w:rsidRPr="00F017DC">
        <w:rPr>
          <w:rFonts w:ascii="Garamond" w:hAnsi="Garamond"/>
          <w:sz w:val="18"/>
          <w:szCs w:val="18"/>
        </w:rPr>
        <w:t>SGDSN, « PORTAL KOMBAT : Un réseau structuré et coordonné de propagande pro-russe », 12 févr. 2024 (en ligne).</w:t>
      </w:r>
    </w:p>
  </w:footnote>
  <w:footnote w:id="32">
    <w:p w14:paraId="167ACFC3" w14:textId="1BEA041D" w:rsidR="00F6054C" w:rsidRPr="00F017DC" w:rsidRDefault="00F6054C"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008921A6" w:rsidRPr="00F017DC">
        <w:rPr>
          <w:rFonts w:ascii="Garamond" w:hAnsi="Garamond"/>
          <w:sz w:val="18"/>
          <w:szCs w:val="18"/>
        </w:rPr>
        <w:tab/>
      </w:r>
      <w:r w:rsidRPr="00F017DC">
        <w:rPr>
          <w:rFonts w:ascii="Garamond" w:hAnsi="Garamond"/>
          <w:sz w:val="18"/>
          <w:szCs w:val="18"/>
        </w:rPr>
        <w:t>SGDSN : « Protéger le débat public numérique en contexte électoral : guide de sensibilisation à l’attention des équipes de campagne », 29 mars 2024 (en ligne).</w:t>
      </w:r>
    </w:p>
  </w:footnote>
  <w:footnote w:id="33">
    <w:p w14:paraId="060B007A" w14:textId="242B1A06" w:rsidR="00A8276D" w:rsidRPr="00F017DC" w:rsidRDefault="00A8276D"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00752FD3" w:rsidRPr="00F017DC">
        <w:rPr>
          <w:rFonts w:ascii="Garamond" w:hAnsi="Garamond"/>
          <w:sz w:val="18"/>
          <w:szCs w:val="18"/>
        </w:rPr>
        <w:tab/>
      </w:r>
      <w:r w:rsidRPr="00F017DC">
        <w:rPr>
          <w:rFonts w:ascii="Garamond" w:hAnsi="Garamond"/>
          <w:sz w:val="18"/>
          <w:szCs w:val="18"/>
        </w:rPr>
        <w:t xml:space="preserve">A. Beaufre, </w:t>
      </w:r>
      <w:r w:rsidRPr="00F017DC">
        <w:rPr>
          <w:rFonts w:ascii="Garamond" w:hAnsi="Garamond"/>
          <w:i/>
          <w:iCs/>
          <w:sz w:val="18"/>
          <w:szCs w:val="18"/>
        </w:rPr>
        <w:t>Introduction à la stratégie</w:t>
      </w:r>
      <w:r w:rsidRPr="00F017DC">
        <w:rPr>
          <w:rFonts w:ascii="Garamond" w:hAnsi="Garamond"/>
          <w:sz w:val="18"/>
          <w:szCs w:val="18"/>
        </w:rPr>
        <w:t xml:space="preserve">¸ Armand Colin, 1963, Pluriel, 201, </w:t>
      </w:r>
      <w:proofErr w:type="spellStart"/>
      <w:r w:rsidRPr="00F017DC">
        <w:rPr>
          <w:rFonts w:ascii="Garamond" w:hAnsi="Garamond"/>
          <w:sz w:val="18"/>
          <w:szCs w:val="18"/>
        </w:rPr>
        <w:t>rééd</w:t>
      </w:r>
      <w:proofErr w:type="spellEnd"/>
      <w:r w:rsidRPr="00F017DC">
        <w:rPr>
          <w:rFonts w:ascii="Garamond" w:hAnsi="Garamond"/>
          <w:sz w:val="18"/>
          <w:szCs w:val="18"/>
        </w:rPr>
        <w:t>. 2023 (</w:t>
      </w:r>
      <w:proofErr w:type="spellStart"/>
      <w:r w:rsidRPr="00F017DC">
        <w:rPr>
          <w:rFonts w:ascii="Garamond" w:hAnsi="Garamond"/>
          <w:sz w:val="18"/>
          <w:szCs w:val="18"/>
        </w:rPr>
        <w:t>préf</w:t>
      </w:r>
      <w:proofErr w:type="spellEnd"/>
      <w:r w:rsidRPr="00F017DC">
        <w:rPr>
          <w:rFonts w:ascii="Garamond" w:hAnsi="Garamond"/>
          <w:sz w:val="18"/>
          <w:szCs w:val="18"/>
        </w:rPr>
        <w:t xml:space="preserve">. Th. De </w:t>
      </w:r>
      <w:proofErr w:type="spellStart"/>
      <w:r w:rsidRPr="00F017DC">
        <w:rPr>
          <w:rFonts w:ascii="Garamond" w:hAnsi="Garamond"/>
          <w:sz w:val="18"/>
          <w:szCs w:val="18"/>
        </w:rPr>
        <w:t>Montbrial</w:t>
      </w:r>
      <w:proofErr w:type="spellEnd"/>
      <w:r w:rsidRPr="00F017DC">
        <w:rPr>
          <w:rFonts w:ascii="Garamond" w:hAnsi="Garamond"/>
          <w:sz w:val="18"/>
          <w:szCs w:val="18"/>
        </w:rPr>
        <w:t xml:space="preserve">), </w:t>
      </w:r>
      <w:proofErr w:type="spellStart"/>
      <w:r w:rsidRPr="00F017DC">
        <w:rPr>
          <w:rFonts w:ascii="Garamond" w:hAnsi="Garamond"/>
          <w:sz w:val="18"/>
          <w:szCs w:val="18"/>
        </w:rPr>
        <w:t>sp</w:t>
      </w:r>
      <w:proofErr w:type="spellEnd"/>
      <w:r w:rsidRPr="00F017DC">
        <w:rPr>
          <w:rFonts w:ascii="Garamond" w:hAnsi="Garamond"/>
          <w:sz w:val="18"/>
          <w:szCs w:val="18"/>
        </w:rPr>
        <w:t>. p. 34.</w:t>
      </w:r>
    </w:p>
  </w:footnote>
  <w:footnote w:id="34">
    <w:p w14:paraId="2C2DE798" w14:textId="42E3DA55" w:rsidR="00EA14F2" w:rsidRPr="00F017DC" w:rsidRDefault="00EA14F2"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00752FD3" w:rsidRPr="00F017DC">
        <w:rPr>
          <w:rFonts w:ascii="Garamond" w:hAnsi="Garamond"/>
          <w:sz w:val="18"/>
          <w:szCs w:val="18"/>
        </w:rPr>
        <w:tab/>
      </w:r>
      <w:r w:rsidRPr="00F017DC">
        <w:rPr>
          <w:rFonts w:ascii="Garamond" w:hAnsi="Garamond"/>
          <w:sz w:val="18"/>
          <w:szCs w:val="18"/>
        </w:rPr>
        <w:t xml:space="preserve">Protocole additionnel </w:t>
      </w:r>
      <w:r w:rsidR="001D3624" w:rsidRPr="00F017DC">
        <w:rPr>
          <w:rFonts w:ascii="Garamond" w:hAnsi="Garamond"/>
          <w:sz w:val="18"/>
          <w:szCs w:val="18"/>
        </w:rPr>
        <w:t xml:space="preserve">I de 1977 </w:t>
      </w:r>
      <w:r w:rsidRPr="00F017DC">
        <w:rPr>
          <w:rFonts w:ascii="Garamond" w:hAnsi="Garamond"/>
          <w:sz w:val="18"/>
          <w:szCs w:val="18"/>
        </w:rPr>
        <w:t>à la convention IV de Genève de 1949 relatif à la protection des</w:t>
      </w:r>
      <w:r w:rsidR="001D3624" w:rsidRPr="00F017DC">
        <w:rPr>
          <w:rFonts w:ascii="Garamond" w:hAnsi="Garamond"/>
          <w:sz w:val="18"/>
          <w:szCs w:val="18"/>
        </w:rPr>
        <w:t xml:space="preserve"> </w:t>
      </w:r>
      <w:r w:rsidRPr="00F017DC">
        <w:rPr>
          <w:rFonts w:ascii="Garamond" w:hAnsi="Garamond"/>
          <w:sz w:val="18"/>
          <w:szCs w:val="18"/>
        </w:rPr>
        <w:t xml:space="preserve">victimes de conflits armés internationaux, art. </w:t>
      </w:r>
      <w:r w:rsidR="001D3624" w:rsidRPr="00F017DC">
        <w:rPr>
          <w:rFonts w:ascii="Garamond" w:hAnsi="Garamond"/>
          <w:sz w:val="18"/>
          <w:szCs w:val="18"/>
        </w:rPr>
        <w:t>52.</w:t>
      </w:r>
      <w:r w:rsidRPr="00F017DC">
        <w:rPr>
          <w:rFonts w:ascii="Garamond" w:hAnsi="Garamond"/>
          <w:sz w:val="18"/>
          <w:szCs w:val="18"/>
        </w:rPr>
        <w:t xml:space="preserve"> </w:t>
      </w:r>
    </w:p>
  </w:footnote>
  <w:footnote w:id="35">
    <w:p w14:paraId="6A1A863E" w14:textId="249223B6" w:rsidR="001D3624" w:rsidRPr="00F017DC" w:rsidRDefault="001D3624"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00752FD3" w:rsidRPr="00F017DC">
        <w:rPr>
          <w:rFonts w:ascii="Garamond" w:hAnsi="Garamond"/>
          <w:sz w:val="18"/>
          <w:szCs w:val="18"/>
        </w:rPr>
        <w:tab/>
      </w:r>
      <w:r w:rsidRPr="00F017DC">
        <w:rPr>
          <w:rFonts w:ascii="Garamond" w:hAnsi="Garamond"/>
          <w:sz w:val="18"/>
          <w:szCs w:val="18"/>
        </w:rPr>
        <w:t xml:space="preserve">Protocole additionnel I de 1977 à la convention IV de Genève de 1949, art. </w:t>
      </w:r>
      <w:r w:rsidR="00F72EE0" w:rsidRPr="00F017DC">
        <w:rPr>
          <w:rFonts w:ascii="Garamond" w:hAnsi="Garamond"/>
          <w:sz w:val="18"/>
          <w:szCs w:val="18"/>
        </w:rPr>
        <w:t>57.2 qui impose aux parties de « s</w:t>
      </w:r>
      <w:r w:rsidR="00F72EE0" w:rsidRPr="00881B24">
        <w:rPr>
          <w:rFonts w:ascii="Garamond" w:hAnsi="Garamond"/>
          <w:i/>
          <w:iCs/>
          <w:sz w:val="18"/>
          <w:szCs w:val="18"/>
        </w:rPr>
        <w:t>’abstenir de lancer une attaque dont on peut attendre qu’elle cause incidemment des pertes en vies humaines dans la population civile, des blessures aux personnes civiles, des dommages aux biens de caractère civil, ou une combinaison de ces pertes et dommages, qui seraient excessifs par rapport à l’avantage militaire concret et direct attendu</w:t>
      </w:r>
      <w:r w:rsidR="00F72EE0" w:rsidRPr="00F017DC">
        <w:rPr>
          <w:rFonts w:ascii="Garamond" w:hAnsi="Garamond"/>
          <w:sz w:val="18"/>
          <w:szCs w:val="18"/>
        </w:rPr>
        <w:t xml:space="preserve"> ».</w:t>
      </w:r>
    </w:p>
  </w:footnote>
  <w:footnote w:id="36">
    <w:p w14:paraId="0A4AD101" w14:textId="2779C07C" w:rsidR="001845A6" w:rsidRPr="00F017DC" w:rsidRDefault="001845A6" w:rsidP="00F56AD9">
      <w:pPr>
        <w:spacing w:after="0" w:line="240" w:lineRule="auto"/>
        <w:ind w:left="284" w:hanging="284"/>
        <w:jc w:val="both"/>
        <w:rPr>
          <w:rFonts w:ascii="Garamond" w:hAnsi="Garamond" w:cs="Times New Roman"/>
          <w:sz w:val="18"/>
          <w:szCs w:val="18"/>
          <w:lang w:val="en-GB"/>
        </w:rPr>
      </w:pPr>
      <w:r w:rsidRPr="00F017DC">
        <w:rPr>
          <w:rStyle w:val="Appelnotedebasdep"/>
          <w:rFonts w:ascii="Garamond" w:hAnsi="Garamond" w:cs="Times New Roman"/>
          <w:sz w:val="18"/>
          <w:szCs w:val="18"/>
        </w:rPr>
        <w:footnoteRef/>
      </w:r>
      <w:r w:rsidRPr="00F017DC">
        <w:rPr>
          <w:rFonts w:ascii="Garamond" w:hAnsi="Garamond" w:cs="Times New Roman"/>
          <w:sz w:val="18"/>
          <w:szCs w:val="18"/>
          <w:lang w:val="en-GB"/>
        </w:rPr>
        <w:t xml:space="preserve"> </w:t>
      </w:r>
      <w:r w:rsidRPr="00F017DC">
        <w:rPr>
          <w:rFonts w:ascii="Garamond" w:hAnsi="Garamond" w:cs="Times New Roman"/>
          <w:sz w:val="18"/>
          <w:szCs w:val="18"/>
          <w:lang w:val="en-GB"/>
        </w:rPr>
        <w:tab/>
        <w:t>PCA Case 2013-19, Award, PCA, 12 </w:t>
      </w:r>
      <w:proofErr w:type="spellStart"/>
      <w:r w:rsidRPr="00F017DC">
        <w:rPr>
          <w:rFonts w:ascii="Garamond" w:hAnsi="Garamond" w:cs="Times New Roman"/>
          <w:sz w:val="18"/>
          <w:szCs w:val="18"/>
          <w:lang w:val="en-GB"/>
        </w:rPr>
        <w:t>juill</w:t>
      </w:r>
      <w:proofErr w:type="spellEnd"/>
      <w:r w:rsidRPr="00F017DC">
        <w:rPr>
          <w:rFonts w:ascii="Garamond" w:hAnsi="Garamond" w:cs="Times New Roman"/>
          <w:sz w:val="18"/>
          <w:szCs w:val="18"/>
          <w:lang w:val="en-GB"/>
        </w:rPr>
        <w:t>. 2016 (</w:t>
      </w:r>
      <w:proofErr w:type="spellStart"/>
      <w:r w:rsidRPr="00F017DC">
        <w:rPr>
          <w:rFonts w:ascii="Garamond" w:hAnsi="Garamond" w:cs="Times New Roman"/>
          <w:sz w:val="18"/>
          <w:szCs w:val="18"/>
          <w:lang w:val="en-GB"/>
        </w:rPr>
        <w:t>en</w:t>
      </w:r>
      <w:proofErr w:type="spellEnd"/>
      <w:r w:rsidRPr="00F017DC">
        <w:rPr>
          <w:rFonts w:ascii="Garamond" w:hAnsi="Garamond" w:cs="Times New Roman"/>
          <w:sz w:val="18"/>
          <w:szCs w:val="18"/>
          <w:lang w:val="en-GB"/>
        </w:rPr>
        <w:t xml:space="preserve"> </w:t>
      </w:r>
      <w:proofErr w:type="spellStart"/>
      <w:r w:rsidRPr="00F017DC">
        <w:rPr>
          <w:rFonts w:ascii="Garamond" w:hAnsi="Garamond" w:cs="Times New Roman"/>
          <w:sz w:val="18"/>
          <w:szCs w:val="18"/>
          <w:lang w:val="en-GB"/>
        </w:rPr>
        <w:t>ligne</w:t>
      </w:r>
      <w:proofErr w:type="spellEnd"/>
      <w:r w:rsidRPr="00F017DC">
        <w:rPr>
          <w:rFonts w:ascii="Garamond" w:hAnsi="Garamond" w:cs="Times New Roman"/>
          <w:sz w:val="18"/>
          <w:szCs w:val="18"/>
          <w:lang w:val="en-GB"/>
        </w:rPr>
        <w:t>).</w:t>
      </w:r>
    </w:p>
  </w:footnote>
  <w:footnote w:id="37">
    <w:p w14:paraId="50B68106" w14:textId="0610626B" w:rsidR="008921A6" w:rsidRPr="00F017DC" w:rsidRDefault="008921A6" w:rsidP="00F56AD9">
      <w:pPr>
        <w:pStyle w:val="Notedebasdepage"/>
        <w:jc w:val="both"/>
        <w:rPr>
          <w:rFonts w:ascii="Garamond" w:hAnsi="Garamond"/>
          <w:sz w:val="18"/>
          <w:szCs w:val="18"/>
          <w:lang w:val="en-GB"/>
        </w:rPr>
      </w:pPr>
      <w:r w:rsidRPr="00F017DC">
        <w:rPr>
          <w:rStyle w:val="Appelnotedebasdep"/>
          <w:rFonts w:ascii="Garamond" w:hAnsi="Garamond"/>
          <w:sz w:val="18"/>
          <w:szCs w:val="18"/>
        </w:rPr>
        <w:footnoteRef/>
      </w:r>
      <w:r w:rsidRPr="00F017DC">
        <w:rPr>
          <w:rFonts w:ascii="Garamond" w:hAnsi="Garamond"/>
          <w:sz w:val="18"/>
          <w:szCs w:val="18"/>
          <w:lang w:val="en-GB"/>
        </w:rPr>
        <w:t xml:space="preserve"> </w:t>
      </w:r>
      <w:r w:rsidRPr="00F017DC">
        <w:rPr>
          <w:rFonts w:ascii="Garamond" w:hAnsi="Garamond"/>
          <w:sz w:val="18"/>
          <w:szCs w:val="18"/>
          <w:lang w:val="en-GB"/>
        </w:rPr>
        <w:tab/>
        <w:t xml:space="preserve">O. F. </w:t>
      </w:r>
      <w:proofErr w:type="spellStart"/>
      <w:r w:rsidRPr="00F017DC">
        <w:rPr>
          <w:rFonts w:ascii="Garamond" w:hAnsi="Garamond"/>
          <w:sz w:val="18"/>
          <w:szCs w:val="18"/>
          <w:lang w:val="en-GB"/>
        </w:rPr>
        <w:t>Kittrie</w:t>
      </w:r>
      <w:proofErr w:type="spellEnd"/>
      <w:r w:rsidRPr="00F017DC">
        <w:rPr>
          <w:rFonts w:ascii="Garamond" w:hAnsi="Garamond"/>
          <w:sz w:val="18"/>
          <w:szCs w:val="18"/>
          <w:lang w:val="en-GB"/>
        </w:rPr>
        <w:t xml:space="preserve">, </w:t>
      </w:r>
      <w:r w:rsidRPr="00F017DC">
        <w:rPr>
          <w:rFonts w:ascii="Garamond" w:hAnsi="Garamond"/>
          <w:i/>
          <w:iCs/>
          <w:sz w:val="18"/>
          <w:szCs w:val="18"/>
          <w:lang w:val="en-GB"/>
        </w:rPr>
        <w:t>Lawfare: Law as a Weapon of War</w:t>
      </w:r>
      <w:r w:rsidRPr="00F017DC">
        <w:rPr>
          <w:rFonts w:ascii="Garamond" w:hAnsi="Garamond"/>
          <w:sz w:val="18"/>
          <w:szCs w:val="18"/>
          <w:lang w:val="en-GB"/>
        </w:rPr>
        <w:t>, Oxford University Press, 2016.</w:t>
      </w:r>
    </w:p>
  </w:footnote>
  <w:footnote w:id="38">
    <w:p w14:paraId="0012B804" w14:textId="1540DA67" w:rsidR="0095581D" w:rsidRPr="00F017DC" w:rsidRDefault="0095581D"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 xml:space="preserve">D. Danet, « Sécurité économique et intelligence juridique : le rôle des stratégies judiciaires », Revue internationale d’intelligence économique 2010/2, p. 277 ; </w:t>
      </w:r>
      <w:bookmarkStart w:id="4" w:name="_Hlk132825141"/>
      <w:r w:rsidRPr="00F017DC">
        <w:rPr>
          <w:rFonts w:ascii="Garamond" w:hAnsi="Garamond"/>
          <w:sz w:val="18"/>
          <w:szCs w:val="18"/>
        </w:rPr>
        <w:t>B. </w:t>
      </w:r>
      <w:proofErr w:type="spellStart"/>
      <w:r w:rsidRPr="00F017DC">
        <w:rPr>
          <w:rFonts w:ascii="Garamond" w:hAnsi="Garamond"/>
          <w:sz w:val="18"/>
          <w:szCs w:val="18"/>
        </w:rPr>
        <w:t>Warusfel</w:t>
      </w:r>
      <w:proofErr w:type="spellEnd"/>
      <w:r w:rsidRPr="00F017DC">
        <w:rPr>
          <w:rFonts w:ascii="Garamond" w:hAnsi="Garamond"/>
          <w:sz w:val="18"/>
          <w:szCs w:val="18"/>
        </w:rPr>
        <w:t>, « L’intelligence juridique : une nouvelle approche pour les praticiens du droit », Le monde du droit, n° 43, 1</w:t>
      </w:r>
      <w:r w:rsidRPr="00F017DC">
        <w:rPr>
          <w:rFonts w:ascii="Garamond" w:hAnsi="Garamond"/>
          <w:sz w:val="18"/>
          <w:szCs w:val="18"/>
          <w:vertAlign w:val="superscript"/>
        </w:rPr>
        <w:t>er</w:t>
      </w:r>
      <w:r w:rsidRPr="00F017DC">
        <w:rPr>
          <w:rFonts w:ascii="Garamond" w:hAnsi="Garamond"/>
          <w:sz w:val="18"/>
          <w:szCs w:val="18"/>
        </w:rPr>
        <w:t>-15 avr. 2010</w:t>
      </w:r>
      <w:bookmarkEnd w:id="4"/>
      <w:r w:rsidRPr="00F017DC">
        <w:rPr>
          <w:rFonts w:ascii="Garamond" w:hAnsi="Garamond"/>
          <w:sz w:val="18"/>
          <w:szCs w:val="18"/>
        </w:rPr>
        <w:t xml:space="preserve">, A. </w:t>
      </w:r>
      <w:proofErr w:type="spellStart"/>
      <w:r w:rsidRPr="00F017DC">
        <w:rPr>
          <w:rFonts w:ascii="Garamond" w:hAnsi="Garamond"/>
          <w:sz w:val="18"/>
          <w:szCs w:val="18"/>
        </w:rPr>
        <w:t>Gossement</w:t>
      </w:r>
      <w:proofErr w:type="spellEnd"/>
      <w:r w:rsidRPr="00F017DC">
        <w:rPr>
          <w:rFonts w:ascii="Garamond" w:hAnsi="Garamond"/>
          <w:sz w:val="18"/>
          <w:szCs w:val="18"/>
        </w:rPr>
        <w:t xml:space="preserve">, « Intelligence juridique : une nouvelle approche du droit au service des juristes », Village de la justice, 9 avr. 2010 ; </w:t>
      </w:r>
      <w:r w:rsidRPr="00F017DC">
        <w:rPr>
          <w:rFonts w:ascii="Garamond" w:hAnsi="Garamond"/>
          <w:i/>
          <w:iCs/>
          <w:sz w:val="18"/>
          <w:szCs w:val="18"/>
        </w:rPr>
        <w:t>De l’intelligence artificielle à l’intelligence juridique</w:t>
      </w:r>
      <w:r w:rsidRPr="00F017DC">
        <w:rPr>
          <w:rFonts w:ascii="Garamond" w:hAnsi="Garamond"/>
          <w:sz w:val="18"/>
          <w:szCs w:val="18"/>
        </w:rPr>
        <w:t>, LexisNexis, 2018.</w:t>
      </w:r>
    </w:p>
  </w:footnote>
  <w:footnote w:id="39">
    <w:p w14:paraId="6955C030" w14:textId="458A6609" w:rsidR="00B92CAB" w:rsidRPr="00F017DC" w:rsidRDefault="00B92CAB"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r>
      <w:r w:rsidR="00102DBE" w:rsidRPr="00F017DC">
        <w:rPr>
          <w:rFonts w:ascii="Garamond" w:hAnsi="Garamond"/>
          <w:sz w:val="18"/>
          <w:szCs w:val="18"/>
        </w:rPr>
        <w:t xml:space="preserve">CJUE, 22 déc. 2022, </w:t>
      </w:r>
      <w:proofErr w:type="spellStart"/>
      <w:r w:rsidR="00102DBE" w:rsidRPr="00F017DC">
        <w:rPr>
          <w:rFonts w:ascii="Garamond" w:hAnsi="Garamond"/>
          <w:sz w:val="18"/>
          <w:szCs w:val="18"/>
        </w:rPr>
        <w:t>aff.</w:t>
      </w:r>
      <w:proofErr w:type="spellEnd"/>
      <w:r w:rsidR="00102DBE" w:rsidRPr="00F017DC">
        <w:rPr>
          <w:rFonts w:ascii="Garamond" w:hAnsi="Garamond"/>
          <w:sz w:val="18"/>
          <w:szCs w:val="18"/>
        </w:rPr>
        <w:t xml:space="preserve"> C-98/22, </w:t>
      </w:r>
      <w:proofErr w:type="spellStart"/>
      <w:r w:rsidR="00102DBE" w:rsidRPr="00F017DC">
        <w:rPr>
          <w:rFonts w:ascii="Garamond" w:hAnsi="Garamond"/>
          <w:i/>
          <w:iCs/>
          <w:sz w:val="18"/>
          <w:szCs w:val="18"/>
        </w:rPr>
        <w:t>Eurelec</w:t>
      </w:r>
      <w:proofErr w:type="spellEnd"/>
      <w:r w:rsidR="00102DBE" w:rsidRPr="00F017DC">
        <w:rPr>
          <w:rFonts w:ascii="Garamond" w:hAnsi="Garamond"/>
          <w:sz w:val="18"/>
          <w:szCs w:val="18"/>
        </w:rPr>
        <w:t xml:space="preserve"> </w:t>
      </w:r>
      <w:r w:rsidR="00102DBE" w:rsidRPr="00F017DC">
        <w:rPr>
          <w:rFonts w:ascii="Garamond" w:hAnsi="Garamond"/>
          <w:i/>
          <w:iCs/>
          <w:sz w:val="18"/>
          <w:szCs w:val="18"/>
        </w:rPr>
        <w:t>D</w:t>
      </w:r>
      <w:r w:rsidR="00102DBE" w:rsidRPr="00F017DC">
        <w:rPr>
          <w:rFonts w:ascii="Garamond" w:hAnsi="Garamond"/>
          <w:i/>
          <w:sz w:val="18"/>
          <w:szCs w:val="18"/>
        </w:rPr>
        <w:t>.</w:t>
      </w:r>
      <w:r w:rsidR="00102DBE" w:rsidRPr="00F017DC">
        <w:rPr>
          <w:rFonts w:ascii="Garamond" w:hAnsi="Garamond"/>
          <w:sz w:val="18"/>
          <w:szCs w:val="18"/>
        </w:rPr>
        <w:t xml:space="preserve"> 2023, p. 15, </w:t>
      </w:r>
      <w:r w:rsidR="00102DBE" w:rsidRPr="00F017DC">
        <w:rPr>
          <w:rFonts w:ascii="Garamond" w:hAnsi="Garamond"/>
          <w:i/>
          <w:sz w:val="18"/>
          <w:szCs w:val="18"/>
        </w:rPr>
        <w:t>Dalloz actualité</w:t>
      </w:r>
      <w:r w:rsidR="00102DBE" w:rsidRPr="00F017DC">
        <w:rPr>
          <w:rFonts w:ascii="Garamond" w:hAnsi="Garamond"/>
          <w:sz w:val="18"/>
          <w:szCs w:val="18"/>
        </w:rPr>
        <w:t xml:space="preserve">, 23 janv. 2023, note F. Melin, p. 705, obs. N. Ferrier, </w:t>
      </w:r>
      <w:r w:rsidR="00102DBE" w:rsidRPr="00F017DC">
        <w:rPr>
          <w:rFonts w:ascii="Garamond" w:hAnsi="Garamond"/>
          <w:i/>
          <w:iCs/>
          <w:sz w:val="18"/>
          <w:szCs w:val="18"/>
        </w:rPr>
        <w:t>CCC</w:t>
      </w:r>
      <w:r w:rsidR="00102DBE" w:rsidRPr="00F017DC">
        <w:rPr>
          <w:rFonts w:ascii="Garamond" w:hAnsi="Garamond"/>
          <w:sz w:val="18"/>
          <w:szCs w:val="18"/>
        </w:rPr>
        <w:t xml:space="preserve"> 2023, </w:t>
      </w:r>
      <w:proofErr w:type="spellStart"/>
      <w:r w:rsidR="00102DBE" w:rsidRPr="00F017DC">
        <w:rPr>
          <w:rFonts w:ascii="Garamond" w:hAnsi="Garamond"/>
          <w:sz w:val="18"/>
          <w:szCs w:val="18"/>
        </w:rPr>
        <w:t>comm</w:t>
      </w:r>
      <w:proofErr w:type="spellEnd"/>
      <w:r w:rsidR="00102DBE" w:rsidRPr="00F017DC">
        <w:rPr>
          <w:rFonts w:ascii="Garamond" w:hAnsi="Garamond"/>
          <w:sz w:val="18"/>
          <w:szCs w:val="18"/>
        </w:rPr>
        <w:t>. 43, obs. N. </w:t>
      </w:r>
      <w:proofErr w:type="spellStart"/>
      <w:r w:rsidR="00102DBE" w:rsidRPr="00F017DC">
        <w:rPr>
          <w:rFonts w:ascii="Garamond" w:hAnsi="Garamond"/>
          <w:sz w:val="18"/>
          <w:szCs w:val="18"/>
        </w:rPr>
        <w:t>Mathey</w:t>
      </w:r>
      <w:proofErr w:type="spellEnd"/>
      <w:r w:rsidR="00102DBE" w:rsidRPr="00F017DC">
        <w:rPr>
          <w:rFonts w:ascii="Garamond" w:hAnsi="Garamond"/>
          <w:sz w:val="18"/>
          <w:szCs w:val="18"/>
        </w:rPr>
        <w:t xml:space="preserve"> ; Europe 2023, </w:t>
      </w:r>
      <w:proofErr w:type="spellStart"/>
      <w:r w:rsidR="00102DBE" w:rsidRPr="00F017DC">
        <w:rPr>
          <w:rFonts w:ascii="Garamond" w:hAnsi="Garamond"/>
          <w:sz w:val="18"/>
          <w:szCs w:val="18"/>
        </w:rPr>
        <w:t>comm</w:t>
      </w:r>
      <w:proofErr w:type="spellEnd"/>
      <w:r w:rsidR="00102DBE" w:rsidRPr="00F017DC">
        <w:rPr>
          <w:rFonts w:ascii="Garamond" w:hAnsi="Garamond"/>
          <w:sz w:val="18"/>
          <w:szCs w:val="18"/>
        </w:rPr>
        <w:t>. 90, obs. L. </w:t>
      </w:r>
      <w:proofErr w:type="spellStart"/>
      <w:r w:rsidR="00102DBE" w:rsidRPr="00F017DC">
        <w:rPr>
          <w:rFonts w:ascii="Garamond" w:hAnsi="Garamond"/>
          <w:sz w:val="18"/>
          <w:szCs w:val="18"/>
        </w:rPr>
        <w:t>Idot</w:t>
      </w:r>
      <w:proofErr w:type="spellEnd"/>
      <w:r w:rsidR="00102DBE" w:rsidRPr="00F017DC">
        <w:rPr>
          <w:rFonts w:ascii="Garamond" w:hAnsi="Garamond"/>
          <w:sz w:val="18"/>
          <w:szCs w:val="18"/>
        </w:rPr>
        <w:t xml:space="preserve"> ; </w:t>
      </w:r>
      <w:r w:rsidR="00102DBE" w:rsidRPr="00F017DC">
        <w:rPr>
          <w:rFonts w:ascii="Garamond" w:hAnsi="Garamond"/>
          <w:i/>
          <w:sz w:val="18"/>
          <w:szCs w:val="18"/>
        </w:rPr>
        <w:t>Gaz. Pal.</w:t>
      </w:r>
      <w:r w:rsidR="00102DBE" w:rsidRPr="00F017DC">
        <w:rPr>
          <w:rFonts w:ascii="Garamond" w:hAnsi="Garamond"/>
          <w:sz w:val="18"/>
          <w:szCs w:val="18"/>
        </w:rPr>
        <w:t xml:space="preserve"> 28 févr. 2023, n° GPL445t2, note H. Meur ; Procédures 2023, </w:t>
      </w:r>
      <w:proofErr w:type="spellStart"/>
      <w:r w:rsidR="00102DBE" w:rsidRPr="00F017DC">
        <w:rPr>
          <w:rFonts w:ascii="Garamond" w:hAnsi="Garamond"/>
          <w:sz w:val="18"/>
          <w:szCs w:val="18"/>
        </w:rPr>
        <w:t>comm</w:t>
      </w:r>
      <w:proofErr w:type="spellEnd"/>
      <w:r w:rsidR="00102DBE" w:rsidRPr="00F017DC">
        <w:rPr>
          <w:rFonts w:ascii="Garamond" w:hAnsi="Garamond"/>
          <w:sz w:val="18"/>
          <w:szCs w:val="18"/>
        </w:rPr>
        <w:t>. 74, obs. C. </w:t>
      </w:r>
      <w:proofErr w:type="spellStart"/>
      <w:r w:rsidR="00102DBE" w:rsidRPr="00F017DC">
        <w:rPr>
          <w:rFonts w:ascii="Garamond" w:hAnsi="Garamond"/>
          <w:sz w:val="18"/>
          <w:szCs w:val="18"/>
        </w:rPr>
        <w:t>Nourissat</w:t>
      </w:r>
      <w:proofErr w:type="spellEnd"/>
      <w:r w:rsidR="00102DBE" w:rsidRPr="00F017DC">
        <w:rPr>
          <w:rFonts w:ascii="Garamond" w:hAnsi="Garamond"/>
          <w:sz w:val="18"/>
          <w:szCs w:val="18"/>
        </w:rPr>
        <w:t xml:space="preserve">. </w:t>
      </w:r>
      <w:proofErr w:type="spellStart"/>
      <w:r w:rsidR="00102DBE" w:rsidRPr="00F017DC">
        <w:rPr>
          <w:rFonts w:ascii="Garamond" w:hAnsi="Garamond"/>
          <w:i/>
          <w:sz w:val="18"/>
          <w:szCs w:val="18"/>
        </w:rPr>
        <w:t>Adde</w:t>
      </w:r>
      <w:proofErr w:type="spellEnd"/>
      <w:r w:rsidR="00102DBE" w:rsidRPr="00F017DC">
        <w:rPr>
          <w:rFonts w:ascii="Garamond" w:hAnsi="Garamond"/>
          <w:sz w:val="18"/>
          <w:szCs w:val="18"/>
        </w:rPr>
        <w:t xml:space="preserve"> </w:t>
      </w:r>
      <w:proofErr w:type="spellStart"/>
      <w:r w:rsidR="00102DBE" w:rsidRPr="00F017DC">
        <w:rPr>
          <w:rFonts w:ascii="Garamond" w:hAnsi="Garamond"/>
          <w:sz w:val="18"/>
          <w:szCs w:val="18"/>
        </w:rPr>
        <w:t>Behar</w:t>
      </w:r>
      <w:proofErr w:type="spellEnd"/>
      <w:r w:rsidR="00102DBE" w:rsidRPr="00F017DC">
        <w:rPr>
          <w:rFonts w:ascii="Garamond" w:hAnsi="Garamond"/>
          <w:sz w:val="18"/>
          <w:szCs w:val="18"/>
        </w:rPr>
        <w:t xml:space="preserve">-Touchais, « Nature publique de l’action du ministre en matière de pratiques restrictives de concurrence », </w:t>
      </w:r>
      <w:r w:rsidR="00102DBE" w:rsidRPr="00F017DC">
        <w:rPr>
          <w:rFonts w:ascii="Garamond" w:hAnsi="Garamond"/>
          <w:i/>
          <w:sz w:val="18"/>
          <w:szCs w:val="18"/>
        </w:rPr>
        <w:t>JCP</w:t>
      </w:r>
      <w:r w:rsidR="00102DBE" w:rsidRPr="00F017DC">
        <w:rPr>
          <w:rFonts w:ascii="Garamond" w:hAnsi="Garamond"/>
          <w:sz w:val="18"/>
          <w:szCs w:val="18"/>
        </w:rPr>
        <w:t> E 2023. 1041</w:t>
      </w:r>
      <w:r w:rsidR="005F767C" w:rsidRPr="00F017DC">
        <w:rPr>
          <w:rFonts w:ascii="Garamond" w:hAnsi="Garamond"/>
          <w:sz w:val="18"/>
          <w:szCs w:val="18"/>
        </w:rPr>
        <w:t xml:space="preserve">, G. Chantepie, « EGALIM 3 » : le droit des relations commerciales réformé à tâtons (Quatrième partie : l’application internationale du titre IV du livre IV du code de commerce) », </w:t>
      </w:r>
      <w:r w:rsidR="005F767C" w:rsidRPr="00F017DC">
        <w:rPr>
          <w:rFonts w:ascii="Garamond" w:hAnsi="Garamond"/>
          <w:i/>
          <w:sz w:val="18"/>
          <w:szCs w:val="18"/>
        </w:rPr>
        <w:t>Dalloz actu</w:t>
      </w:r>
      <w:r w:rsidR="005F767C" w:rsidRPr="00F017DC">
        <w:rPr>
          <w:rFonts w:ascii="Garamond" w:hAnsi="Garamond"/>
          <w:sz w:val="18"/>
          <w:szCs w:val="18"/>
        </w:rPr>
        <w:t>, 13 avr. 2013</w:t>
      </w:r>
      <w:r w:rsidR="00102DBE" w:rsidRPr="00F017DC">
        <w:rPr>
          <w:rFonts w:ascii="Garamond" w:hAnsi="Garamond"/>
          <w:sz w:val="18"/>
          <w:szCs w:val="18"/>
        </w:rPr>
        <w:t xml:space="preserve">. </w:t>
      </w:r>
      <w:proofErr w:type="spellStart"/>
      <w:r w:rsidRPr="00F017DC">
        <w:rPr>
          <w:rFonts w:ascii="Garamond" w:hAnsi="Garamond"/>
          <w:sz w:val="18"/>
          <w:szCs w:val="18"/>
        </w:rPr>
        <w:t>Comp</w:t>
      </w:r>
      <w:proofErr w:type="spellEnd"/>
      <w:r w:rsidRPr="00F017DC">
        <w:rPr>
          <w:rFonts w:ascii="Garamond" w:hAnsi="Garamond"/>
          <w:sz w:val="18"/>
          <w:szCs w:val="18"/>
        </w:rPr>
        <w:t xml:space="preserve">. D. Mainguy, M. </w:t>
      </w:r>
      <w:proofErr w:type="spellStart"/>
      <w:r w:rsidRPr="00F017DC">
        <w:rPr>
          <w:rFonts w:ascii="Garamond" w:hAnsi="Garamond"/>
          <w:sz w:val="18"/>
          <w:szCs w:val="18"/>
        </w:rPr>
        <w:t>Depincé</w:t>
      </w:r>
      <w:proofErr w:type="spellEnd"/>
      <w:r w:rsidRPr="00F017DC">
        <w:rPr>
          <w:rFonts w:ascii="Garamond" w:hAnsi="Garamond"/>
          <w:sz w:val="18"/>
          <w:szCs w:val="18"/>
        </w:rPr>
        <w:t xml:space="preserve"> et M. </w:t>
      </w:r>
      <w:proofErr w:type="spellStart"/>
      <w:r w:rsidRPr="00F017DC">
        <w:rPr>
          <w:rFonts w:ascii="Garamond" w:hAnsi="Garamond"/>
          <w:sz w:val="18"/>
          <w:szCs w:val="18"/>
        </w:rPr>
        <w:t>Cayot</w:t>
      </w:r>
      <w:proofErr w:type="spellEnd"/>
      <w:r w:rsidRPr="00F017DC">
        <w:rPr>
          <w:rFonts w:ascii="Garamond" w:hAnsi="Garamond"/>
          <w:sz w:val="18"/>
          <w:szCs w:val="18"/>
        </w:rPr>
        <w:t xml:space="preserve">, </w:t>
      </w:r>
      <w:r w:rsidRPr="00F017DC">
        <w:rPr>
          <w:rFonts w:ascii="Garamond" w:hAnsi="Garamond"/>
          <w:i/>
          <w:iCs/>
          <w:sz w:val="18"/>
          <w:szCs w:val="18"/>
        </w:rPr>
        <w:t>Droit de la concurrence</w:t>
      </w:r>
      <w:r w:rsidRPr="00F017DC">
        <w:rPr>
          <w:rFonts w:ascii="Garamond" w:hAnsi="Garamond"/>
          <w:sz w:val="18"/>
          <w:szCs w:val="18"/>
        </w:rPr>
        <w:t xml:space="preserve">, 4è éd., LexisNexis, 2024, n° </w:t>
      </w:r>
      <w:r w:rsidR="008E0E4D" w:rsidRPr="00F017DC">
        <w:rPr>
          <w:rFonts w:ascii="Garamond" w:hAnsi="Garamond"/>
          <w:sz w:val="18"/>
          <w:szCs w:val="18"/>
        </w:rPr>
        <w:t>254 s.</w:t>
      </w:r>
    </w:p>
  </w:footnote>
  <w:footnote w:id="40">
    <w:p w14:paraId="3DC82F77" w14:textId="0726B8A9" w:rsidR="00A80F05" w:rsidRPr="00F017DC" w:rsidRDefault="00A80F05"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 xml:space="preserve">Cf. K. </w:t>
      </w:r>
      <w:proofErr w:type="spellStart"/>
      <w:r w:rsidRPr="00F017DC">
        <w:rPr>
          <w:rFonts w:ascii="Garamond" w:hAnsi="Garamond"/>
          <w:sz w:val="18"/>
          <w:szCs w:val="18"/>
        </w:rPr>
        <w:t>Mehtiyeva</w:t>
      </w:r>
      <w:proofErr w:type="spellEnd"/>
      <w:r w:rsidRPr="00F017DC">
        <w:rPr>
          <w:rFonts w:ascii="Garamond" w:hAnsi="Garamond"/>
          <w:sz w:val="18"/>
          <w:szCs w:val="18"/>
        </w:rPr>
        <w:t xml:space="preserve">, </w:t>
      </w:r>
      <w:r w:rsidRPr="00F017DC">
        <w:rPr>
          <w:rFonts w:ascii="Garamond" w:hAnsi="Garamond"/>
          <w:i/>
          <w:iCs/>
          <w:sz w:val="18"/>
          <w:szCs w:val="18"/>
        </w:rPr>
        <w:t xml:space="preserve">Chronique de coopération judiciaire internationale, </w:t>
      </w:r>
      <w:r w:rsidRPr="00F017DC">
        <w:rPr>
          <w:rFonts w:ascii="Garamond" w:hAnsi="Garamond"/>
          <w:sz w:val="18"/>
          <w:szCs w:val="18"/>
        </w:rPr>
        <w:t xml:space="preserve">JDI 2024, p. 715, </w:t>
      </w:r>
      <w:proofErr w:type="spellStart"/>
      <w:r w:rsidRPr="00F017DC">
        <w:rPr>
          <w:rFonts w:ascii="Garamond" w:hAnsi="Garamond"/>
          <w:sz w:val="18"/>
          <w:szCs w:val="18"/>
        </w:rPr>
        <w:t>sp</w:t>
      </w:r>
      <w:proofErr w:type="spellEnd"/>
      <w:r w:rsidRPr="00F017DC">
        <w:rPr>
          <w:rFonts w:ascii="Garamond" w:hAnsi="Garamond"/>
          <w:sz w:val="18"/>
          <w:szCs w:val="18"/>
        </w:rPr>
        <w:t>. n°</w:t>
      </w:r>
      <w:r w:rsidR="00077ADE" w:rsidRPr="00F017DC">
        <w:rPr>
          <w:rFonts w:ascii="Garamond" w:hAnsi="Garamond"/>
          <w:sz w:val="18"/>
          <w:szCs w:val="18"/>
        </w:rPr>
        <w:t> </w:t>
      </w:r>
      <w:r w:rsidRPr="00F017DC">
        <w:rPr>
          <w:rFonts w:ascii="Garamond" w:hAnsi="Garamond"/>
          <w:sz w:val="18"/>
          <w:szCs w:val="18"/>
        </w:rPr>
        <w:t>11 s.</w:t>
      </w:r>
      <w:r w:rsidR="00721E97" w:rsidRPr="00F017DC">
        <w:rPr>
          <w:rFonts w:ascii="Garamond" w:hAnsi="Garamond"/>
          <w:sz w:val="18"/>
          <w:szCs w:val="18"/>
        </w:rPr>
        <w:t xml:space="preserve"> </w:t>
      </w:r>
      <w:proofErr w:type="spellStart"/>
      <w:r w:rsidR="00721E97" w:rsidRPr="00F017DC">
        <w:rPr>
          <w:rFonts w:ascii="Garamond" w:hAnsi="Garamond"/>
          <w:sz w:val="18"/>
          <w:szCs w:val="18"/>
        </w:rPr>
        <w:t>Comp</w:t>
      </w:r>
      <w:proofErr w:type="spellEnd"/>
      <w:r w:rsidR="00721E97" w:rsidRPr="00F017DC">
        <w:rPr>
          <w:rFonts w:ascii="Garamond" w:hAnsi="Garamond"/>
          <w:sz w:val="18"/>
          <w:szCs w:val="18"/>
        </w:rPr>
        <w:t xml:space="preserve">. : Court of </w:t>
      </w:r>
      <w:proofErr w:type="spellStart"/>
      <w:r w:rsidR="00721E97" w:rsidRPr="00F017DC">
        <w:rPr>
          <w:rFonts w:ascii="Garamond" w:hAnsi="Garamond"/>
          <w:sz w:val="18"/>
          <w:szCs w:val="18"/>
        </w:rPr>
        <w:t>Appeal</w:t>
      </w:r>
      <w:proofErr w:type="spellEnd"/>
      <w:r w:rsidR="00721E97" w:rsidRPr="00F017DC">
        <w:rPr>
          <w:rFonts w:ascii="Garamond" w:hAnsi="Garamond"/>
          <w:sz w:val="18"/>
          <w:szCs w:val="18"/>
        </w:rPr>
        <w:t xml:space="preserve"> of </w:t>
      </w:r>
      <w:proofErr w:type="spellStart"/>
      <w:r w:rsidR="00721E97" w:rsidRPr="00F017DC">
        <w:rPr>
          <w:rFonts w:ascii="Garamond" w:hAnsi="Garamond"/>
          <w:sz w:val="18"/>
          <w:szCs w:val="18"/>
        </w:rPr>
        <w:t>England</w:t>
      </w:r>
      <w:proofErr w:type="spellEnd"/>
      <w:r w:rsidR="00721E97" w:rsidRPr="00F017DC">
        <w:rPr>
          <w:rFonts w:ascii="Garamond" w:hAnsi="Garamond"/>
          <w:sz w:val="18"/>
          <w:szCs w:val="18"/>
        </w:rPr>
        <w:t xml:space="preserve"> and Wales [EWCA], 2 févr. </w:t>
      </w:r>
      <w:r w:rsidR="00721E97" w:rsidRPr="00F017DC">
        <w:rPr>
          <w:rFonts w:ascii="Garamond" w:hAnsi="Garamond"/>
          <w:sz w:val="18"/>
          <w:szCs w:val="18"/>
          <w:lang w:val="en-GB"/>
        </w:rPr>
        <w:t xml:space="preserve">2024, </w:t>
      </w:r>
      <w:r w:rsidR="001767E4" w:rsidRPr="00F017DC">
        <w:rPr>
          <w:rFonts w:ascii="Garamond" w:hAnsi="Garamond"/>
          <w:i/>
          <w:iCs/>
          <w:sz w:val="18"/>
          <w:szCs w:val="18"/>
          <w:lang w:val="en-GB"/>
        </w:rPr>
        <w:t xml:space="preserve">UniCredit Bank c/ </w:t>
      </w:r>
      <w:proofErr w:type="spellStart"/>
      <w:r w:rsidR="001767E4" w:rsidRPr="00F017DC">
        <w:rPr>
          <w:rFonts w:ascii="Garamond" w:hAnsi="Garamond"/>
          <w:i/>
          <w:iCs/>
          <w:sz w:val="18"/>
          <w:szCs w:val="18"/>
          <w:lang w:val="en-GB"/>
        </w:rPr>
        <w:t>RusChemAlliance</w:t>
      </w:r>
      <w:proofErr w:type="spellEnd"/>
      <w:r w:rsidR="001767E4" w:rsidRPr="00F017DC">
        <w:rPr>
          <w:rFonts w:ascii="Garamond" w:hAnsi="Garamond"/>
          <w:sz w:val="18"/>
          <w:szCs w:val="18"/>
          <w:lang w:val="en-GB"/>
        </w:rPr>
        <w:t xml:space="preserve">, </w:t>
      </w:r>
      <w:r w:rsidR="00721E97" w:rsidRPr="00F017DC">
        <w:rPr>
          <w:rFonts w:ascii="Garamond" w:hAnsi="Garamond"/>
          <w:sz w:val="18"/>
          <w:szCs w:val="18"/>
          <w:lang w:val="en-GB"/>
        </w:rPr>
        <w:t xml:space="preserve">EWCA </w:t>
      </w:r>
      <w:proofErr w:type="spellStart"/>
      <w:r w:rsidR="00721E97" w:rsidRPr="00F017DC">
        <w:rPr>
          <w:rFonts w:ascii="Garamond" w:hAnsi="Garamond"/>
          <w:sz w:val="18"/>
          <w:szCs w:val="18"/>
          <w:lang w:val="en-GB"/>
        </w:rPr>
        <w:t>Civ</w:t>
      </w:r>
      <w:proofErr w:type="spellEnd"/>
      <w:r w:rsidR="00721E97" w:rsidRPr="00F017DC">
        <w:rPr>
          <w:rFonts w:ascii="Garamond" w:hAnsi="Garamond"/>
          <w:sz w:val="18"/>
          <w:szCs w:val="18"/>
          <w:lang w:val="en-GB"/>
        </w:rPr>
        <w:t xml:space="preserve"> 64, </w:t>
      </w:r>
      <w:proofErr w:type="spellStart"/>
      <w:r w:rsidR="00721E97" w:rsidRPr="00F017DC">
        <w:rPr>
          <w:rFonts w:ascii="Garamond" w:hAnsi="Garamond"/>
          <w:sz w:val="18"/>
          <w:szCs w:val="18"/>
          <w:lang w:val="en-GB"/>
        </w:rPr>
        <w:t>Dalloz</w:t>
      </w:r>
      <w:proofErr w:type="spellEnd"/>
      <w:r w:rsidR="00721E97" w:rsidRPr="00F017DC">
        <w:rPr>
          <w:rFonts w:ascii="Garamond" w:hAnsi="Garamond"/>
          <w:sz w:val="18"/>
          <w:szCs w:val="18"/>
          <w:lang w:val="en-GB"/>
        </w:rPr>
        <w:t xml:space="preserve"> </w:t>
      </w:r>
      <w:proofErr w:type="spellStart"/>
      <w:r w:rsidR="00721E97" w:rsidRPr="00F017DC">
        <w:rPr>
          <w:rFonts w:ascii="Garamond" w:hAnsi="Garamond"/>
          <w:sz w:val="18"/>
          <w:szCs w:val="18"/>
          <w:lang w:val="en-GB"/>
        </w:rPr>
        <w:t>actu</w:t>
      </w:r>
      <w:proofErr w:type="spellEnd"/>
      <w:r w:rsidR="00721E97" w:rsidRPr="00F017DC">
        <w:rPr>
          <w:rFonts w:ascii="Garamond" w:hAnsi="Garamond"/>
          <w:sz w:val="18"/>
          <w:szCs w:val="18"/>
          <w:lang w:val="en-GB"/>
        </w:rPr>
        <w:t xml:space="preserve">, 21 mars 2024, obs. J. Jourdan </w:t>
      </w:r>
      <w:proofErr w:type="spellStart"/>
      <w:r w:rsidR="00721E97" w:rsidRPr="00F017DC">
        <w:rPr>
          <w:rFonts w:ascii="Garamond" w:hAnsi="Garamond"/>
          <w:sz w:val="18"/>
          <w:szCs w:val="18"/>
          <w:lang w:val="en-GB"/>
        </w:rPr>
        <w:t>Marquès</w:t>
      </w:r>
      <w:proofErr w:type="spellEnd"/>
      <w:r w:rsidR="00721E97" w:rsidRPr="00F017DC">
        <w:rPr>
          <w:rFonts w:ascii="Garamond" w:hAnsi="Garamond"/>
          <w:sz w:val="18"/>
          <w:szCs w:val="18"/>
          <w:lang w:val="en-GB"/>
        </w:rPr>
        <w:t xml:space="preserve"> ; Supreme Court of England and Wales, 18 sept. 2024, </w:t>
      </w:r>
      <w:r w:rsidR="001767E4" w:rsidRPr="00F017DC">
        <w:rPr>
          <w:rFonts w:ascii="Garamond" w:hAnsi="Garamond"/>
          <w:i/>
          <w:iCs/>
          <w:sz w:val="18"/>
          <w:szCs w:val="18"/>
          <w:lang w:val="en-GB"/>
        </w:rPr>
        <w:t xml:space="preserve">UniCredit Bank c/ </w:t>
      </w:r>
      <w:proofErr w:type="spellStart"/>
      <w:r w:rsidR="001767E4" w:rsidRPr="00F017DC">
        <w:rPr>
          <w:rFonts w:ascii="Garamond" w:hAnsi="Garamond"/>
          <w:i/>
          <w:iCs/>
          <w:sz w:val="18"/>
          <w:szCs w:val="18"/>
          <w:lang w:val="en-GB"/>
        </w:rPr>
        <w:t>RusChemAlliance</w:t>
      </w:r>
      <w:proofErr w:type="spellEnd"/>
      <w:r w:rsidR="001767E4" w:rsidRPr="00F017DC">
        <w:rPr>
          <w:rFonts w:ascii="Garamond" w:hAnsi="Garamond"/>
          <w:sz w:val="18"/>
          <w:szCs w:val="18"/>
          <w:lang w:val="en-GB"/>
        </w:rPr>
        <w:t xml:space="preserve">, </w:t>
      </w:r>
      <w:r w:rsidR="00721E97" w:rsidRPr="00F017DC">
        <w:rPr>
          <w:rFonts w:ascii="Garamond" w:hAnsi="Garamond"/>
          <w:sz w:val="18"/>
          <w:szCs w:val="18"/>
          <w:lang w:val="en-GB"/>
        </w:rPr>
        <w:t xml:space="preserve">[2024] UKSC 30 ; EWCA, 11 oct. 2023, </w:t>
      </w:r>
      <w:r w:rsidR="00721E97" w:rsidRPr="00F017DC">
        <w:rPr>
          <w:rFonts w:ascii="Garamond" w:hAnsi="Garamond"/>
          <w:i/>
          <w:iCs/>
          <w:sz w:val="18"/>
          <w:szCs w:val="18"/>
          <w:lang w:val="en-GB"/>
        </w:rPr>
        <w:t xml:space="preserve">Deutsche Bank AG v. </w:t>
      </w:r>
      <w:proofErr w:type="spellStart"/>
      <w:r w:rsidR="00721E97" w:rsidRPr="00F017DC">
        <w:rPr>
          <w:rFonts w:ascii="Garamond" w:hAnsi="Garamond"/>
          <w:i/>
          <w:iCs/>
          <w:sz w:val="18"/>
          <w:szCs w:val="18"/>
          <w:lang w:val="en-GB"/>
        </w:rPr>
        <w:t>RusChemAlliance</w:t>
      </w:r>
      <w:proofErr w:type="spellEnd"/>
      <w:r w:rsidR="00721E97" w:rsidRPr="00F017DC">
        <w:rPr>
          <w:rFonts w:ascii="Garamond" w:hAnsi="Garamond"/>
          <w:i/>
          <w:iCs/>
          <w:sz w:val="18"/>
          <w:szCs w:val="18"/>
          <w:lang w:val="en-GB"/>
        </w:rPr>
        <w:t>,</w:t>
      </w:r>
      <w:r w:rsidR="00721E97" w:rsidRPr="00F017DC">
        <w:rPr>
          <w:rFonts w:ascii="Garamond" w:hAnsi="Garamond"/>
          <w:sz w:val="18"/>
          <w:szCs w:val="18"/>
          <w:lang w:val="en-GB"/>
        </w:rPr>
        <w:t xml:space="preserve"> LLC [2023] EWCA </w:t>
      </w:r>
      <w:proofErr w:type="spellStart"/>
      <w:r w:rsidR="00721E97" w:rsidRPr="00F017DC">
        <w:rPr>
          <w:rFonts w:ascii="Garamond" w:hAnsi="Garamond"/>
          <w:sz w:val="18"/>
          <w:szCs w:val="18"/>
          <w:lang w:val="en-GB"/>
        </w:rPr>
        <w:t>Civ</w:t>
      </w:r>
      <w:proofErr w:type="spellEnd"/>
      <w:r w:rsidR="00721E97" w:rsidRPr="00F017DC">
        <w:rPr>
          <w:rFonts w:ascii="Garamond" w:hAnsi="Garamond"/>
          <w:sz w:val="18"/>
          <w:szCs w:val="18"/>
          <w:lang w:val="en-GB"/>
        </w:rPr>
        <w:t xml:space="preserve"> 1144, High Court of Justice of England and Wales, 31 </w:t>
      </w:r>
      <w:proofErr w:type="spellStart"/>
      <w:r w:rsidR="00721E97" w:rsidRPr="00F017DC">
        <w:rPr>
          <w:rFonts w:ascii="Garamond" w:hAnsi="Garamond"/>
          <w:sz w:val="18"/>
          <w:szCs w:val="18"/>
          <w:lang w:val="en-GB"/>
        </w:rPr>
        <w:t>août</w:t>
      </w:r>
      <w:proofErr w:type="spellEnd"/>
      <w:r w:rsidR="00721E97" w:rsidRPr="00F017DC">
        <w:rPr>
          <w:rFonts w:ascii="Garamond" w:hAnsi="Garamond"/>
          <w:sz w:val="18"/>
          <w:szCs w:val="18"/>
          <w:lang w:val="en-GB"/>
        </w:rPr>
        <w:t xml:space="preserve"> 2023, </w:t>
      </w:r>
      <w:r w:rsidR="00721E97" w:rsidRPr="00F017DC">
        <w:rPr>
          <w:rFonts w:ascii="Garamond" w:hAnsi="Garamond"/>
          <w:i/>
          <w:iCs/>
          <w:sz w:val="18"/>
          <w:szCs w:val="18"/>
          <w:lang w:val="en-GB"/>
        </w:rPr>
        <w:t xml:space="preserve">Commerzbank AG v. </w:t>
      </w:r>
      <w:proofErr w:type="spellStart"/>
      <w:r w:rsidR="00721E97" w:rsidRPr="00F017DC">
        <w:rPr>
          <w:rFonts w:ascii="Garamond" w:hAnsi="Garamond"/>
          <w:i/>
          <w:iCs/>
          <w:sz w:val="18"/>
          <w:szCs w:val="18"/>
          <w:lang w:val="en-GB"/>
        </w:rPr>
        <w:t>RusChemAlliance</w:t>
      </w:r>
      <w:proofErr w:type="spellEnd"/>
      <w:r w:rsidR="00721E97" w:rsidRPr="00F017DC">
        <w:rPr>
          <w:rFonts w:ascii="Garamond" w:hAnsi="Garamond"/>
          <w:i/>
          <w:iCs/>
          <w:sz w:val="18"/>
          <w:szCs w:val="18"/>
          <w:lang w:val="en-GB"/>
        </w:rPr>
        <w:t xml:space="preserve"> </w:t>
      </w:r>
      <w:r w:rsidR="00721E97" w:rsidRPr="00F017DC">
        <w:rPr>
          <w:rFonts w:ascii="Garamond" w:hAnsi="Garamond"/>
          <w:sz w:val="18"/>
          <w:szCs w:val="18"/>
          <w:lang w:val="en-GB"/>
        </w:rPr>
        <w:t xml:space="preserve">LLC [2023] EWHC 2510 (Comm.), JCP 2024, 1735, obs. </w:t>
      </w:r>
      <w:r w:rsidR="00721E97" w:rsidRPr="00F017DC">
        <w:rPr>
          <w:rFonts w:ascii="Garamond" w:hAnsi="Garamond"/>
          <w:sz w:val="18"/>
          <w:szCs w:val="18"/>
        </w:rPr>
        <w:t xml:space="preserve">E. </w:t>
      </w:r>
      <w:proofErr w:type="spellStart"/>
      <w:r w:rsidR="00721E97" w:rsidRPr="00F017DC">
        <w:rPr>
          <w:rFonts w:ascii="Garamond" w:hAnsi="Garamond"/>
          <w:sz w:val="18"/>
          <w:szCs w:val="18"/>
        </w:rPr>
        <w:t>Farnoux</w:t>
      </w:r>
      <w:proofErr w:type="spellEnd"/>
      <w:r w:rsidR="00721E97" w:rsidRPr="00F017DC">
        <w:rPr>
          <w:rFonts w:ascii="Garamond" w:hAnsi="Garamond"/>
          <w:sz w:val="18"/>
          <w:szCs w:val="18"/>
        </w:rPr>
        <w:t>.</w:t>
      </w:r>
    </w:p>
  </w:footnote>
  <w:footnote w:id="41">
    <w:p w14:paraId="1A982F39" w14:textId="77777777" w:rsidR="007451CC" w:rsidRPr="007451CC" w:rsidRDefault="007451CC" w:rsidP="007451CC">
      <w:pPr>
        <w:pStyle w:val="Notedebasdepage"/>
        <w:rPr>
          <w:rFonts w:ascii="Garamond" w:hAnsi="Garamond"/>
          <w:i/>
          <w:iCs/>
          <w:sz w:val="18"/>
          <w:szCs w:val="18"/>
        </w:rPr>
      </w:pPr>
      <w:r w:rsidRPr="007451CC">
        <w:rPr>
          <w:rStyle w:val="Appelnotedebasdep"/>
          <w:rFonts w:ascii="Garamond" w:hAnsi="Garamond"/>
          <w:sz w:val="18"/>
          <w:szCs w:val="18"/>
        </w:rPr>
        <w:footnoteRef/>
      </w:r>
      <w:r w:rsidRPr="007451CC">
        <w:rPr>
          <w:rFonts w:ascii="Garamond" w:hAnsi="Garamond"/>
          <w:sz w:val="18"/>
          <w:szCs w:val="18"/>
        </w:rPr>
        <w:t xml:space="preserve"> </w:t>
      </w:r>
      <w:r w:rsidRPr="007451CC">
        <w:rPr>
          <w:rFonts w:ascii="Garamond" w:hAnsi="Garamond"/>
          <w:sz w:val="18"/>
          <w:szCs w:val="18"/>
        </w:rPr>
        <w:tab/>
        <w:t xml:space="preserve">Cf. D. Mainguy, « Arbitrage et litiges de guerres » </w:t>
      </w:r>
      <w:proofErr w:type="spellStart"/>
      <w:r w:rsidRPr="007451CC">
        <w:rPr>
          <w:rFonts w:ascii="Garamond" w:hAnsi="Garamond"/>
          <w:sz w:val="18"/>
          <w:szCs w:val="18"/>
        </w:rPr>
        <w:t>préc</w:t>
      </w:r>
      <w:proofErr w:type="spellEnd"/>
      <w:r w:rsidRPr="007451CC">
        <w:rPr>
          <w:rFonts w:ascii="Garamond" w:hAnsi="Garamond"/>
          <w:sz w:val="18"/>
          <w:szCs w:val="18"/>
        </w:rPr>
        <w:t>., n° 60 s.</w:t>
      </w:r>
    </w:p>
  </w:footnote>
  <w:footnote w:id="42">
    <w:p w14:paraId="17AAA00D" w14:textId="3758592F" w:rsidR="00BA7892" w:rsidRPr="00F017DC" w:rsidRDefault="00BA7892"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V.</w:t>
      </w:r>
      <w:bookmarkStart w:id="5" w:name="_Hlk132828173"/>
      <w:r w:rsidRPr="00F017DC">
        <w:rPr>
          <w:rFonts w:ascii="Garamond" w:hAnsi="Garamond"/>
          <w:sz w:val="18"/>
          <w:szCs w:val="18"/>
        </w:rPr>
        <w:t xml:space="preserve"> L. Cohen-</w:t>
      </w:r>
      <w:proofErr w:type="spellStart"/>
      <w:r w:rsidRPr="00F017DC">
        <w:rPr>
          <w:rFonts w:ascii="Garamond" w:hAnsi="Garamond"/>
          <w:sz w:val="18"/>
          <w:szCs w:val="18"/>
        </w:rPr>
        <w:t>Tanugi</w:t>
      </w:r>
      <w:proofErr w:type="spellEnd"/>
      <w:r w:rsidRPr="00F017DC">
        <w:rPr>
          <w:rFonts w:ascii="Garamond" w:hAnsi="Garamond"/>
          <w:sz w:val="18"/>
          <w:szCs w:val="18"/>
        </w:rPr>
        <w:t xml:space="preserve">, </w:t>
      </w:r>
      <w:r w:rsidRPr="00F017DC">
        <w:rPr>
          <w:rFonts w:ascii="Garamond" w:hAnsi="Garamond"/>
          <w:i/>
          <w:iCs/>
          <w:sz w:val="18"/>
          <w:szCs w:val="18"/>
        </w:rPr>
        <w:t>Droits sans frontières. Géopolitique de l’extraterritorialité</w:t>
      </w:r>
      <w:r w:rsidRPr="00F017DC">
        <w:rPr>
          <w:rFonts w:ascii="Garamond" w:hAnsi="Garamond"/>
          <w:sz w:val="18"/>
          <w:szCs w:val="18"/>
        </w:rPr>
        <w:t xml:space="preserve">, Odile Jacob, 2023, </w:t>
      </w:r>
      <w:r w:rsidRPr="00F017DC">
        <w:rPr>
          <w:rStyle w:val="documentfirstua"/>
          <w:rFonts w:ascii="Garamond" w:hAnsi="Garamond"/>
          <w:sz w:val="18"/>
          <w:szCs w:val="18"/>
        </w:rPr>
        <w:t>E. Dubout, F. </w:t>
      </w:r>
      <w:proofErr w:type="spellStart"/>
      <w:r w:rsidRPr="00F017DC">
        <w:rPr>
          <w:rStyle w:val="documentfirstua"/>
          <w:rFonts w:ascii="Garamond" w:hAnsi="Garamond"/>
          <w:sz w:val="18"/>
          <w:szCs w:val="18"/>
        </w:rPr>
        <w:t>Martucci</w:t>
      </w:r>
      <w:proofErr w:type="spellEnd"/>
      <w:r w:rsidRPr="00F017DC">
        <w:rPr>
          <w:rStyle w:val="documentfirstua"/>
          <w:rFonts w:ascii="Garamond" w:hAnsi="Garamond"/>
          <w:sz w:val="18"/>
          <w:szCs w:val="18"/>
        </w:rPr>
        <w:t xml:space="preserve"> et F. </w:t>
      </w:r>
      <w:proofErr w:type="spellStart"/>
      <w:r w:rsidRPr="00F017DC">
        <w:rPr>
          <w:rStyle w:val="documentfirstua"/>
          <w:rFonts w:ascii="Garamond" w:hAnsi="Garamond"/>
          <w:sz w:val="18"/>
          <w:szCs w:val="18"/>
        </w:rPr>
        <w:t>Picod</w:t>
      </w:r>
      <w:proofErr w:type="spellEnd"/>
      <w:r w:rsidRPr="00F017DC">
        <w:rPr>
          <w:rStyle w:val="documentfirstua"/>
          <w:rFonts w:ascii="Garamond" w:hAnsi="Garamond"/>
          <w:sz w:val="18"/>
          <w:szCs w:val="18"/>
        </w:rPr>
        <w:t xml:space="preserve">, </w:t>
      </w:r>
      <w:r w:rsidRPr="00F017DC">
        <w:rPr>
          <w:rStyle w:val="documentfirstua"/>
          <w:rFonts w:ascii="Garamond" w:hAnsi="Garamond"/>
          <w:i/>
          <w:iCs/>
          <w:sz w:val="18"/>
          <w:szCs w:val="18"/>
        </w:rPr>
        <w:t>L’extraterritorialité en droit de l’Union européenne</w:t>
      </w:r>
      <w:r w:rsidRPr="00F017DC">
        <w:rPr>
          <w:rStyle w:val="documentfirstua"/>
          <w:rFonts w:ascii="Garamond" w:hAnsi="Garamond"/>
          <w:sz w:val="18"/>
          <w:szCs w:val="18"/>
        </w:rPr>
        <w:t>, Bruylant, 2021</w:t>
      </w:r>
      <w:bookmarkEnd w:id="5"/>
      <w:r w:rsidRPr="00F017DC">
        <w:rPr>
          <w:rStyle w:val="documentfirstua"/>
          <w:rFonts w:ascii="Garamond" w:hAnsi="Garamond"/>
          <w:sz w:val="18"/>
          <w:szCs w:val="18"/>
        </w:rPr>
        <w:t xml:space="preserve">, </w:t>
      </w:r>
      <w:bookmarkStart w:id="6" w:name="_Hlk132828198"/>
      <w:r w:rsidRPr="00F017DC">
        <w:rPr>
          <w:rStyle w:val="documentfirstua"/>
          <w:rFonts w:ascii="Garamond" w:hAnsi="Garamond"/>
          <w:sz w:val="18"/>
          <w:szCs w:val="18"/>
        </w:rPr>
        <w:t>M. Audit et E. </w:t>
      </w:r>
      <w:proofErr w:type="spellStart"/>
      <w:r w:rsidRPr="00F017DC">
        <w:rPr>
          <w:rStyle w:val="documentfirstua"/>
          <w:rFonts w:ascii="Garamond" w:hAnsi="Garamond"/>
          <w:sz w:val="18"/>
          <w:szCs w:val="18"/>
        </w:rPr>
        <w:t>Pataut</w:t>
      </w:r>
      <w:proofErr w:type="spellEnd"/>
      <w:r w:rsidRPr="00F017DC">
        <w:rPr>
          <w:rStyle w:val="documentfirstua"/>
          <w:rFonts w:ascii="Garamond" w:hAnsi="Garamond"/>
          <w:sz w:val="18"/>
          <w:szCs w:val="18"/>
        </w:rPr>
        <w:t xml:space="preserve"> (</w:t>
      </w:r>
      <w:proofErr w:type="spellStart"/>
      <w:r w:rsidRPr="00F017DC">
        <w:rPr>
          <w:rStyle w:val="documentfirstua"/>
          <w:rFonts w:ascii="Garamond" w:hAnsi="Garamond"/>
          <w:sz w:val="18"/>
          <w:szCs w:val="18"/>
        </w:rPr>
        <w:t>dir</w:t>
      </w:r>
      <w:proofErr w:type="spellEnd"/>
      <w:r w:rsidRPr="00F017DC">
        <w:rPr>
          <w:rStyle w:val="documentfirstua"/>
          <w:rFonts w:ascii="Garamond" w:hAnsi="Garamond"/>
          <w:sz w:val="18"/>
          <w:szCs w:val="18"/>
        </w:rPr>
        <w:t xml:space="preserve">.), </w:t>
      </w:r>
      <w:r w:rsidRPr="00F017DC">
        <w:rPr>
          <w:rStyle w:val="documentfirstua"/>
          <w:rFonts w:ascii="Garamond" w:hAnsi="Garamond"/>
          <w:i/>
          <w:iCs/>
          <w:sz w:val="18"/>
          <w:szCs w:val="18"/>
        </w:rPr>
        <w:t>L’extraterritorialité et droit international</w:t>
      </w:r>
      <w:r w:rsidRPr="00F017DC">
        <w:rPr>
          <w:rStyle w:val="documentfirstua"/>
          <w:rFonts w:ascii="Garamond" w:hAnsi="Garamond"/>
          <w:sz w:val="18"/>
          <w:szCs w:val="18"/>
        </w:rPr>
        <w:t xml:space="preserve">, </w:t>
      </w:r>
      <w:proofErr w:type="spellStart"/>
      <w:r w:rsidRPr="00F017DC">
        <w:rPr>
          <w:rStyle w:val="documentfirstua"/>
          <w:rFonts w:ascii="Garamond" w:hAnsi="Garamond"/>
          <w:sz w:val="18"/>
          <w:szCs w:val="18"/>
        </w:rPr>
        <w:t>Pedone</w:t>
      </w:r>
      <w:proofErr w:type="spellEnd"/>
      <w:r w:rsidRPr="00F017DC">
        <w:rPr>
          <w:rStyle w:val="documentfirstua"/>
          <w:rFonts w:ascii="Garamond" w:hAnsi="Garamond"/>
          <w:sz w:val="18"/>
          <w:szCs w:val="18"/>
        </w:rPr>
        <w:t>, 2020,</w:t>
      </w:r>
      <w:bookmarkEnd w:id="6"/>
      <w:r w:rsidRPr="00F017DC">
        <w:rPr>
          <w:rFonts w:ascii="Garamond" w:hAnsi="Garamond"/>
          <w:sz w:val="18"/>
          <w:szCs w:val="18"/>
        </w:rPr>
        <w:t xml:space="preserve"> </w:t>
      </w:r>
      <w:bookmarkStart w:id="7" w:name="_Hlk132828251"/>
      <w:r w:rsidRPr="00F017DC">
        <w:rPr>
          <w:rFonts w:ascii="Garamond" w:hAnsi="Garamond"/>
          <w:sz w:val="18"/>
          <w:szCs w:val="18"/>
        </w:rPr>
        <w:t>L. d’</w:t>
      </w:r>
      <w:proofErr w:type="spellStart"/>
      <w:r w:rsidRPr="00F017DC">
        <w:rPr>
          <w:rFonts w:ascii="Garamond" w:hAnsi="Garamond"/>
          <w:sz w:val="18"/>
          <w:szCs w:val="18"/>
        </w:rPr>
        <w:t>Avout</w:t>
      </w:r>
      <w:proofErr w:type="spellEnd"/>
      <w:r w:rsidRPr="00F017DC">
        <w:rPr>
          <w:rFonts w:ascii="Garamond" w:hAnsi="Garamond"/>
          <w:sz w:val="18"/>
          <w:szCs w:val="18"/>
        </w:rPr>
        <w:t xml:space="preserve">, « L’extraterritorialité du droit dans les relations d’affaires », </w:t>
      </w:r>
      <w:r w:rsidRPr="00F017DC">
        <w:rPr>
          <w:rFonts w:ascii="Garamond" w:hAnsi="Garamond"/>
          <w:i/>
          <w:sz w:val="18"/>
          <w:szCs w:val="18"/>
        </w:rPr>
        <w:t>JCP</w:t>
      </w:r>
      <w:r w:rsidRPr="00F017DC">
        <w:rPr>
          <w:rFonts w:ascii="Garamond" w:hAnsi="Garamond"/>
          <w:sz w:val="18"/>
          <w:szCs w:val="18"/>
        </w:rPr>
        <w:t> G 2015, 1112</w:t>
      </w:r>
      <w:bookmarkEnd w:id="7"/>
      <w:r w:rsidRPr="00F017DC">
        <w:rPr>
          <w:rFonts w:ascii="Garamond" w:hAnsi="Garamond"/>
          <w:sz w:val="18"/>
          <w:szCs w:val="18"/>
        </w:rPr>
        <w:t xml:space="preserve">, </w:t>
      </w:r>
      <w:bookmarkStart w:id="8" w:name="_Hlk132828271"/>
      <w:r w:rsidRPr="00F017DC">
        <w:rPr>
          <w:rFonts w:ascii="Garamond" w:hAnsi="Garamond"/>
          <w:sz w:val="18"/>
          <w:szCs w:val="18"/>
        </w:rPr>
        <w:t xml:space="preserve">« Sanctions négociées. La nouvelle discipline étatique des entreprises mondiales », </w:t>
      </w:r>
      <w:proofErr w:type="spellStart"/>
      <w:r w:rsidRPr="00F017DC">
        <w:rPr>
          <w:rFonts w:ascii="Garamond" w:hAnsi="Garamond"/>
          <w:i/>
          <w:iCs/>
          <w:sz w:val="18"/>
          <w:szCs w:val="18"/>
        </w:rPr>
        <w:t>Rev</w:t>
      </w:r>
      <w:proofErr w:type="spellEnd"/>
      <w:r w:rsidRPr="00F017DC">
        <w:rPr>
          <w:rFonts w:ascii="Garamond" w:hAnsi="Garamond"/>
          <w:i/>
          <w:iCs/>
          <w:sz w:val="18"/>
          <w:szCs w:val="18"/>
        </w:rPr>
        <w:t>. Droits</w:t>
      </w:r>
      <w:r w:rsidRPr="00F017DC">
        <w:rPr>
          <w:rFonts w:ascii="Garamond" w:hAnsi="Garamond"/>
          <w:sz w:val="18"/>
          <w:szCs w:val="18"/>
        </w:rPr>
        <w:t>, tome 64, 2016, p. 73</w:t>
      </w:r>
      <w:bookmarkEnd w:id="8"/>
      <w:r w:rsidRPr="00F017DC">
        <w:rPr>
          <w:rFonts w:ascii="Garamond" w:hAnsi="Garamond"/>
          <w:sz w:val="18"/>
          <w:szCs w:val="18"/>
        </w:rPr>
        <w:t xml:space="preserve">, </w:t>
      </w:r>
      <w:bookmarkStart w:id="9" w:name="_Hlk132828297"/>
      <w:r w:rsidRPr="00F017DC">
        <w:rPr>
          <w:rFonts w:ascii="Garamond" w:hAnsi="Garamond"/>
          <w:sz w:val="18"/>
          <w:szCs w:val="18"/>
        </w:rPr>
        <w:t xml:space="preserve">M. Audit, « L’arbitrage international confronté à l’extraterritorialité des lois », </w:t>
      </w:r>
      <w:proofErr w:type="spellStart"/>
      <w:r w:rsidRPr="00F017DC">
        <w:rPr>
          <w:rFonts w:ascii="Garamond" w:hAnsi="Garamond"/>
          <w:sz w:val="18"/>
          <w:szCs w:val="18"/>
        </w:rPr>
        <w:t>Rev</w:t>
      </w:r>
      <w:proofErr w:type="spellEnd"/>
      <w:r w:rsidRPr="00F017DC">
        <w:rPr>
          <w:rFonts w:ascii="Garamond" w:hAnsi="Garamond"/>
          <w:sz w:val="18"/>
          <w:szCs w:val="18"/>
        </w:rPr>
        <w:t xml:space="preserve">. </w:t>
      </w:r>
      <w:proofErr w:type="spellStart"/>
      <w:r w:rsidRPr="00F017DC">
        <w:rPr>
          <w:rFonts w:ascii="Garamond" w:hAnsi="Garamond"/>
          <w:sz w:val="18"/>
          <w:szCs w:val="18"/>
        </w:rPr>
        <w:t>arb</w:t>
      </w:r>
      <w:proofErr w:type="spellEnd"/>
      <w:r w:rsidRPr="00F017DC">
        <w:rPr>
          <w:rFonts w:ascii="Garamond" w:hAnsi="Garamond"/>
          <w:sz w:val="18"/>
          <w:szCs w:val="18"/>
        </w:rPr>
        <w:t>. 2015, p. 1001</w:t>
      </w:r>
      <w:bookmarkEnd w:id="9"/>
      <w:r w:rsidRPr="00F017DC">
        <w:rPr>
          <w:rFonts w:ascii="Garamond" w:hAnsi="Garamond"/>
          <w:sz w:val="18"/>
          <w:szCs w:val="18"/>
        </w:rPr>
        <w:t xml:space="preserve">, </w:t>
      </w:r>
      <w:bookmarkStart w:id="10" w:name="_Hlk132828323"/>
      <w:r w:rsidRPr="00F017DC">
        <w:rPr>
          <w:rFonts w:ascii="Garamond" w:hAnsi="Garamond"/>
          <w:sz w:val="18"/>
          <w:szCs w:val="18"/>
        </w:rPr>
        <w:t>M. Audit, R. Bismuth et A. Mignon-</w:t>
      </w:r>
      <w:proofErr w:type="spellStart"/>
      <w:r w:rsidRPr="00F017DC">
        <w:rPr>
          <w:rFonts w:ascii="Garamond" w:hAnsi="Garamond"/>
          <w:sz w:val="18"/>
          <w:szCs w:val="18"/>
        </w:rPr>
        <w:t>Colombet</w:t>
      </w:r>
      <w:proofErr w:type="spellEnd"/>
      <w:r w:rsidRPr="00F017DC">
        <w:rPr>
          <w:rFonts w:ascii="Garamond" w:hAnsi="Garamond"/>
          <w:sz w:val="18"/>
          <w:szCs w:val="18"/>
        </w:rPr>
        <w:t xml:space="preserve">, « Sanctions et extraterritorialité du droit américain : quelles réponses pour les entreprises françaises ? », </w:t>
      </w:r>
      <w:r w:rsidRPr="00F017DC">
        <w:rPr>
          <w:rFonts w:ascii="Garamond" w:hAnsi="Garamond"/>
          <w:i/>
          <w:sz w:val="18"/>
          <w:szCs w:val="18"/>
        </w:rPr>
        <w:t>JCP</w:t>
      </w:r>
      <w:r w:rsidRPr="00F017DC">
        <w:rPr>
          <w:rFonts w:ascii="Garamond" w:hAnsi="Garamond"/>
          <w:sz w:val="18"/>
          <w:szCs w:val="18"/>
        </w:rPr>
        <w:t> G 2015, 37</w:t>
      </w:r>
      <w:bookmarkEnd w:id="10"/>
      <w:r w:rsidRPr="00F017DC">
        <w:rPr>
          <w:rFonts w:ascii="Garamond" w:hAnsi="Garamond"/>
          <w:sz w:val="18"/>
          <w:szCs w:val="18"/>
        </w:rPr>
        <w:t xml:space="preserve">, </w:t>
      </w:r>
      <w:bookmarkStart w:id="11" w:name="_Hlk132828348"/>
      <w:r w:rsidRPr="00F017DC">
        <w:rPr>
          <w:rFonts w:ascii="Garamond" w:hAnsi="Garamond"/>
          <w:sz w:val="18"/>
          <w:szCs w:val="18"/>
        </w:rPr>
        <w:t>F. </w:t>
      </w:r>
      <w:proofErr w:type="spellStart"/>
      <w:r w:rsidRPr="00F017DC">
        <w:rPr>
          <w:rFonts w:ascii="Garamond" w:hAnsi="Garamond"/>
          <w:sz w:val="18"/>
          <w:szCs w:val="18"/>
        </w:rPr>
        <w:t>Martucci</w:t>
      </w:r>
      <w:proofErr w:type="spellEnd"/>
      <w:r w:rsidRPr="00F017DC">
        <w:rPr>
          <w:rFonts w:ascii="Garamond" w:hAnsi="Garamond"/>
          <w:sz w:val="18"/>
          <w:szCs w:val="18"/>
        </w:rPr>
        <w:t xml:space="preserve"> « L’extraterritorialité en droit de la concurrence », </w:t>
      </w:r>
      <w:proofErr w:type="spellStart"/>
      <w:r w:rsidRPr="00F017DC">
        <w:rPr>
          <w:rFonts w:ascii="Garamond" w:hAnsi="Garamond"/>
          <w:sz w:val="18"/>
          <w:szCs w:val="18"/>
        </w:rPr>
        <w:t>Cah</w:t>
      </w:r>
      <w:proofErr w:type="spellEnd"/>
      <w:r w:rsidRPr="00F017DC">
        <w:rPr>
          <w:rFonts w:ascii="Garamond" w:hAnsi="Garamond"/>
          <w:sz w:val="18"/>
          <w:szCs w:val="18"/>
        </w:rPr>
        <w:t xml:space="preserve">. </w:t>
      </w:r>
      <w:proofErr w:type="spellStart"/>
      <w:r w:rsidRPr="00F017DC">
        <w:rPr>
          <w:rFonts w:ascii="Garamond" w:hAnsi="Garamond"/>
          <w:sz w:val="18"/>
          <w:szCs w:val="18"/>
        </w:rPr>
        <w:t>dr</w:t>
      </w:r>
      <w:proofErr w:type="spellEnd"/>
      <w:r w:rsidRPr="00F017DC">
        <w:rPr>
          <w:rFonts w:ascii="Garamond" w:hAnsi="Garamond"/>
          <w:sz w:val="18"/>
          <w:szCs w:val="18"/>
        </w:rPr>
        <w:t xml:space="preserve">. </w:t>
      </w:r>
      <w:proofErr w:type="spellStart"/>
      <w:r w:rsidRPr="00F017DC">
        <w:rPr>
          <w:rFonts w:ascii="Garamond" w:hAnsi="Garamond"/>
          <w:sz w:val="18"/>
          <w:szCs w:val="18"/>
        </w:rPr>
        <w:t>entr</w:t>
      </w:r>
      <w:proofErr w:type="spellEnd"/>
      <w:r w:rsidRPr="00F017DC">
        <w:rPr>
          <w:rFonts w:ascii="Garamond" w:hAnsi="Garamond"/>
          <w:sz w:val="18"/>
          <w:szCs w:val="18"/>
        </w:rPr>
        <w:t xml:space="preserve">. 2018, </w:t>
      </w:r>
      <w:bookmarkEnd w:id="11"/>
      <w:r w:rsidRPr="00F017DC">
        <w:rPr>
          <w:rFonts w:ascii="Garamond" w:hAnsi="Garamond"/>
          <w:sz w:val="18"/>
          <w:szCs w:val="18"/>
        </w:rPr>
        <w:t xml:space="preserve">n° 4, </w:t>
      </w:r>
      <w:bookmarkStart w:id="12" w:name="_Hlk132828381"/>
      <w:r w:rsidRPr="00F017DC">
        <w:rPr>
          <w:rFonts w:ascii="Garamond" w:hAnsi="Garamond"/>
          <w:sz w:val="18"/>
          <w:szCs w:val="18"/>
        </w:rPr>
        <w:t>P. </w:t>
      </w:r>
      <w:proofErr w:type="spellStart"/>
      <w:r w:rsidRPr="00F017DC">
        <w:rPr>
          <w:rFonts w:ascii="Garamond" w:hAnsi="Garamond"/>
          <w:sz w:val="18"/>
          <w:szCs w:val="18"/>
        </w:rPr>
        <w:t>Athanasiou</w:t>
      </w:r>
      <w:proofErr w:type="spellEnd"/>
      <w:r w:rsidRPr="00F017DC">
        <w:rPr>
          <w:rFonts w:ascii="Garamond" w:hAnsi="Garamond"/>
          <w:sz w:val="18"/>
          <w:szCs w:val="18"/>
        </w:rPr>
        <w:t xml:space="preserve">, « Effets extraterritoriaux du droit américain sur les institutions financières non-américaines. Une vue d’ensemble », </w:t>
      </w:r>
      <w:r w:rsidRPr="00F017DC">
        <w:rPr>
          <w:rFonts w:ascii="Garamond" w:hAnsi="Garamond"/>
          <w:i/>
          <w:iCs/>
          <w:sz w:val="18"/>
          <w:szCs w:val="18"/>
        </w:rPr>
        <w:t>RD bancaire et fin</w:t>
      </w:r>
      <w:r w:rsidRPr="00F017DC">
        <w:rPr>
          <w:rFonts w:ascii="Garamond" w:hAnsi="Garamond"/>
          <w:sz w:val="18"/>
          <w:szCs w:val="18"/>
        </w:rPr>
        <w:t>. 2014, n° 16, p. 11</w:t>
      </w:r>
      <w:bookmarkEnd w:id="12"/>
      <w:r w:rsidRPr="00F017DC">
        <w:rPr>
          <w:rFonts w:ascii="Garamond" w:hAnsi="Garamond"/>
          <w:sz w:val="18"/>
          <w:szCs w:val="18"/>
        </w:rPr>
        <w:t> ; n° </w:t>
      </w:r>
      <w:proofErr w:type="spellStart"/>
      <w:r w:rsidRPr="00F017DC">
        <w:rPr>
          <w:rFonts w:ascii="Garamond" w:hAnsi="Garamond"/>
          <w:sz w:val="18"/>
          <w:szCs w:val="18"/>
        </w:rPr>
        <w:t>sp</w:t>
      </w:r>
      <w:proofErr w:type="spellEnd"/>
      <w:r w:rsidRPr="00F017DC">
        <w:rPr>
          <w:rFonts w:ascii="Garamond" w:hAnsi="Garamond"/>
          <w:sz w:val="18"/>
          <w:szCs w:val="18"/>
        </w:rPr>
        <w:t xml:space="preserve">. </w:t>
      </w:r>
      <w:r w:rsidRPr="00F017DC">
        <w:rPr>
          <w:rFonts w:ascii="Garamond" w:hAnsi="Garamond"/>
          <w:i/>
          <w:iCs/>
          <w:sz w:val="18"/>
          <w:szCs w:val="18"/>
        </w:rPr>
        <w:t>RD bancaire et fin.</w:t>
      </w:r>
      <w:r w:rsidRPr="00F017DC">
        <w:rPr>
          <w:rFonts w:ascii="Garamond" w:hAnsi="Garamond"/>
          <w:sz w:val="18"/>
          <w:szCs w:val="18"/>
        </w:rPr>
        <w:t xml:space="preserve"> 2015, n° 6, </w:t>
      </w:r>
      <w:bookmarkStart w:id="13" w:name="_Hlk133909580"/>
      <w:bookmarkStart w:id="14" w:name="_Hlk132828419"/>
      <w:r w:rsidRPr="00F017DC">
        <w:rPr>
          <w:rFonts w:ascii="Garamond" w:hAnsi="Garamond"/>
          <w:sz w:val="18"/>
          <w:szCs w:val="18"/>
        </w:rPr>
        <w:t>H. </w:t>
      </w:r>
      <w:proofErr w:type="spellStart"/>
      <w:r w:rsidRPr="00F017DC">
        <w:rPr>
          <w:rFonts w:ascii="Garamond" w:hAnsi="Garamond"/>
          <w:sz w:val="18"/>
          <w:szCs w:val="18"/>
        </w:rPr>
        <w:t>Ascensio</w:t>
      </w:r>
      <w:proofErr w:type="spellEnd"/>
      <w:r w:rsidRPr="00F017DC">
        <w:rPr>
          <w:rFonts w:ascii="Garamond" w:hAnsi="Garamond"/>
          <w:sz w:val="18"/>
          <w:szCs w:val="18"/>
        </w:rPr>
        <w:t xml:space="preserve">, « Etude : l’extraterritorialité comme instrument », 10 déc. 2010 (contribution à la discussion initiée par le Représentant spécial du Secrétaire général des Nations Unies sur les droits de l’homme et les entreprises transnationales et autres entreprises, John </w:t>
      </w:r>
      <w:proofErr w:type="spellStart"/>
      <w:r w:rsidRPr="00F017DC">
        <w:rPr>
          <w:rFonts w:ascii="Garamond" w:hAnsi="Garamond"/>
          <w:sz w:val="18"/>
          <w:szCs w:val="18"/>
        </w:rPr>
        <w:t>Ruggie</w:t>
      </w:r>
      <w:proofErr w:type="spellEnd"/>
      <w:r w:rsidRPr="00F017DC">
        <w:rPr>
          <w:rFonts w:ascii="Garamond" w:hAnsi="Garamond"/>
          <w:sz w:val="18"/>
          <w:szCs w:val="18"/>
        </w:rPr>
        <w:t>, en ligne</w:t>
      </w:r>
      <w:bookmarkEnd w:id="13"/>
      <w:r w:rsidRPr="00F017DC">
        <w:rPr>
          <w:rFonts w:ascii="Garamond" w:hAnsi="Garamond"/>
          <w:sz w:val="18"/>
          <w:szCs w:val="18"/>
        </w:rPr>
        <w:t xml:space="preserve">) ; </w:t>
      </w:r>
      <w:bookmarkStart w:id="15" w:name="_Hlk133909883"/>
      <w:r w:rsidRPr="00F017DC">
        <w:rPr>
          <w:rFonts w:ascii="Garamond" w:hAnsi="Garamond"/>
          <w:sz w:val="18"/>
          <w:szCs w:val="18"/>
        </w:rPr>
        <w:t xml:space="preserve">J. A. </w:t>
      </w:r>
      <w:proofErr w:type="spellStart"/>
      <w:r w:rsidRPr="00F017DC">
        <w:rPr>
          <w:rFonts w:ascii="Garamond" w:hAnsi="Garamond"/>
          <w:sz w:val="18"/>
          <w:szCs w:val="18"/>
        </w:rPr>
        <w:t>Zerk</w:t>
      </w:r>
      <w:proofErr w:type="spellEnd"/>
      <w:r w:rsidRPr="00F017DC">
        <w:rPr>
          <w:rFonts w:ascii="Garamond" w:hAnsi="Garamond"/>
          <w:sz w:val="18"/>
          <w:szCs w:val="18"/>
        </w:rPr>
        <w:t xml:space="preserve"> « Extraterritorial </w:t>
      </w:r>
      <w:proofErr w:type="spellStart"/>
      <w:r w:rsidRPr="00F017DC">
        <w:rPr>
          <w:rFonts w:ascii="Garamond" w:hAnsi="Garamond"/>
          <w:sz w:val="18"/>
          <w:szCs w:val="18"/>
        </w:rPr>
        <w:t>Jurisdiction</w:t>
      </w:r>
      <w:proofErr w:type="spellEnd"/>
      <w:r w:rsidRPr="00F017DC">
        <w:rPr>
          <w:rFonts w:ascii="Garamond" w:hAnsi="Garamond"/>
          <w:sz w:val="18"/>
          <w:szCs w:val="18"/>
        </w:rPr>
        <w:t xml:space="preserve">: </w:t>
      </w:r>
      <w:proofErr w:type="spellStart"/>
      <w:r w:rsidRPr="00F017DC">
        <w:rPr>
          <w:rFonts w:ascii="Garamond" w:hAnsi="Garamond"/>
          <w:sz w:val="18"/>
          <w:szCs w:val="18"/>
        </w:rPr>
        <w:t>Lessons</w:t>
      </w:r>
      <w:proofErr w:type="spellEnd"/>
      <w:r w:rsidRPr="00F017DC">
        <w:rPr>
          <w:rFonts w:ascii="Garamond" w:hAnsi="Garamond"/>
          <w:sz w:val="18"/>
          <w:szCs w:val="18"/>
        </w:rPr>
        <w:t xml:space="preserve"> </w:t>
      </w:r>
      <w:r w:rsidRPr="00503E68">
        <w:rPr>
          <w:rFonts w:ascii="Garamond" w:hAnsi="Garamond"/>
          <w:sz w:val="18"/>
          <w:szCs w:val="18"/>
        </w:rPr>
        <w:t xml:space="preserve">for the Business and Human </w:t>
      </w:r>
      <w:proofErr w:type="spellStart"/>
      <w:r w:rsidRPr="00503E68">
        <w:rPr>
          <w:rFonts w:ascii="Garamond" w:hAnsi="Garamond"/>
          <w:sz w:val="18"/>
          <w:szCs w:val="18"/>
        </w:rPr>
        <w:t>Rights</w:t>
      </w:r>
      <w:proofErr w:type="spellEnd"/>
      <w:r w:rsidRPr="00503E68">
        <w:rPr>
          <w:rFonts w:ascii="Garamond" w:hAnsi="Garamond"/>
          <w:sz w:val="18"/>
          <w:szCs w:val="18"/>
        </w:rPr>
        <w:t xml:space="preserve"> </w:t>
      </w:r>
      <w:proofErr w:type="spellStart"/>
      <w:r w:rsidRPr="00503E68">
        <w:rPr>
          <w:rFonts w:ascii="Garamond" w:hAnsi="Garamond"/>
          <w:sz w:val="18"/>
          <w:szCs w:val="18"/>
        </w:rPr>
        <w:t>Sphere</w:t>
      </w:r>
      <w:proofErr w:type="spellEnd"/>
      <w:r w:rsidRPr="00503E68">
        <w:rPr>
          <w:rFonts w:ascii="Garamond" w:hAnsi="Garamond"/>
          <w:sz w:val="18"/>
          <w:szCs w:val="18"/>
        </w:rPr>
        <w:t xml:space="preserve"> </w:t>
      </w:r>
      <w:proofErr w:type="spellStart"/>
      <w:r w:rsidRPr="00503E68">
        <w:rPr>
          <w:rFonts w:ascii="Garamond" w:hAnsi="Garamond"/>
          <w:sz w:val="18"/>
          <w:szCs w:val="18"/>
        </w:rPr>
        <w:t>from</w:t>
      </w:r>
      <w:proofErr w:type="spellEnd"/>
      <w:r w:rsidRPr="00503E68">
        <w:rPr>
          <w:rFonts w:ascii="Garamond" w:hAnsi="Garamond"/>
          <w:sz w:val="18"/>
          <w:szCs w:val="18"/>
        </w:rPr>
        <w:t xml:space="preserve"> Six </w:t>
      </w:r>
      <w:proofErr w:type="spellStart"/>
      <w:r w:rsidRPr="00503E68">
        <w:rPr>
          <w:rFonts w:ascii="Garamond" w:hAnsi="Garamond"/>
          <w:sz w:val="18"/>
          <w:szCs w:val="18"/>
        </w:rPr>
        <w:t>Regulatory</w:t>
      </w:r>
      <w:proofErr w:type="spellEnd"/>
      <w:r w:rsidRPr="00503E68">
        <w:rPr>
          <w:rFonts w:ascii="Garamond" w:hAnsi="Garamond"/>
          <w:sz w:val="18"/>
          <w:szCs w:val="18"/>
        </w:rPr>
        <w:t xml:space="preserve"> Area, A report for the Harvard </w:t>
      </w:r>
      <w:proofErr w:type="spellStart"/>
      <w:r w:rsidRPr="00503E68">
        <w:rPr>
          <w:rFonts w:ascii="Garamond" w:hAnsi="Garamond"/>
          <w:sz w:val="18"/>
          <w:szCs w:val="18"/>
        </w:rPr>
        <w:t>Corporate</w:t>
      </w:r>
      <w:proofErr w:type="spellEnd"/>
      <w:r w:rsidRPr="00503E68">
        <w:rPr>
          <w:rFonts w:ascii="Garamond" w:hAnsi="Garamond"/>
          <w:sz w:val="18"/>
          <w:szCs w:val="18"/>
        </w:rPr>
        <w:t xml:space="preserve"> Social </w:t>
      </w:r>
      <w:proofErr w:type="spellStart"/>
      <w:r w:rsidRPr="00503E68">
        <w:rPr>
          <w:rFonts w:ascii="Garamond" w:hAnsi="Garamond"/>
          <w:sz w:val="18"/>
          <w:szCs w:val="18"/>
        </w:rPr>
        <w:t>Responsibility</w:t>
      </w:r>
      <w:proofErr w:type="spellEnd"/>
      <w:r w:rsidRPr="00503E68">
        <w:rPr>
          <w:rFonts w:ascii="Garamond" w:hAnsi="Garamond"/>
          <w:sz w:val="18"/>
          <w:szCs w:val="18"/>
        </w:rPr>
        <w:t xml:space="preserve"> Initiative to help </w:t>
      </w:r>
      <w:proofErr w:type="spellStart"/>
      <w:r w:rsidRPr="00503E68">
        <w:rPr>
          <w:rFonts w:ascii="Garamond" w:hAnsi="Garamond"/>
          <w:sz w:val="18"/>
          <w:szCs w:val="18"/>
        </w:rPr>
        <w:t>inform</w:t>
      </w:r>
      <w:proofErr w:type="spellEnd"/>
      <w:r w:rsidRPr="00503E68">
        <w:rPr>
          <w:rFonts w:ascii="Garamond" w:hAnsi="Garamond"/>
          <w:sz w:val="18"/>
          <w:szCs w:val="18"/>
        </w:rPr>
        <w:t xml:space="preserve"> the mandate of the </w:t>
      </w:r>
      <w:proofErr w:type="spellStart"/>
      <w:r w:rsidRPr="00503E68">
        <w:rPr>
          <w:rFonts w:ascii="Garamond" w:hAnsi="Garamond"/>
          <w:sz w:val="18"/>
          <w:szCs w:val="18"/>
        </w:rPr>
        <w:t>UNSG’s</w:t>
      </w:r>
      <w:proofErr w:type="spellEnd"/>
      <w:r w:rsidRPr="00503E68">
        <w:rPr>
          <w:rFonts w:ascii="Garamond" w:hAnsi="Garamond"/>
          <w:sz w:val="18"/>
          <w:szCs w:val="18"/>
        </w:rPr>
        <w:t xml:space="preserve"> </w:t>
      </w:r>
      <w:proofErr w:type="spellStart"/>
      <w:r w:rsidRPr="00503E68">
        <w:rPr>
          <w:rFonts w:ascii="Garamond" w:hAnsi="Garamond"/>
          <w:sz w:val="18"/>
          <w:szCs w:val="18"/>
        </w:rPr>
        <w:t>Special</w:t>
      </w:r>
      <w:proofErr w:type="spellEnd"/>
      <w:r w:rsidRPr="00503E68">
        <w:rPr>
          <w:rFonts w:ascii="Garamond" w:hAnsi="Garamond"/>
          <w:sz w:val="18"/>
          <w:szCs w:val="18"/>
        </w:rPr>
        <w:t xml:space="preserve"> </w:t>
      </w:r>
      <w:proofErr w:type="spellStart"/>
      <w:r w:rsidRPr="00503E68">
        <w:rPr>
          <w:rFonts w:ascii="Garamond" w:hAnsi="Garamond"/>
          <w:sz w:val="18"/>
          <w:szCs w:val="18"/>
        </w:rPr>
        <w:t>Representative</w:t>
      </w:r>
      <w:proofErr w:type="spellEnd"/>
      <w:r w:rsidRPr="00503E68">
        <w:rPr>
          <w:rFonts w:ascii="Garamond" w:hAnsi="Garamond"/>
          <w:sz w:val="18"/>
          <w:szCs w:val="18"/>
        </w:rPr>
        <w:t xml:space="preserve"> on Business and Human </w:t>
      </w:r>
      <w:proofErr w:type="spellStart"/>
      <w:r w:rsidRPr="00503E68">
        <w:rPr>
          <w:rFonts w:ascii="Garamond" w:hAnsi="Garamond"/>
          <w:sz w:val="18"/>
          <w:szCs w:val="18"/>
        </w:rPr>
        <w:t>Rights</w:t>
      </w:r>
      <w:proofErr w:type="spellEnd"/>
      <w:r w:rsidRPr="00503E68">
        <w:rPr>
          <w:rFonts w:ascii="Garamond" w:hAnsi="Garamond"/>
          <w:sz w:val="18"/>
          <w:szCs w:val="18"/>
        </w:rPr>
        <w:t xml:space="preserve"> », June 2010, </w:t>
      </w:r>
      <w:proofErr w:type="spellStart"/>
      <w:r w:rsidRPr="00503E68">
        <w:rPr>
          <w:rFonts w:ascii="Garamond" w:hAnsi="Garamond"/>
          <w:sz w:val="18"/>
          <w:szCs w:val="18"/>
        </w:rPr>
        <w:t>Working</w:t>
      </w:r>
      <w:proofErr w:type="spellEnd"/>
      <w:r w:rsidRPr="00503E68">
        <w:rPr>
          <w:rFonts w:ascii="Garamond" w:hAnsi="Garamond"/>
          <w:sz w:val="18"/>
          <w:szCs w:val="18"/>
        </w:rPr>
        <w:t xml:space="preserve"> Paper n° 59</w:t>
      </w:r>
      <w:bookmarkEnd w:id="15"/>
      <w:r w:rsidRPr="00503E68">
        <w:rPr>
          <w:rFonts w:ascii="Garamond" w:hAnsi="Garamond"/>
          <w:sz w:val="18"/>
          <w:szCs w:val="18"/>
        </w:rPr>
        <w:t xml:space="preserve"> (citée par H. </w:t>
      </w:r>
      <w:proofErr w:type="spellStart"/>
      <w:r w:rsidRPr="00503E68">
        <w:rPr>
          <w:rFonts w:ascii="Garamond" w:hAnsi="Garamond"/>
          <w:sz w:val="18"/>
          <w:szCs w:val="18"/>
        </w:rPr>
        <w:t>Ascensio</w:t>
      </w:r>
      <w:proofErr w:type="spellEnd"/>
      <w:r w:rsidRPr="00503E68">
        <w:rPr>
          <w:rFonts w:ascii="Garamond" w:hAnsi="Garamond"/>
          <w:sz w:val="18"/>
          <w:szCs w:val="18"/>
        </w:rPr>
        <w:t xml:space="preserve">, </w:t>
      </w:r>
      <w:proofErr w:type="spellStart"/>
      <w:r w:rsidRPr="00503E68">
        <w:rPr>
          <w:rFonts w:ascii="Garamond" w:hAnsi="Garamond"/>
          <w:sz w:val="18"/>
          <w:szCs w:val="18"/>
        </w:rPr>
        <w:t>préc</w:t>
      </w:r>
      <w:proofErr w:type="spellEnd"/>
      <w:r w:rsidRPr="00503E68">
        <w:rPr>
          <w:rFonts w:ascii="Garamond" w:hAnsi="Garamond"/>
          <w:sz w:val="18"/>
          <w:szCs w:val="18"/>
        </w:rPr>
        <w:t>.), P. </w:t>
      </w:r>
      <w:proofErr w:type="spellStart"/>
      <w:r w:rsidRPr="00503E68">
        <w:rPr>
          <w:rFonts w:ascii="Garamond" w:hAnsi="Garamond"/>
          <w:sz w:val="18"/>
          <w:szCs w:val="18"/>
        </w:rPr>
        <w:t>Selvin</w:t>
      </w:r>
      <w:proofErr w:type="spellEnd"/>
      <w:r w:rsidRPr="00503E68">
        <w:rPr>
          <w:rFonts w:ascii="Garamond" w:hAnsi="Garamond"/>
          <w:sz w:val="18"/>
          <w:szCs w:val="18"/>
        </w:rPr>
        <w:t>, « L’application extraterritoriale des lois antitrust américaines », D. </w:t>
      </w:r>
      <w:proofErr w:type="spellStart"/>
      <w:r w:rsidRPr="00503E68">
        <w:rPr>
          <w:rFonts w:ascii="Garamond" w:hAnsi="Garamond"/>
          <w:sz w:val="18"/>
          <w:szCs w:val="18"/>
        </w:rPr>
        <w:t>aff.</w:t>
      </w:r>
      <w:proofErr w:type="spellEnd"/>
      <w:r w:rsidRPr="00503E68">
        <w:rPr>
          <w:rFonts w:ascii="Garamond" w:hAnsi="Garamond"/>
          <w:sz w:val="18"/>
          <w:szCs w:val="18"/>
        </w:rPr>
        <w:t xml:space="preserve"> 1997, p. 1314</w:t>
      </w:r>
      <w:bookmarkEnd w:id="14"/>
      <w:r w:rsidRPr="00503E68">
        <w:rPr>
          <w:rFonts w:ascii="Garamond" w:hAnsi="Garamond"/>
          <w:sz w:val="18"/>
          <w:szCs w:val="18"/>
        </w:rPr>
        <w:t xml:space="preserve">, J.-M. Jacquet, « La norme juridique extraterritoriale dans le commerce international », </w:t>
      </w:r>
      <w:r w:rsidRPr="00503E68">
        <w:rPr>
          <w:rFonts w:ascii="Garamond" w:hAnsi="Garamond"/>
          <w:i/>
          <w:sz w:val="18"/>
          <w:szCs w:val="18"/>
        </w:rPr>
        <w:t>JDI</w:t>
      </w:r>
      <w:r w:rsidRPr="00503E68">
        <w:rPr>
          <w:rFonts w:ascii="Garamond" w:hAnsi="Garamond"/>
          <w:i/>
          <w:iCs/>
          <w:sz w:val="18"/>
          <w:szCs w:val="18"/>
        </w:rPr>
        <w:t xml:space="preserve">, </w:t>
      </w:r>
      <w:r w:rsidRPr="00503E68">
        <w:rPr>
          <w:rFonts w:ascii="Garamond" w:hAnsi="Garamond"/>
          <w:sz w:val="18"/>
          <w:szCs w:val="18"/>
        </w:rPr>
        <w:t xml:space="preserve">1985.327. </w:t>
      </w:r>
      <w:proofErr w:type="spellStart"/>
      <w:r w:rsidRPr="00F017DC">
        <w:rPr>
          <w:rFonts w:ascii="Garamond" w:hAnsi="Garamond"/>
          <w:sz w:val="18"/>
          <w:szCs w:val="18"/>
        </w:rPr>
        <w:t>Adde</w:t>
      </w:r>
      <w:proofErr w:type="spellEnd"/>
      <w:r w:rsidRPr="00F017DC">
        <w:rPr>
          <w:rFonts w:ascii="Garamond" w:hAnsi="Garamond"/>
          <w:sz w:val="18"/>
          <w:szCs w:val="18"/>
        </w:rPr>
        <w:t xml:space="preserve"> : D. Mainguy, </w:t>
      </w:r>
      <w:r w:rsidRPr="00F017DC">
        <w:rPr>
          <w:rFonts w:ascii="Garamond" w:hAnsi="Garamond"/>
          <w:i/>
          <w:iCs/>
          <w:sz w:val="18"/>
          <w:szCs w:val="18"/>
        </w:rPr>
        <w:t>Droit de la guerre atypique</w:t>
      </w:r>
      <w:r w:rsidRPr="00F017DC">
        <w:rPr>
          <w:rFonts w:ascii="Garamond" w:hAnsi="Garamond"/>
          <w:sz w:val="18"/>
          <w:szCs w:val="18"/>
        </w:rPr>
        <w:t xml:space="preserve">, op. </w:t>
      </w:r>
      <w:proofErr w:type="spellStart"/>
      <w:r w:rsidRPr="00F017DC">
        <w:rPr>
          <w:rFonts w:ascii="Garamond" w:hAnsi="Garamond"/>
          <w:sz w:val="18"/>
          <w:szCs w:val="18"/>
        </w:rPr>
        <w:t>cit</w:t>
      </w:r>
      <w:proofErr w:type="spellEnd"/>
      <w:r w:rsidRPr="00F017DC">
        <w:rPr>
          <w:rFonts w:ascii="Garamond" w:hAnsi="Garamond"/>
          <w:sz w:val="18"/>
          <w:szCs w:val="18"/>
        </w:rPr>
        <w:t>., n° 103 s.</w:t>
      </w:r>
    </w:p>
  </w:footnote>
  <w:footnote w:id="43">
    <w:p w14:paraId="4D35CE62" w14:textId="230DA479" w:rsidR="00BA7892" w:rsidRPr="00F017DC" w:rsidRDefault="00BA7892"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 xml:space="preserve">V. M. Audit, « L’arbitrage international confronté à l’extraterritorialité des lois », </w:t>
      </w:r>
      <w:proofErr w:type="spellStart"/>
      <w:r w:rsidRPr="00F017DC">
        <w:rPr>
          <w:rFonts w:ascii="Garamond" w:hAnsi="Garamond"/>
          <w:sz w:val="18"/>
          <w:szCs w:val="18"/>
        </w:rPr>
        <w:t>Rev</w:t>
      </w:r>
      <w:proofErr w:type="spellEnd"/>
      <w:r w:rsidRPr="00F017DC">
        <w:rPr>
          <w:rFonts w:ascii="Garamond" w:hAnsi="Garamond"/>
          <w:sz w:val="18"/>
          <w:szCs w:val="18"/>
        </w:rPr>
        <w:t xml:space="preserve">. </w:t>
      </w:r>
      <w:proofErr w:type="spellStart"/>
      <w:r w:rsidRPr="00F017DC">
        <w:rPr>
          <w:rFonts w:ascii="Garamond" w:hAnsi="Garamond"/>
          <w:sz w:val="18"/>
          <w:szCs w:val="18"/>
        </w:rPr>
        <w:t>arb</w:t>
      </w:r>
      <w:proofErr w:type="spellEnd"/>
      <w:r w:rsidRPr="00F017DC">
        <w:rPr>
          <w:rFonts w:ascii="Garamond" w:hAnsi="Garamond"/>
          <w:sz w:val="18"/>
          <w:szCs w:val="18"/>
        </w:rPr>
        <w:t>. 2015, p. 1001.</w:t>
      </w:r>
    </w:p>
  </w:footnote>
  <w:footnote w:id="44">
    <w:p w14:paraId="096AFD7C" w14:textId="4BFA8D6D" w:rsidR="00407F60" w:rsidRPr="0092322D" w:rsidRDefault="00407F60" w:rsidP="00407F60">
      <w:pPr>
        <w:pStyle w:val="Notedebasdepage"/>
        <w:jc w:val="both"/>
        <w:rPr>
          <w:lang w:val="en-GB"/>
        </w:rPr>
      </w:pPr>
      <w:r w:rsidRPr="0092322D">
        <w:rPr>
          <w:rStyle w:val="Appelnotedebasdep"/>
        </w:rPr>
        <w:footnoteRef/>
      </w:r>
      <w:r w:rsidRPr="0092322D">
        <w:t xml:space="preserve"> </w:t>
      </w:r>
      <w:r>
        <w:tab/>
      </w:r>
      <w:r w:rsidRPr="0092322D">
        <w:t>V. </w:t>
      </w:r>
      <w:bookmarkStart w:id="16" w:name="_Hlk132828576"/>
      <w:r w:rsidRPr="0092322D">
        <w:rPr>
          <w:i/>
          <w:iCs/>
        </w:rPr>
        <w:t>Rapport sur l’extraterritorialité du droit de l’Union européenne</w:t>
      </w:r>
      <w:r w:rsidRPr="0092322D">
        <w:t>, Haut Comité juridique de la Place Financière de Paris, mai 2022</w:t>
      </w:r>
      <w:bookmarkEnd w:id="16"/>
      <w:r w:rsidRPr="0092322D">
        <w:t xml:space="preserve">. </w:t>
      </w:r>
      <w:r w:rsidRPr="0092322D">
        <w:rPr>
          <w:i/>
          <w:lang w:val="en-GB"/>
        </w:rPr>
        <w:t>Adde</w:t>
      </w:r>
      <w:r w:rsidRPr="0092322D">
        <w:rPr>
          <w:lang w:val="en-GB"/>
        </w:rPr>
        <w:t xml:space="preserve"> </w:t>
      </w:r>
      <w:bookmarkStart w:id="17" w:name="_Hlk132828553"/>
      <w:r w:rsidRPr="0092322D">
        <w:rPr>
          <w:lang w:val="en-GB"/>
        </w:rPr>
        <w:t xml:space="preserve">A. Bradford, </w:t>
      </w:r>
      <w:r w:rsidRPr="0092322D">
        <w:rPr>
          <w:i/>
          <w:iCs/>
          <w:lang w:val="en-GB"/>
        </w:rPr>
        <w:t>The Brussels effect. How the European Union rules the world</w:t>
      </w:r>
      <w:r w:rsidRPr="0092322D">
        <w:rPr>
          <w:lang w:val="en-GB"/>
        </w:rPr>
        <w:t>, Oxford University Press, 2020</w:t>
      </w:r>
      <w:bookmarkEnd w:id="17"/>
      <w:r w:rsidRPr="0092322D">
        <w:rPr>
          <w:lang w:val="en-GB"/>
        </w:rPr>
        <w:t xml:space="preserve">, </w:t>
      </w:r>
      <w:bookmarkStart w:id="18" w:name="_Hlk132828533"/>
      <w:r w:rsidRPr="0092322D">
        <w:rPr>
          <w:lang w:val="en-GB"/>
        </w:rPr>
        <w:t xml:space="preserve">J. Scott, « Extraterritoriality and Territorial Extension in EU Law », </w:t>
      </w:r>
      <w:r w:rsidRPr="0092322D">
        <w:rPr>
          <w:i/>
          <w:iCs/>
          <w:lang w:val="en-GB"/>
        </w:rPr>
        <w:t>American Journal of Comparative Law</w:t>
      </w:r>
      <w:r w:rsidRPr="0092322D">
        <w:rPr>
          <w:lang w:val="en-GB"/>
        </w:rPr>
        <w:t>, 2014, 62, p. 87.</w:t>
      </w:r>
      <w:bookmarkEnd w:id="18"/>
    </w:p>
  </w:footnote>
  <w:footnote w:id="45">
    <w:p w14:paraId="62B3CF04" w14:textId="77777777" w:rsidR="005F767C" w:rsidRPr="00F017DC" w:rsidRDefault="005F767C"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CJUE 21 </w:t>
      </w:r>
      <w:proofErr w:type="spellStart"/>
      <w:r w:rsidRPr="00F017DC">
        <w:rPr>
          <w:rFonts w:ascii="Garamond" w:hAnsi="Garamond"/>
          <w:sz w:val="18"/>
          <w:szCs w:val="18"/>
        </w:rPr>
        <w:t>déc</w:t>
      </w:r>
      <w:proofErr w:type="spellEnd"/>
      <w:r w:rsidRPr="00F017DC">
        <w:rPr>
          <w:rFonts w:ascii="Garamond" w:hAnsi="Garamond"/>
          <w:sz w:val="18"/>
          <w:szCs w:val="18"/>
        </w:rPr>
        <w:t xml:space="preserve"> 2021, </w:t>
      </w:r>
      <w:proofErr w:type="spellStart"/>
      <w:r w:rsidRPr="00F017DC">
        <w:rPr>
          <w:rFonts w:ascii="Garamond" w:hAnsi="Garamond"/>
          <w:sz w:val="18"/>
          <w:szCs w:val="18"/>
        </w:rPr>
        <w:t>aff.</w:t>
      </w:r>
      <w:proofErr w:type="spellEnd"/>
      <w:r w:rsidRPr="00F017DC">
        <w:rPr>
          <w:rFonts w:ascii="Garamond" w:hAnsi="Garamond"/>
          <w:sz w:val="18"/>
          <w:szCs w:val="18"/>
        </w:rPr>
        <w:t xml:space="preserve"> C-124/20, </w:t>
      </w:r>
      <w:r w:rsidRPr="00F017DC">
        <w:rPr>
          <w:rFonts w:ascii="Garamond" w:hAnsi="Garamond"/>
          <w:i/>
          <w:iCs/>
          <w:sz w:val="18"/>
          <w:szCs w:val="18"/>
        </w:rPr>
        <w:t xml:space="preserve">Bank </w:t>
      </w:r>
      <w:proofErr w:type="spellStart"/>
      <w:r w:rsidRPr="00F017DC">
        <w:rPr>
          <w:rFonts w:ascii="Garamond" w:hAnsi="Garamond"/>
          <w:i/>
          <w:iCs/>
          <w:sz w:val="18"/>
          <w:szCs w:val="18"/>
        </w:rPr>
        <w:t>Melli</w:t>
      </w:r>
      <w:proofErr w:type="spellEnd"/>
      <w:r w:rsidRPr="00F017DC">
        <w:rPr>
          <w:rFonts w:ascii="Garamond" w:hAnsi="Garamond"/>
          <w:i/>
          <w:iCs/>
          <w:sz w:val="18"/>
          <w:szCs w:val="18"/>
        </w:rPr>
        <w:t xml:space="preserve"> Iran</w:t>
      </w:r>
      <w:r w:rsidRPr="00F017DC">
        <w:rPr>
          <w:rFonts w:ascii="Garamond" w:hAnsi="Garamond"/>
          <w:sz w:val="18"/>
          <w:szCs w:val="18"/>
        </w:rPr>
        <w:t xml:space="preserve">, </w:t>
      </w:r>
      <w:r w:rsidRPr="00F017DC">
        <w:rPr>
          <w:rFonts w:ascii="Garamond" w:hAnsi="Garamond"/>
          <w:i/>
          <w:sz w:val="18"/>
          <w:szCs w:val="18"/>
        </w:rPr>
        <w:t>D.</w:t>
      </w:r>
      <w:r w:rsidRPr="00F017DC">
        <w:rPr>
          <w:rFonts w:ascii="Garamond" w:hAnsi="Garamond"/>
          <w:sz w:val="18"/>
          <w:szCs w:val="18"/>
        </w:rPr>
        <w:t xml:space="preserve"> 2022, p. 1076, note M. Audit et M. Fekl, </w:t>
      </w:r>
      <w:r w:rsidRPr="00F017DC">
        <w:rPr>
          <w:rFonts w:ascii="Garamond" w:hAnsi="Garamond"/>
          <w:i/>
          <w:sz w:val="18"/>
          <w:szCs w:val="18"/>
        </w:rPr>
        <w:t>JCP</w:t>
      </w:r>
      <w:r w:rsidRPr="00F017DC">
        <w:rPr>
          <w:rFonts w:ascii="Garamond" w:hAnsi="Garamond"/>
          <w:sz w:val="18"/>
          <w:szCs w:val="18"/>
        </w:rPr>
        <w:t> E 2022. 1165, note D. </w:t>
      </w:r>
      <w:proofErr w:type="spellStart"/>
      <w:r w:rsidRPr="00F017DC">
        <w:rPr>
          <w:rFonts w:ascii="Garamond" w:hAnsi="Garamond"/>
          <w:sz w:val="18"/>
          <w:szCs w:val="18"/>
        </w:rPr>
        <w:t>Segoin</w:t>
      </w:r>
      <w:proofErr w:type="spellEnd"/>
      <w:r w:rsidRPr="00F017DC">
        <w:rPr>
          <w:rFonts w:ascii="Garamond" w:hAnsi="Garamond"/>
          <w:sz w:val="18"/>
          <w:szCs w:val="18"/>
        </w:rPr>
        <w:t xml:space="preserve">, </w:t>
      </w:r>
      <w:r w:rsidRPr="00F017DC">
        <w:rPr>
          <w:rFonts w:ascii="Garamond" w:hAnsi="Garamond"/>
          <w:i/>
          <w:sz w:val="18"/>
          <w:szCs w:val="18"/>
        </w:rPr>
        <w:t>RTD civ.</w:t>
      </w:r>
      <w:r w:rsidRPr="00F017DC">
        <w:rPr>
          <w:rFonts w:ascii="Garamond" w:hAnsi="Garamond"/>
          <w:sz w:val="18"/>
          <w:szCs w:val="18"/>
        </w:rPr>
        <w:t xml:space="preserve"> 2022, p. 357, obs. L. Usinier, RTD </w:t>
      </w:r>
      <w:proofErr w:type="spellStart"/>
      <w:r w:rsidRPr="00F017DC">
        <w:rPr>
          <w:rFonts w:ascii="Garamond" w:hAnsi="Garamond"/>
          <w:sz w:val="18"/>
          <w:szCs w:val="18"/>
        </w:rPr>
        <w:t>eur</w:t>
      </w:r>
      <w:proofErr w:type="spellEnd"/>
      <w:r w:rsidRPr="00F017DC">
        <w:rPr>
          <w:rFonts w:ascii="Garamond" w:hAnsi="Garamond"/>
          <w:sz w:val="18"/>
          <w:szCs w:val="18"/>
        </w:rPr>
        <w:t>. 2022, p. 311, obs. E. Pataud, p. 537, obs. A. Hervé, p. 679, obs. M. </w:t>
      </w:r>
      <w:proofErr w:type="spellStart"/>
      <w:r w:rsidRPr="00F017DC">
        <w:rPr>
          <w:rFonts w:ascii="Garamond" w:hAnsi="Garamond"/>
          <w:sz w:val="18"/>
          <w:szCs w:val="18"/>
        </w:rPr>
        <w:t>Eeckhould</w:t>
      </w:r>
      <w:proofErr w:type="spellEnd"/>
      <w:r w:rsidRPr="00F017DC">
        <w:rPr>
          <w:rFonts w:ascii="Garamond" w:hAnsi="Garamond"/>
          <w:sz w:val="18"/>
          <w:szCs w:val="18"/>
        </w:rPr>
        <w:t xml:space="preserve">, RDBF 2022. </w:t>
      </w:r>
      <w:proofErr w:type="spellStart"/>
      <w:r w:rsidRPr="00F017DC">
        <w:rPr>
          <w:rFonts w:ascii="Garamond" w:hAnsi="Garamond"/>
          <w:sz w:val="18"/>
          <w:szCs w:val="18"/>
        </w:rPr>
        <w:t>Comm</w:t>
      </w:r>
      <w:proofErr w:type="spellEnd"/>
      <w:r w:rsidRPr="00F017DC">
        <w:rPr>
          <w:rFonts w:ascii="Garamond" w:hAnsi="Garamond"/>
          <w:sz w:val="18"/>
          <w:szCs w:val="18"/>
        </w:rPr>
        <w:t xml:space="preserve">. 64, note A. </w:t>
      </w:r>
      <w:proofErr w:type="spellStart"/>
      <w:r w:rsidRPr="00F017DC">
        <w:rPr>
          <w:rFonts w:ascii="Garamond" w:hAnsi="Garamond"/>
          <w:sz w:val="18"/>
          <w:szCs w:val="18"/>
        </w:rPr>
        <w:t>Gourio</w:t>
      </w:r>
      <w:proofErr w:type="spellEnd"/>
      <w:r w:rsidRPr="00F017DC">
        <w:rPr>
          <w:rFonts w:ascii="Garamond" w:hAnsi="Garamond"/>
          <w:sz w:val="18"/>
          <w:szCs w:val="18"/>
        </w:rPr>
        <w:t xml:space="preserve"> et M. </w:t>
      </w:r>
      <w:proofErr w:type="spellStart"/>
      <w:r w:rsidRPr="00F017DC">
        <w:rPr>
          <w:rFonts w:ascii="Garamond" w:hAnsi="Garamond"/>
          <w:sz w:val="18"/>
          <w:szCs w:val="18"/>
        </w:rPr>
        <w:t>Gillouard</w:t>
      </w:r>
      <w:proofErr w:type="spellEnd"/>
      <w:r w:rsidRPr="00F017DC">
        <w:rPr>
          <w:rFonts w:ascii="Garamond" w:hAnsi="Garamond"/>
          <w:sz w:val="18"/>
          <w:szCs w:val="18"/>
        </w:rPr>
        <w:t xml:space="preserve">, Europe 2022, </w:t>
      </w:r>
      <w:proofErr w:type="spellStart"/>
      <w:r w:rsidRPr="00F017DC">
        <w:rPr>
          <w:rFonts w:ascii="Garamond" w:hAnsi="Garamond"/>
          <w:sz w:val="18"/>
          <w:szCs w:val="18"/>
        </w:rPr>
        <w:t>comm</w:t>
      </w:r>
      <w:proofErr w:type="spellEnd"/>
      <w:r w:rsidRPr="00F017DC">
        <w:rPr>
          <w:rFonts w:ascii="Garamond" w:hAnsi="Garamond"/>
          <w:sz w:val="18"/>
          <w:szCs w:val="18"/>
        </w:rPr>
        <w:t xml:space="preserve">. 61, obs. D. Bouvier. V. égal. les </w:t>
      </w:r>
      <w:proofErr w:type="spellStart"/>
      <w:r w:rsidRPr="00F017DC">
        <w:rPr>
          <w:rFonts w:ascii="Garamond" w:hAnsi="Garamond"/>
          <w:sz w:val="18"/>
          <w:szCs w:val="18"/>
        </w:rPr>
        <w:t>concl</w:t>
      </w:r>
      <w:proofErr w:type="spellEnd"/>
      <w:r w:rsidRPr="00F017DC">
        <w:rPr>
          <w:rFonts w:ascii="Garamond" w:hAnsi="Garamond"/>
          <w:sz w:val="18"/>
          <w:szCs w:val="18"/>
        </w:rPr>
        <w:t xml:space="preserve">. de M. l’av. </w:t>
      </w:r>
      <w:proofErr w:type="spellStart"/>
      <w:r w:rsidRPr="00F017DC">
        <w:rPr>
          <w:rFonts w:ascii="Garamond" w:hAnsi="Garamond"/>
          <w:sz w:val="18"/>
          <w:szCs w:val="18"/>
        </w:rPr>
        <w:t>gén</w:t>
      </w:r>
      <w:proofErr w:type="spellEnd"/>
      <w:r w:rsidRPr="00F017DC">
        <w:rPr>
          <w:rFonts w:ascii="Garamond" w:hAnsi="Garamond"/>
          <w:sz w:val="18"/>
          <w:szCs w:val="18"/>
        </w:rPr>
        <w:t>. G. Hogan présentées le 12 mai 2021. Sur ces conclusions, J.-G. de Tocqueville, N. Brice et D. </w:t>
      </w:r>
      <w:proofErr w:type="spellStart"/>
      <w:r w:rsidRPr="00F017DC">
        <w:rPr>
          <w:rFonts w:ascii="Garamond" w:hAnsi="Garamond"/>
          <w:sz w:val="18"/>
          <w:szCs w:val="18"/>
        </w:rPr>
        <w:t>Aumain</w:t>
      </w:r>
      <w:proofErr w:type="spellEnd"/>
      <w:r w:rsidRPr="00F017DC">
        <w:rPr>
          <w:rFonts w:ascii="Garamond" w:hAnsi="Garamond"/>
          <w:sz w:val="18"/>
          <w:szCs w:val="18"/>
        </w:rPr>
        <w:t xml:space="preserve">, </w:t>
      </w:r>
      <w:r w:rsidRPr="00F017DC">
        <w:rPr>
          <w:rFonts w:ascii="Garamond" w:hAnsi="Garamond"/>
          <w:i/>
          <w:sz w:val="18"/>
          <w:szCs w:val="18"/>
        </w:rPr>
        <w:t>JCP</w:t>
      </w:r>
      <w:r w:rsidRPr="00F017DC">
        <w:rPr>
          <w:rFonts w:ascii="Garamond" w:hAnsi="Garamond"/>
          <w:sz w:val="18"/>
          <w:szCs w:val="18"/>
        </w:rPr>
        <w:t xml:space="preserve"> 2021. 1250 ; A. Amir-</w:t>
      </w:r>
      <w:proofErr w:type="spellStart"/>
      <w:r w:rsidRPr="00F017DC">
        <w:rPr>
          <w:rFonts w:ascii="Garamond" w:hAnsi="Garamond"/>
          <w:sz w:val="18"/>
          <w:szCs w:val="18"/>
        </w:rPr>
        <w:t>Aslani</w:t>
      </w:r>
      <w:proofErr w:type="spellEnd"/>
      <w:r w:rsidRPr="00F017DC">
        <w:rPr>
          <w:rFonts w:ascii="Garamond" w:hAnsi="Garamond"/>
          <w:sz w:val="18"/>
          <w:szCs w:val="18"/>
        </w:rPr>
        <w:t xml:space="preserve"> et Q. Coppens, </w:t>
      </w:r>
      <w:proofErr w:type="spellStart"/>
      <w:r w:rsidRPr="00F017DC">
        <w:rPr>
          <w:rFonts w:ascii="Garamond" w:hAnsi="Garamond"/>
          <w:sz w:val="18"/>
          <w:szCs w:val="18"/>
        </w:rPr>
        <w:t>Rev</w:t>
      </w:r>
      <w:proofErr w:type="spellEnd"/>
      <w:r w:rsidRPr="00F017DC">
        <w:rPr>
          <w:rFonts w:ascii="Garamond" w:hAnsi="Garamond"/>
          <w:sz w:val="18"/>
          <w:szCs w:val="18"/>
        </w:rPr>
        <w:t xml:space="preserve">. internat. </w:t>
      </w:r>
      <w:proofErr w:type="spellStart"/>
      <w:r w:rsidRPr="00F017DC">
        <w:rPr>
          <w:rFonts w:ascii="Garamond" w:hAnsi="Garamond"/>
          <w:sz w:val="18"/>
          <w:szCs w:val="18"/>
        </w:rPr>
        <w:t>compl</w:t>
      </w:r>
      <w:proofErr w:type="spellEnd"/>
      <w:r w:rsidRPr="00F017DC">
        <w:rPr>
          <w:rFonts w:ascii="Garamond" w:hAnsi="Garamond"/>
          <w:sz w:val="18"/>
          <w:szCs w:val="18"/>
        </w:rPr>
        <w:t xml:space="preserve">. </w:t>
      </w:r>
      <w:proofErr w:type="spellStart"/>
      <w:r w:rsidRPr="00F017DC">
        <w:rPr>
          <w:rFonts w:ascii="Garamond" w:hAnsi="Garamond"/>
          <w:sz w:val="18"/>
          <w:szCs w:val="18"/>
        </w:rPr>
        <w:t>éth</w:t>
      </w:r>
      <w:proofErr w:type="spellEnd"/>
      <w:r w:rsidRPr="00F017DC">
        <w:rPr>
          <w:rFonts w:ascii="Garamond" w:hAnsi="Garamond"/>
          <w:sz w:val="18"/>
          <w:szCs w:val="18"/>
        </w:rPr>
        <w:t xml:space="preserve">. </w:t>
      </w:r>
      <w:proofErr w:type="spellStart"/>
      <w:r w:rsidRPr="00F017DC">
        <w:rPr>
          <w:rFonts w:ascii="Garamond" w:hAnsi="Garamond"/>
          <w:sz w:val="18"/>
          <w:szCs w:val="18"/>
        </w:rPr>
        <w:t>aff.</w:t>
      </w:r>
      <w:proofErr w:type="spellEnd"/>
      <w:r w:rsidRPr="00F017DC">
        <w:rPr>
          <w:rFonts w:ascii="Garamond" w:hAnsi="Garamond"/>
          <w:sz w:val="18"/>
          <w:szCs w:val="18"/>
        </w:rPr>
        <w:t xml:space="preserve"> 2021, n° 4, p. 20.</w:t>
      </w:r>
    </w:p>
  </w:footnote>
  <w:footnote w:id="46">
    <w:p w14:paraId="7CB3C758" w14:textId="3E75CDD6" w:rsidR="00B22980" w:rsidRPr="00F017DC" w:rsidRDefault="00B22980" w:rsidP="00F56AD9">
      <w:pPr>
        <w:pStyle w:val="Notedebasdepage"/>
        <w:jc w:val="both"/>
        <w:rPr>
          <w:rFonts w:ascii="Garamond" w:hAnsi="Garamond"/>
          <w:i/>
          <w:iCs/>
          <w:sz w:val="18"/>
          <w:szCs w:val="18"/>
        </w:rPr>
      </w:pPr>
      <w:r w:rsidRPr="00F017DC">
        <w:rPr>
          <w:rFonts w:ascii="Garamond" w:hAnsi="Garamond"/>
          <w:sz w:val="18"/>
          <w:szCs w:val="18"/>
          <w:vertAlign w:val="superscript"/>
        </w:rPr>
        <w:footnoteRef/>
      </w:r>
      <w:r w:rsidRPr="00F017DC">
        <w:rPr>
          <w:rFonts w:ascii="Garamond" w:hAnsi="Garamond"/>
          <w:sz w:val="18"/>
          <w:szCs w:val="18"/>
        </w:rPr>
        <w:t> </w:t>
      </w:r>
      <w:r w:rsidRPr="00F017DC">
        <w:rPr>
          <w:rFonts w:ascii="Garamond" w:hAnsi="Garamond"/>
          <w:sz w:val="18"/>
          <w:szCs w:val="18"/>
        </w:rPr>
        <w:tab/>
        <w:t xml:space="preserve">Cf. J.-B. Racine, « Les normes porteuses d’ordre public dans l’arbitrage commercial international », </w:t>
      </w:r>
      <w:r w:rsidRPr="00F017DC">
        <w:rPr>
          <w:rFonts w:ascii="Garamond" w:hAnsi="Garamond"/>
          <w:i/>
          <w:iCs/>
          <w:sz w:val="18"/>
          <w:szCs w:val="18"/>
        </w:rPr>
        <w:t>in</w:t>
      </w:r>
      <w:r w:rsidRPr="00F017DC">
        <w:rPr>
          <w:rFonts w:ascii="Garamond" w:hAnsi="Garamond"/>
          <w:sz w:val="18"/>
          <w:szCs w:val="18"/>
        </w:rPr>
        <w:t xml:space="preserve"> E. </w:t>
      </w:r>
      <w:proofErr w:type="spellStart"/>
      <w:r w:rsidRPr="00F017DC">
        <w:rPr>
          <w:rFonts w:ascii="Garamond" w:hAnsi="Garamond"/>
          <w:sz w:val="18"/>
          <w:szCs w:val="18"/>
        </w:rPr>
        <w:t>Loquin</w:t>
      </w:r>
      <w:proofErr w:type="spellEnd"/>
      <w:r w:rsidRPr="00F017DC">
        <w:rPr>
          <w:rFonts w:ascii="Garamond" w:hAnsi="Garamond"/>
          <w:sz w:val="18"/>
          <w:szCs w:val="18"/>
        </w:rPr>
        <w:t xml:space="preserve"> et S. Manciaux (</w:t>
      </w:r>
      <w:proofErr w:type="spellStart"/>
      <w:r w:rsidRPr="00F017DC">
        <w:rPr>
          <w:rFonts w:ascii="Garamond" w:hAnsi="Garamond"/>
          <w:sz w:val="18"/>
          <w:szCs w:val="18"/>
        </w:rPr>
        <w:t>dir</w:t>
      </w:r>
      <w:proofErr w:type="spellEnd"/>
      <w:r w:rsidRPr="00F017DC">
        <w:rPr>
          <w:rFonts w:ascii="Garamond" w:hAnsi="Garamond"/>
          <w:sz w:val="18"/>
          <w:szCs w:val="18"/>
        </w:rPr>
        <w:t>.)</w:t>
      </w:r>
      <w:r w:rsidRPr="00F017DC">
        <w:rPr>
          <w:rFonts w:ascii="Garamond" w:hAnsi="Garamond"/>
          <w:i/>
          <w:iCs/>
          <w:sz w:val="18"/>
          <w:szCs w:val="18"/>
        </w:rPr>
        <w:t xml:space="preserve"> L’ordre public et l’arbitrage</w:t>
      </w:r>
      <w:r w:rsidRPr="00F017DC">
        <w:rPr>
          <w:rFonts w:ascii="Garamond" w:hAnsi="Garamond"/>
          <w:sz w:val="18"/>
          <w:szCs w:val="18"/>
        </w:rPr>
        <w:t xml:space="preserve">, LexisNexis, 2014, p. 7 ; J.-B. Racine, « L’office du juge du contrôle de la sentence », </w:t>
      </w:r>
      <w:proofErr w:type="spellStart"/>
      <w:r w:rsidRPr="00F017DC">
        <w:rPr>
          <w:rStyle w:val="srvrLnk0"/>
          <w:rFonts w:ascii="Garamond" w:hAnsi="Garamond"/>
          <w:sz w:val="18"/>
          <w:szCs w:val="18"/>
        </w:rPr>
        <w:t>Rev</w:t>
      </w:r>
      <w:proofErr w:type="spellEnd"/>
      <w:r w:rsidRPr="00F017DC">
        <w:rPr>
          <w:rStyle w:val="srvrLnk0"/>
          <w:rFonts w:ascii="Garamond" w:hAnsi="Garamond"/>
          <w:sz w:val="18"/>
          <w:szCs w:val="18"/>
        </w:rPr>
        <w:t xml:space="preserve">. </w:t>
      </w:r>
      <w:proofErr w:type="spellStart"/>
      <w:r w:rsidRPr="00F017DC">
        <w:rPr>
          <w:rStyle w:val="srvrLnk0"/>
          <w:rFonts w:ascii="Garamond" w:hAnsi="Garamond"/>
          <w:sz w:val="18"/>
          <w:szCs w:val="18"/>
        </w:rPr>
        <w:t>arb</w:t>
      </w:r>
      <w:proofErr w:type="spellEnd"/>
      <w:r w:rsidRPr="00F017DC">
        <w:rPr>
          <w:rStyle w:val="srvrLnk0"/>
          <w:rFonts w:ascii="Garamond" w:hAnsi="Garamond"/>
          <w:sz w:val="18"/>
          <w:szCs w:val="18"/>
        </w:rPr>
        <w:t>. 2019, p. 209.</w:t>
      </w:r>
    </w:p>
  </w:footnote>
  <w:footnote w:id="47">
    <w:p w14:paraId="7F33FF1A" w14:textId="13EF956D" w:rsidR="00B22980" w:rsidRPr="00F017DC" w:rsidRDefault="00B22980"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Cf. pour l’élargissement à des situations de corruption d’agent public étranger (Cass. civ. 1ère, 7 sept. 2022, n° 20-22.118,</w:t>
      </w:r>
      <w:r w:rsidRPr="00F017DC">
        <w:rPr>
          <w:rFonts w:ascii="Garamond" w:hAnsi="Garamond"/>
          <w:i/>
          <w:iCs/>
          <w:sz w:val="18"/>
          <w:szCs w:val="18"/>
        </w:rPr>
        <w:t xml:space="preserve"> </w:t>
      </w:r>
      <w:proofErr w:type="spellStart"/>
      <w:r w:rsidRPr="00F017DC">
        <w:rPr>
          <w:rFonts w:ascii="Garamond" w:hAnsi="Garamond"/>
          <w:i/>
          <w:iCs/>
          <w:sz w:val="18"/>
          <w:szCs w:val="18"/>
        </w:rPr>
        <w:t>Sorelec</w:t>
      </w:r>
      <w:proofErr w:type="spellEnd"/>
      <w:r w:rsidRPr="00F017DC">
        <w:rPr>
          <w:rFonts w:ascii="Garamond" w:hAnsi="Garamond"/>
          <w:i/>
          <w:iCs/>
          <w:sz w:val="18"/>
          <w:szCs w:val="18"/>
        </w:rPr>
        <w:t xml:space="preserve">, </w:t>
      </w:r>
      <w:proofErr w:type="spellStart"/>
      <w:r w:rsidRPr="00F017DC">
        <w:rPr>
          <w:rFonts w:ascii="Garamond" w:hAnsi="Garamond"/>
          <w:i/>
          <w:iCs/>
          <w:sz w:val="18"/>
          <w:szCs w:val="18"/>
        </w:rPr>
        <w:t>préc</w:t>
      </w:r>
      <w:proofErr w:type="spellEnd"/>
      <w:r w:rsidRPr="00F017DC">
        <w:rPr>
          <w:rFonts w:ascii="Garamond" w:hAnsi="Garamond"/>
          <w:i/>
          <w:iCs/>
          <w:sz w:val="18"/>
          <w:szCs w:val="18"/>
        </w:rPr>
        <w:t>. ;</w:t>
      </w:r>
      <w:r w:rsidRPr="00F017DC">
        <w:rPr>
          <w:rFonts w:ascii="Garamond" w:hAnsi="Garamond"/>
          <w:sz w:val="18"/>
          <w:szCs w:val="18"/>
        </w:rPr>
        <w:t xml:space="preserve"> Paris, 21 févr. 2017, n° 15/01650, </w:t>
      </w:r>
      <w:proofErr w:type="spellStart"/>
      <w:r w:rsidRPr="00F017DC">
        <w:rPr>
          <w:rFonts w:ascii="Garamond" w:hAnsi="Garamond"/>
          <w:i/>
          <w:iCs/>
          <w:sz w:val="18"/>
          <w:szCs w:val="18"/>
        </w:rPr>
        <w:t>Rép</w:t>
      </w:r>
      <w:proofErr w:type="spellEnd"/>
      <w:r w:rsidRPr="00F017DC">
        <w:rPr>
          <w:rFonts w:ascii="Garamond" w:hAnsi="Garamond"/>
          <w:i/>
          <w:iCs/>
          <w:sz w:val="18"/>
          <w:szCs w:val="18"/>
        </w:rPr>
        <w:t>. Kirghizistan</w:t>
      </w:r>
      <w:r w:rsidRPr="00F017DC">
        <w:rPr>
          <w:rFonts w:ascii="Garamond" w:hAnsi="Garamond"/>
          <w:sz w:val="18"/>
          <w:szCs w:val="18"/>
        </w:rPr>
        <w:t xml:space="preserve"> c/ </w:t>
      </w:r>
      <w:proofErr w:type="spellStart"/>
      <w:r w:rsidRPr="00F017DC">
        <w:rPr>
          <w:rFonts w:ascii="Garamond" w:hAnsi="Garamond"/>
          <w:i/>
          <w:iCs/>
          <w:sz w:val="18"/>
          <w:szCs w:val="18"/>
        </w:rPr>
        <w:t>Belokon</w:t>
      </w:r>
      <w:proofErr w:type="spellEnd"/>
      <w:r w:rsidRPr="00F017DC">
        <w:rPr>
          <w:rFonts w:ascii="Garamond" w:hAnsi="Garamond"/>
          <w:i/>
          <w:iCs/>
          <w:sz w:val="18"/>
          <w:szCs w:val="18"/>
        </w:rPr>
        <w:t xml:space="preserve">, </w:t>
      </w:r>
      <w:r w:rsidRPr="00F017DC">
        <w:rPr>
          <w:rFonts w:ascii="Garamond" w:hAnsi="Garamond"/>
          <w:sz w:val="18"/>
          <w:szCs w:val="18"/>
        </w:rPr>
        <w:t xml:space="preserve">D. 2017, 2054, obs. S. Bollée, p. 2559, obs. Th. Clay, JDI 2023, Comm.22, note C. </w:t>
      </w:r>
      <w:proofErr w:type="spellStart"/>
      <w:r w:rsidRPr="00F017DC">
        <w:rPr>
          <w:rFonts w:ascii="Garamond" w:hAnsi="Garamond"/>
          <w:sz w:val="18"/>
          <w:szCs w:val="18"/>
        </w:rPr>
        <w:t>Debourg</w:t>
      </w:r>
      <w:proofErr w:type="spellEnd"/>
      <w:r w:rsidRPr="00F017DC">
        <w:rPr>
          <w:rFonts w:ascii="Garamond" w:hAnsi="Garamond"/>
          <w:sz w:val="18"/>
          <w:szCs w:val="18"/>
        </w:rPr>
        <w:t xml:space="preserve"> ; </w:t>
      </w:r>
      <w:proofErr w:type="spellStart"/>
      <w:r w:rsidRPr="00F017DC">
        <w:rPr>
          <w:rFonts w:ascii="Garamond" w:hAnsi="Garamond"/>
          <w:sz w:val="18"/>
          <w:szCs w:val="18"/>
        </w:rPr>
        <w:t>Rev</w:t>
      </w:r>
      <w:proofErr w:type="spellEnd"/>
      <w:r w:rsidRPr="00F017DC">
        <w:rPr>
          <w:rFonts w:ascii="Garamond" w:hAnsi="Garamond"/>
          <w:sz w:val="18"/>
          <w:szCs w:val="18"/>
        </w:rPr>
        <w:t>. </w:t>
      </w:r>
      <w:proofErr w:type="spellStart"/>
      <w:r w:rsidRPr="00F017DC">
        <w:rPr>
          <w:rFonts w:ascii="Garamond" w:hAnsi="Garamond"/>
          <w:sz w:val="18"/>
          <w:szCs w:val="18"/>
        </w:rPr>
        <w:t>arb</w:t>
      </w:r>
      <w:proofErr w:type="spellEnd"/>
      <w:r w:rsidRPr="00F017DC">
        <w:rPr>
          <w:rFonts w:ascii="Garamond" w:hAnsi="Garamond"/>
          <w:sz w:val="18"/>
          <w:szCs w:val="18"/>
        </w:rPr>
        <w:t>. 2017, 915, note S. Bollée et M. Audit ; RDC 2017, 304, obs. X. </w:t>
      </w:r>
      <w:proofErr w:type="spellStart"/>
      <w:r w:rsidRPr="00F017DC">
        <w:rPr>
          <w:rFonts w:ascii="Garamond" w:hAnsi="Garamond"/>
          <w:sz w:val="18"/>
          <w:szCs w:val="18"/>
        </w:rPr>
        <w:t>Boucobza</w:t>
      </w:r>
      <w:proofErr w:type="spellEnd"/>
      <w:r w:rsidRPr="00F017DC">
        <w:rPr>
          <w:rFonts w:ascii="Garamond" w:hAnsi="Garamond"/>
          <w:sz w:val="18"/>
          <w:szCs w:val="18"/>
        </w:rPr>
        <w:t xml:space="preserve"> et Y.-M. </w:t>
      </w:r>
      <w:proofErr w:type="spellStart"/>
      <w:r w:rsidRPr="00F017DC">
        <w:rPr>
          <w:rFonts w:ascii="Garamond" w:hAnsi="Garamond"/>
          <w:sz w:val="18"/>
          <w:szCs w:val="18"/>
        </w:rPr>
        <w:t>Serinet</w:t>
      </w:r>
      <w:proofErr w:type="spellEnd"/>
      <w:r w:rsidRPr="00F017DC">
        <w:rPr>
          <w:rFonts w:ascii="Garamond" w:hAnsi="Garamond"/>
          <w:sz w:val="18"/>
          <w:szCs w:val="18"/>
        </w:rPr>
        <w:t> ; RTD com. 2019, p. 42, obs. E. </w:t>
      </w:r>
      <w:proofErr w:type="spellStart"/>
      <w:r w:rsidRPr="00F017DC">
        <w:rPr>
          <w:rFonts w:ascii="Garamond" w:hAnsi="Garamond"/>
          <w:sz w:val="18"/>
          <w:szCs w:val="18"/>
        </w:rPr>
        <w:t>Loquin</w:t>
      </w:r>
      <w:proofErr w:type="spellEnd"/>
      <w:r w:rsidRPr="00F017DC">
        <w:rPr>
          <w:rFonts w:ascii="Garamond" w:hAnsi="Garamond"/>
          <w:sz w:val="18"/>
          <w:szCs w:val="18"/>
        </w:rPr>
        <w:t>) ou de blanchiment (</w:t>
      </w:r>
      <w:r w:rsidRPr="00F017DC">
        <w:rPr>
          <w:rStyle w:val="link"/>
          <w:rFonts w:ascii="Garamond" w:eastAsia="Times New Roman" w:hAnsi="Garamond"/>
          <w:sz w:val="18"/>
          <w:szCs w:val="18"/>
        </w:rPr>
        <w:t xml:space="preserve">Cass. civ.1ère, 23 mars 2022, n° 17-17.981, </w:t>
      </w:r>
      <w:proofErr w:type="spellStart"/>
      <w:r w:rsidRPr="00F017DC">
        <w:rPr>
          <w:rStyle w:val="link"/>
          <w:rFonts w:ascii="Garamond" w:eastAsia="Times New Roman" w:hAnsi="Garamond"/>
          <w:i/>
          <w:iCs/>
          <w:sz w:val="18"/>
          <w:szCs w:val="18"/>
        </w:rPr>
        <w:t>Belokon</w:t>
      </w:r>
      <w:proofErr w:type="spellEnd"/>
      <w:r w:rsidRPr="00F017DC">
        <w:rPr>
          <w:rFonts w:ascii="Garamond" w:eastAsia="Times New Roman" w:hAnsi="Garamond"/>
          <w:sz w:val="18"/>
          <w:szCs w:val="18"/>
        </w:rPr>
        <w:t xml:space="preserve">, </w:t>
      </w:r>
      <w:r w:rsidRPr="00F017DC">
        <w:rPr>
          <w:rStyle w:val="srvrlnk"/>
          <w:rFonts w:ascii="Garamond" w:eastAsia="Times New Roman" w:hAnsi="Garamond"/>
          <w:sz w:val="18"/>
          <w:szCs w:val="18"/>
        </w:rPr>
        <w:t xml:space="preserve">JCP G 2022, </w:t>
      </w:r>
      <w:proofErr w:type="spellStart"/>
      <w:r w:rsidRPr="00F017DC">
        <w:rPr>
          <w:rStyle w:val="srvrlnk"/>
          <w:rFonts w:ascii="Garamond" w:eastAsia="Times New Roman" w:hAnsi="Garamond"/>
          <w:sz w:val="18"/>
          <w:szCs w:val="18"/>
        </w:rPr>
        <w:t>act</w:t>
      </w:r>
      <w:proofErr w:type="spellEnd"/>
      <w:r w:rsidRPr="00F017DC">
        <w:rPr>
          <w:rStyle w:val="srvrlnk"/>
          <w:rFonts w:ascii="Garamond" w:eastAsia="Times New Roman" w:hAnsi="Garamond"/>
          <w:sz w:val="18"/>
          <w:szCs w:val="18"/>
        </w:rPr>
        <w:t>. 676</w:t>
      </w:r>
      <w:r w:rsidRPr="00F017DC">
        <w:rPr>
          <w:rFonts w:ascii="Garamond" w:eastAsia="Times New Roman" w:hAnsi="Garamond"/>
          <w:sz w:val="18"/>
          <w:szCs w:val="18"/>
        </w:rPr>
        <w:t xml:space="preserve">, note B. Remy ; </w:t>
      </w:r>
      <w:r w:rsidRPr="00F017DC">
        <w:rPr>
          <w:rStyle w:val="srvrlnk"/>
          <w:rFonts w:ascii="Garamond" w:eastAsia="Times New Roman" w:hAnsi="Garamond"/>
          <w:sz w:val="18"/>
          <w:szCs w:val="18"/>
        </w:rPr>
        <w:t xml:space="preserve">JCP G 2022, </w:t>
      </w:r>
      <w:proofErr w:type="spellStart"/>
      <w:r w:rsidRPr="00F017DC">
        <w:rPr>
          <w:rStyle w:val="srvrlnk"/>
          <w:rFonts w:ascii="Garamond" w:eastAsia="Times New Roman" w:hAnsi="Garamond"/>
          <w:sz w:val="18"/>
          <w:szCs w:val="18"/>
        </w:rPr>
        <w:t>doctr</w:t>
      </w:r>
      <w:proofErr w:type="spellEnd"/>
      <w:r w:rsidRPr="00F017DC">
        <w:rPr>
          <w:rStyle w:val="srvrlnk"/>
          <w:rFonts w:ascii="Garamond" w:eastAsia="Times New Roman" w:hAnsi="Garamond"/>
          <w:sz w:val="18"/>
          <w:szCs w:val="18"/>
        </w:rPr>
        <w:t>. 724, n° 7</w:t>
      </w:r>
      <w:r w:rsidRPr="00F017DC">
        <w:rPr>
          <w:rFonts w:ascii="Garamond" w:eastAsia="Times New Roman" w:hAnsi="Garamond"/>
          <w:sz w:val="18"/>
          <w:szCs w:val="18"/>
        </w:rPr>
        <w:t>, obs. Ch. </w:t>
      </w:r>
      <w:proofErr w:type="spellStart"/>
      <w:r w:rsidRPr="00F017DC">
        <w:rPr>
          <w:rFonts w:ascii="Garamond" w:eastAsia="Times New Roman" w:hAnsi="Garamond"/>
          <w:sz w:val="18"/>
          <w:szCs w:val="18"/>
        </w:rPr>
        <w:t>Seraglini</w:t>
      </w:r>
      <w:proofErr w:type="spellEnd"/>
      <w:r w:rsidRPr="00F017DC">
        <w:rPr>
          <w:rFonts w:ascii="Garamond" w:eastAsia="Times New Roman" w:hAnsi="Garamond"/>
          <w:sz w:val="18"/>
          <w:szCs w:val="18"/>
        </w:rPr>
        <w:t> ; Dalloz actualité 10 mai 2022, note V. </w:t>
      </w:r>
      <w:proofErr w:type="spellStart"/>
      <w:r w:rsidRPr="00F017DC">
        <w:rPr>
          <w:rFonts w:ascii="Garamond" w:eastAsia="Times New Roman" w:hAnsi="Garamond"/>
          <w:sz w:val="18"/>
          <w:szCs w:val="18"/>
        </w:rPr>
        <w:t>Chantebout</w:t>
      </w:r>
      <w:proofErr w:type="spellEnd"/>
      <w:r w:rsidRPr="00F017DC">
        <w:rPr>
          <w:rFonts w:ascii="Garamond" w:eastAsia="Times New Roman" w:hAnsi="Garamond"/>
          <w:sz w:val="18"/>
          <w:szCs w:val="18"/>
        </w:rPr>
        <w:t xml:space="preserve"> ; D. 2022, p. 660, obs. S. Bollée ; D. 2022, p. 1773, obs. S. Bollée ; D. 2022, p. 2330, obs. Th. Clay ; </w:t>
      </w:r>
      <w:r w:rsidRPr="00F017DC">
        <w:rPr>
          <w:rStyle w:val="srvrlnk"/>
          <w:rFonts w:ascii="Garamond" w:eastAsia="Times New Roman" w:hAnsi="Garamond"/>
          <w:sz w:val="18"/>
          <w:szCs w:val="18"/>
        </w:rPr>
        <w:t>RTD civ. 2022, p. 701</w:t>
      </w:r>
      <w:r w:rsidRPr="00F017DC">
        <w:rPr>
          <w:rFonts w:ascii="Garamond" w:eastAsia="Times New Roman" w:hAnsi="Garamond"/>
          <w:sz w:val="18"/>
          <w:szCs w:val="18"/>
        </w:rPr>
        <w:t xml:space="preserve">, obs. Ph. Théry ; </w:t>
      </w:r>
      <w:proofErr w:type="spellStart"/>
      <w:r w:rsidRPr="00F017DC">
        <w:rPr>
          <w:rStyle w:val="srvrlnk"/>
          <w:rFonts w:ascii="Garamond" w:eastAsia="Times New Roman" w:hAnsi="Garamond"/>
          <w:sz w:val="18"/>
          <w:szCs w:val="18"/>
        </w:rPr>
        <w:t>Rev</w:t>
      </w:r>
      <w:proofErr w:type="spellEnd"/>
      <w:r w:rsidRPr="00F017DC">
        <w:rPr>
          <w:rStyle w:val="srvrlnk"/>
          <w:rFonts w:ascii="Garamond" w:eastAsia="Times New Roman" w:hAnsi="Garamond"/>
          <w:sz w:val="18"/>
          <w:szCs w:val="18"/>
        </w:rPr>
        <w:t xml:space="preserve">. </w:t>
      </w:r>
      <w:proofErr w:type="spellStart"/>
      <w:r w:rsidRPr="00F017DC">
        <w:rPr>
          <w:rStyle w:val="srvrlnk"/>
          <w:rFonts w:ascii="Garamond" w:eastAsia="Times New Roman" w:hAnsi="Garamond"/>
          <w:sz w:val="18"/>
          <w:szCs w:val="18"/>
        </w:rPr>
        <w:t>arb</w:t>
      </w:r>
      <w:proofErr w:type="spellEnd"/>
      <w:r w:rsidRPr="00F017DC">
        <w:rPr>
          <w:rStyle w:val="srvrlnk"/>
          <w:rFonts w:ascii="Garamond" w:eastAsia="Times New Roman" w:hAnsi="Garamond"/>
          <w:sz w:val="18"/>
          <w:szCs w:val="18"/>
        </w:rPr>
        <w:t>. 2022, p. 945</w:t>
      </w:r>
      <w:r w:rsidRPr="00F017DC">
        <w:rPr>
          <w:rFonts w:ascii="Garamond" w:eastAsia="Times New Roman" w:hAnsi="Garamond"/>
          <w:sz w:val="18"/>
          <w:szCs w:val="18"/>
        </w:rPr>
        <w:t xml:space="preserve">, note M. Audit et S. Bollée ; </w:t>
      </w:r>
      <w:r w:rsidRPr="00F017DC">
        <w:rPr>
          <w:rStyle w:val="srvrlnk"/>
          <w:rFonts w:ascii="Garamond" w:eastAsia="Times New Roman" w:hAnsi="Garamond"/>
          <w:sz w:val="18"/>
          <w:szCs w:val="18"/>
        </w:rPr>
        <w:t xml:space="preserve">JDI 2022, </w:t>
      </w:r>
      <w:proofErr w:type="spellStart"/>
      <w:r w:rsidRPr="00F017DC">
        <w:rPr>
          <w:rStyle w:val="srvrlnk"/>
          <w:rFonts w:ascii="Garamond" w:eastAsia="Times New Roman" w:hAnsi="Garamond"/>
          <w:sz w:val="18"/>
          <w:szCs w:val="18"/>
        </w:rPr>
        <w:t>chron</w:t>
      </w:r>
      <w:proofErr w:type="spellEnd"/>
      <w:r w:rsidRPr="00F017DC">
        <w:rPr>
          <w:rStyle w:val="srvrlnk"/>
          <w:rFonts w:ascii="Garamond" w:eastAsia="Times New Roman" w:hAnsi="Garamond"/>
          <w:sz w:val="18"/>
          <w:szCs w:val="18"/>
        </w:rPr>
        <w:t>. 4, p. 681</w:t>
      </w:r>
      <w:r w:rsidRPr="00F017DC">
        <w:rPr>
          <w:rFonts w:ascii="Garamond" w:eastAsia="Times New Roman" w:hAnsi="Garamond"/>
          <w:sz w:val="18"/>
          <w:szCs w:val="18"/>
        </w:rPr>
        <w:t>, obs. K. </w:t>
      </w:r>
      <w:proofErr w:type="spellStart"/>
      <w:r w:rsidRPr="00F017DC">
        <w:rPr>
          <w:rFonts w:ascii="Garamond" w:eastAsia="Times New Roman" w:hAnsi="Garamond"/>
          <w:sz w:val="18"/>
          <w:szCs w:val="18"/>
        </w:rPr>
        <w:t>Mehtiyeva</w:t>
      </w:r>
      <w:proofErr w:type="spellEnd"/>
      <w:r w:rsidRPr="00F017DC">
        <w:rPr>
          <w:rFonts w:ascii="Garamond" w:eastAsia="Times New Roman" w:hAnsi="Garamond"/>
          <w:sz w:val="18"/>
          <w:szCs w:val="18"/>
        </w:rPr>
        <w:t xml:space="preserve"> ; GPL 3 mai 2022, n° GPL435f4, p. 11, obs. L. </w:t>
      </w:r>
      <w:proofErr w:type="spellStart"/>
      <w:r w:rsidRPr="00F017DC">
        <w:rPr>
          <w:rFonts w:ascii="Garamond" w:eastAsia="Times New Roman" w:hAnsi="Garamond"/>
          <w:sz w:val="18"/>
          <w:szCs w:val="18"/>
        </w:rPr>
        <w:t>Larribère</w:t>
      </w:r>
      <w:proofErr w:type="spellEnd"/>
      <w:r w:rsidRPr="00F017DC">
        <w:rPr>
          <w:rFonts w:ascii="Garamond" w:eastAsia="Times New Roman" w:hAnsi="Garamond"/>
          <w:sz w:val="18"/>
          <w:szCs w:val="18"/>
        </w:rPr>
        <w:t xml:space="preserve"> ; </w:t>
      </w:r>
      <w:r w:rsidRPr="00F017DC">
        <w:rPr>
          <w:rStyle w:val="srvrlnk"/>
          <w:rFonts w:ascii="Garamond" w:eastAsia="Times New Roman" w:hAnsi="Garamond"/>
          <w:sz w:val="18"/>
          <w:szCs w:val="18"/>
        </w:rPr>
        <w:t xml:space="preserve">Procédures 2022, </w:t>
      </w:r>
      <w:proofErr w:type="spellStart"/>
      <w:r w:rsidRPr="00F017DC">
        <w:rPr>
          <w:rStyle w:val="srvrlnk"/>
          <w:rFonts w:ascii="Garamond" w:eastAsia="Times New Roman" w:hAnsi="Garamond"/>
          <w:sz w:val="18"/>
          <w:szCs w:val="18"/>
        </w:rPr>
        <w:t>comm</w:t>
      </w:r>
      <w:proofErr w:type="spellEnd"/>
      <w:r w:rsidRPr="00F017DC">
        <w:rPr>
          <w:rStyle w:val="srvrlnk"/>
          <w:rFonts w:ascii="Garamond" w:eastAsia="Times New Roman" w:hAnsi="Garamond"/>
          <w:sz w:val="18"/>
          <w:szCs w:val="18"/>
        </w:rPr>
        <w:t>. 173</w:t>
      </w:r>
      <w:r w:rsidRPr="00F017DC">
        <w:rPr>
          <w:rFonts w:ascii="Garamond" w:eastAsia="Times New Roman" w:hAnsi="Garamond"/>
          <w:sz w:val="18"/>
          <w:szCs w:val="18"/>
        </w:rPr>
        <w:t>, obs. L. Weiller</w:t>
      </w:r>
      <w:r w:rsidRPr="00F017DC">
        <w:rPr>
          <w:rFonts w:ascii="Garamond" w:hAnsi="Garamond"/>
          <w:sz w:val="18"/>
          <w:szCs w:val="18"/>
        </w:rPr>
        <w:t xml:space="preserve">), au droit des conflits armés (Paris, 5 oct. 2021, n° 19/16601, </w:t>
      </w:r>
      <w:proofErr w:type="spellStart"/>
      <w:r w:rsidRPr="00F017DC">
        <w:rPr>
          <w:rFonts w:ascii="Garamond" w:hAnsi="Garamond"/>
          <w:sz w:val="18"/>
          <w:szCs w:val="18"/>
        </w:rPr>
        <w:t>préc</w:t>
      </w:r>
      <w:proofErr w:type="spellEnd"/>
      <w:r w:rsidRPr="00F017DC">
        <w:rPr>
          <w:rFonts w:ascii="Garamond" w:hAnsi="Garamond"/>
          <w:sz w:val="18"/>
          <w:szCs w:val="18"/>
        </w:rPr>
        <w:t xml:space="preserve">. Cf. </w:t>
      </w:r>
      <w:r w:rsidRPr="00F017DC">
        <w:rPr>
          <w:rFonts w:ascii="Garamond" w:hAnsi="Garamond"/>
          <w:i/>
          <w:iCs/>
          <w:sz w:val="18"/>
          <w:szCs w:val="18"/>
        </w:rPr>
        <w:t>supra</w:t>
      </w:r>
      <w:r w:rsidRPr="00F017DC">
        <w:rPr>
          <w:rFonts w:ascii="Garamond" w:hAnsi="Garamond"/>
          <w:sz w:val="18"/>
          <w:szCs w:val="18"/>
        </w:rPr>
        <w:t xml:space="preserve">, n° 46. </w:t>
      </w:r>
      <w:proofErr w:type="spellStart"/>
      <w:r w:rsidRPr="00F017DC">
        <w:rPr>
          <w:rFonts w:ascii="Garamond" w:hAnsi="Garamond"/>
          <w:sz w:val="18"/>
          <w:szCs w:val="18"/>
        </w:rPr>
        <w:t>Comp</w:t>
      </w:r>
      <w:proofErr w:type="spellEnd"/>
      <w:r w:rsidRPr="00F017DC">
        <w:rPr>
          <w:rFonts w:ascii="Garamond" w:hAnsi="Garamond"/>
          <w:sz w:val="18"/>
          <w:szCs w:val="18"/>
        </w:rPr>
        <w:t xml:space="preserve">. Versailles, 22 mars 2013, n° 11/05331, </w:t>
      </w:r>
      <w:r w:rsidRPr="00F017DC">
        <w:rPr>
          <w:rFonts w:ascii="Garamond" w:hAnsi="Garamond"/>
          <w:i/>
          <w:iCs/>
          <w:sz w:val="18"/>
          <w:szCs w:val="18"/>
        </w:rPr>
        <w:t>AFPS, OLP c. Alstom et a</w:t>
      </w:r>
      <w:r w:rsidRPr="00F017DC">
        <w:rPr>
          <w:rFonts w:ascii="Garamond" w:hAnsi="Garamond"/>
          <w:sz w:val="18"/>
          <w:szCs w:val="18"/>
        </w:rPr>
        <w:t>. (dit aussi « </w:t>
      </w:r>
      <w:r w:rsidRPr="00F017DC">
        <w:rPr>
          <w:rFonts w:ascii="Garamond" w:hAnsi="Garamond"/>
          <w:i/>
          <w:iCs/>
          <w:sz w:val="18"/>
          <w:szCs w:val="18"/>
        </w:rPr>
        <w:t>Tramway de Jérusalem »</w:t>
      </w:r>
      <w:r w:rsidRPr="00F017DC">
        <w:rPr>
          <w:rFonts w:ascii="Garamond" w:hAnsi="Garamond"/>
          <w:sz w:val="18"/>
          <w:szCs w:val="18"/>
        </w:rPr>
        <w:t xml:space="preserve">), </w:t>
      </w:r>
      <w:r w:rsidRPr="00F017DC">
        <w:rPr>
          <w:rFonts w:ascii="Garamond" w:hAnsi="Garamond"/>
          <w:i/>
          <w:iCs/>
          <w:sz w:val="18"/>
          <w:szCs w:val="18"/>
        </w:rPr>
        <w:t>RGDIP</w:t>
      </w:r>
      <w:r w:rsidRPr="00F017DC">
        <w:rPr>
          <w:rFonts w:ascii="Garamond" w:hAnsi="Garamond"/>
          <w:sz w:val="18"/>
          <w:szCs w:val="18"/>
        </w:rPr>
        <w:t xml:space="preserve"> 191, note J. </w:t>
      </w:r>
      <w:proofErr w:type="spellStart"/>
      <w:r w:rsidRPr="00F017DC">
        <w:rPr>
          <w:rFonts w:ascii="Garamond" w:hAnsi="Garamond"/>
          <w:sz w:val="18"/>
          <w:szCs w:val="18"/>
        </w:rPr>
        <w:t>Matringe</w:t>
      </w:r>
      <w:proofErr w:type="spellEnd"/>
      <w:r w:rsidRPr="00F017DC">
        <w:rPr>
          <w:rFonts w:ascii="Garamond" w:hAnsi="Garamond"/>
          <w:sz w:val="18"/>
          <w:szCs w:val="18"/>
        </w:rPr>
        <w:t xml:space="preserve"> et B. Tranchant), aux sanctions économiques (Cass. civ., 1</w:t>
      </w:r>
      <w:r w:rsidRPr="00F017DC">
        <w:rPr>
          <w:rFonts w:ascii="Garamond" w:hAnsi="Garamond"/>
          <w:sz w:val="18"/>
          <w:szCs w:val="18"/>
          <w:vertAlign w:val="superscript"/>
        </w:rPr>
        <w:t>ère</w:t>
      </w:r>
      <w:r w:rsidRPr="00F017DC">
        <w:rPr>
          <w:rFonts w:ascii="Garamond" w:hAnsi="Garamond"/>
          <w:sz w:val="18"/>
          <w:szCs w:val="18"/>
        </w:rPr>
        <w:t xml:space="preserve">, 9 févr. 2022, n° 20-20376, </w:t>
      </w:r>
      <w:proofErr w:type="spellStart"/>
      <w:r w:rsidRPr="00F017DC">
        <w:rPr>
          <w:rFonts w:ascii="Garamond" w:hAnsi="Garamond"/>
          <w:i/>
          <w:iCs/>
          <w:sz w:val="18"/>
          <w:szCs w:val="18"/>
        </w:rPr>
        <w:t>Sofregaz</w:t>
      </w:r>
      <w:proofErr w:type="spellEnd"/>
      <w:r w:rsidRPr="00F017DC">
        <w:rPr>
          <w:rFonts w:ascii="Garamond" w:hAnsi="Garamond"/>
          <w:i/>
          <w:iCs/>
          <w:sz w:val="18"/>
          <w:szCs w:val="18"/>
        </w:rPr>
        <w:t xml:space="preserve"> c. NIOC</w:t>
      </w:r>
      <w:r w:rsidRPr="00F017DC">
        <w:rPr>
          <w:rFonts w:ascii="Garamond" w:hAnsi="Garamond"/>
          <w:sz w:val="18"/>
          <w:szCs w:val="18"/>
        </w:rPr>
        <w:t>, D. 2022, p. 1773, obs. L. d’</w:t>
      </w:r>
      <w:proofErr w:type="spellStart"/>
      <w:r w:rsidRPr="00F017DC">
        <w:rPr>
          <w:rFonts w:ascii="Garamond" w:hAnsi="Garamond"/>
          <w:sz w:val="18"/>
          <w:szCs w:val="18"/>
        </w:rPr>
        <w:t>Avout</w:t>
      </w:r>
      <w:proofErr w:type="spellEnd"/>
      <w:r w:rsidRPr="00F017DC">
        <w:rPr>
          <w:rFonts w:ascii="Garamond" w:hAnsi="Garamond"/>
          <w:sz w:val="18"/>
          <w:szCs w:val="18"/>
        </w:rPr>
        <w:t>, Dalloz actu, 16 mars 2022, obs. J. Jourdan-Marques</w:t>
      </w:r>
      <w:r w:rsidRPr="00F017DC">
        <w:rPr>
          <w:rFonts w:ascii="Garamond" w:hAnsi="Garamond"/>
          <w:i/>
          <w:iCs/>
          <w:sz w:val="18"/>
          <w:szCs w:val="18"/>
        </w:rPr>
        <w:t xml:space="preserve">, </w:t>
      </w:r>
      <w:r w:rsidRPr="00F017DC">
        <w:rPr>
          <w:rFonts w:ascii="Garamond" w:hAnsi="Garamond"/>
          <w:sz w:val="18"/>
          <w:szCs w:val="18"/>
        </w:rPr>
        <w:t xml:space="preserve">sur appel de Paris, 3 juin 2020, n° 19/07261, </w:t>
      </w:r>
      <w:r w:rsidRPr="00F017DC">
        <w:rPr>
          <w:rFonts w:ascii="Garamond" w:hAnsi="Garamond"/>
          <w:i/>
          <w:iCs/>
          <w:sz w:val="18"/>
          <w:szCs w:val="18"/>
        </w:rPr>
        <w:t>TCM</w:t>
      </w:r>
      <w:r w:rsidRPr="00F017DC">
        <w:rPr>
          <w:rFonts w:ascii="Garamond" w:hAnsi="Garamond"/>
          <w:sz w:val="18"/>
          <w:szCs w:val="18"/>
        </w:rPr>
        <w:t>, Dalloz actualité, 29 juill. 2020, obs. J. Jourdan-Marques</w:t>
      </w:r>
      <w:r w:rsidRPr="00F017DC">
        <w:rPr>
          <w:sz w:val="18"/>
          <w:szCs w:val="18"/>
        </w:rPr>
        <w:t> </w:t>
      </w:r>
      <w:r w:rsidRPr="00F017DC">
        <w:rPr>
          <w:rFonts w:ascii="Garamond" w:hAnsi="Garamond"/>
          <w:sz w:val="18"/>
          <w:szCs w:val="18"/>
        </w:rPr>
        <w:t>; D. 2020. 2484, obs. T. Clay ; RDC 2020, n</w:t>
      </w:r>
      <w:r w:rsidRPr="00F017DC">
        <w:rPr>
          <w:rFonts w:ascii="Garamond" w:hAnsi="Garamond" w:cs="Garamond"/>
          <w:sz w:val="18"/>
          <w:szCs w:val="18"/>
        </w:rPr>
        <w:t>°</w:t>
      </w:r>
      <w:r w:rsidRPr="00F017DC">
        <w:rPr>
          <w:rFonts w:ascii="Garamond" w:hAnsi="Garamond"/>
          <w:sz w:val="18"/>
          <w:szCs w:val="18"/>
        </w:rPr>
        <w:t xml:space="preserve"> 4, p. 60, note M. </w:t>
      </w:r>
      <w:proofErr w:type="spellStart"/>
      <w:r w:rsidRPr="00F017DC">
        <w:rPr>
          <w:rFonts w:ascii="Garamond" w:hAnsi="Garamond"/>
          <w:sz w:val="18"/>
          <w:szCs w:val="18"/>
        </w:rPr>
        <w:t>Laazouzi</w:t>
      </w:r>
      <w:proofErr w:type="spellEnd"/>
      <w:r w:rsidR="00A718AC" w:rsidRPr="00F017DC">
        <w:rPr>
          <w:rFonts w:ascii="Garamond" w:hAnsi="Garamond"/>
          <w:sz w:val="18"/>
          <w:szCs w:val="18"/>
        </w:rPr>
        <w:t xml:space="preserve">, </w:t>
      </w:r>
      <w:proofErr w:type="spellStart"/>
      <w:r w:rsidR="00A718AC" w:rsidRPr="00F017DC">
        <w:rPr>
          <w:rFonts w:ascii="Garamond" w:hAnsi="Garamond"/>
          <w:sz w:val="18"/>
          <w:szCs w:val="18"/>
        </w:rPr>
        <w:t>aris</w:t>
      </w:r>
      <w:proofErr w:type="spellEnd"/>
      <w:r w:rsidR="00A718AC" w:rsidRPr="00F017DC">
        <w:rPr>
          <w:rFonts w:ascii="Garamond" w:hAnsi="Garamond"/>
          <w:sz w:val="18"/>
          <w:szCs w:val="18"/>
        </w:rPr>
        <w:t>, 13 avr. 2021, n° 1809809,</w:t>
      </w:r>
      <w:r w:rsidR="00A718AC" w:rsidRPr="00F017DC">
        <w:rPr>
          <w:rFonts w:ascii="Garamond" w:hAnsi="Garamond"/>
          <w:i/>
          <w:iCs/>
          <w:sz w:val="18"/>
          <w:szCs w:val="18"/>
        </w:rPr>
        <w:t xml:space="preserve"> </w:t>
      </w:r>
      <w:proofErr w:type="spellStart"/>
      <w:r w:rsidR="00A718AC" w:rsidRPr="00F017DC">
        <w:rPr>
          <w:rFonts w:ascii="Garamond" w:hAnsi="Garamond"/>
          <w:i/>
          <w:iCs/>
          <w:sz w:val="18"/>
          <w:szCs w:val="18"/>
        </w:rPr>
        <w:t>Rép</w:t>
      </w:r>
      <w:proofErr w:type="spellEnd"/>
      <w:r w:rsidR="00A718AC" w:rsidRPr="00F017DC">
        <w:rPr>
          <w:rFonts w:ascii="Garamond" w:hAnsi="Garamond"/>
          <w:i/>
          <w:iCs/>
          <w:sz w:val="18"/>
          <w:szCs w:val="18"/>
        </w:rPr>
        <w:t xml:space="preserve">. de Guinée c. A. D. Trade </w:t>
      </w:r>
      <w:proofErr w:type="spellStart"/>
      <w:r w:rsidR="00A718AC" w:rsidRPr="00F017DC">
        <w:rPr>
          <w:rFonts w:ascii="Garamond" w:hAnsi="Garamond"/>
          <w:i/>
          <w:iCs/>
          <w:sz w:val="18"/>
          <w:szCs w:val="18"/>
        </w:rPr>
        <w:t>Belgium</w:t>
      </w:r>
      <w:proofErr w:type="spellEnd"/>
      <w:r w:rsidR="00A718AC" w:rsidRPr="00F017DC">
        <w:rPr>
          <w:rFonts w:ascii="Garamond" w:hAnsi="Garamond"/>
          <w:i/>
          <w:iCs/>
          <w:sz w:val="18"/>
          <w:szCs w:val="18"/>
        </w:rPr>
        <w:t> </w:t>
      </w:r>
      <w:r w:rsidR="00A718AC" w:rsidRPr="00F017DC">
        <w:rPr>
          <w:rFonts w:ascii="Garamond" w:hAnsi="Garamond"/>
          <w:sz w:val="18"/>
          <w:szCs w:val="18"/>
        </w:rPr>
        <w:t xml:space="preserve">[rejet de l’application de la loi de police étrangère sur les marchés publics] </w:t>
      </w:r>
      <w:r w:rsidR="00A718AC" w:rsidRPr="00F017DC">
        <w:rPr>
          <w:rFonts w:ascii="Garamond" w:hAnsi="Garamond"/>
          <w:i/>
          <w:iCs/>
          <w:sz w:val="18"/>
          <w:szCs w:val="18"/>
        </w:rPr>
        <w:t>;</w:t>
      </w:r>
      <w:r w:rsidR="00A718AC" w:rsidRPr="00F017DC">
        <w:rPr>
          <w:rFonts w:ascii="Garamond" w:hAnsi="Garamond"/>
          <w:sz w:val="18"/>
          <w:szCs w:val="18"/>
        </w:rPr>
        <w:t xml:space="preserve"> Paris, 16 janv. 2018, n° 15/21703, </w:t>
      </w:r>
      <w:r w:rsidR="00A718AC" w:rsidRPr="00F017DC">
        <w:rPr>
          <w:rFonts w:ascii="Garamond" w:hAnsi="Garamond"/>
          <w:i/>
          <w:iCs/>
          <w:sz w:val="18"/>
          <w:szCs w:val="18"/>
        </w:rPr>
        <w:t>MK Group</w:t>
      </w:r>
      <w:r w:rsidR="00A718AC" w:rsidRPr="00F017DC">
        <w:rPr>
          <w:rFonts w:ascii="Garamond" w:hAnsi="Garamond"/>
          <w:sz w:val="18"/>
          <w:szCs w:val="18"/>
        </w:rPr>
        <w:t xml:space="preserve">, D. 2018, </w:t>
      </w:r>
      <w:proofErr w:type="spellStart"/>
      <w:r w:rsidR="00A718AC" w:rsidRPr="00F017DC">
        <w:rPr>
          <w:rFonts w:ascii="Garamond" w:hAnsi="Garamond"/>
          <w:sz w:val="18"/>
          <w:szCs w:val="18"/>
        </w:rPr>
        <w:t>Jur</w:t>
      </w:r>
      <w:proofErr w:type="spellEnd"/>
      <w:r w:rsidR="00A718AC" w:rsidRPr="00F017DC">
        <w:rPr>
          <w:rFonts w:ascii="Garamond" w:hAnsi="Garamond"/>
          <w:sz w:val="18"/>
          <w:szCs w:val="18"/>
        </w:rPr>
        <w:t xml:space="preserve">., p. 1635, note M. Audit, </w:t>
      </w:r>
      <w:r w:rsidR="00A718AC" w:rsidRPr="00F017DC">
        <w:rPr>
          <w:rFonts w:ascii="Garamond" w:hAnsi="Garamond"/>
          <w:i/>
          <w:iCs/>
          <w:sz w:val="18"/>
          <w:szCs w:val="18"/>
        </w:rPr>
        <w:t xml:space="preserve">ibid. </w:t>
      </w:r>
      <w:r w:rsidR="00A718AC" w:rsidRPr="00F017DC">
        <w:rPr>
          <w:rFonts w:ascii="Garamond" w:hAnsi="Garamond"/>
          <w:sz w:val="18"/>
          <w:szCs w:val="18"/>
        </w:rPr>
        <w:t>966, obs. S. Clavel, </w:t>
      </w:r>
      <w:r w:rsidR="00A718AC" w:rsidRPr="00F017DC">
        <w:rPr>
          <w:rFonts w:ascii="Garamond" w:hAnsi="Garamond"/>
          <w:i/>
          <w:iCs/>
          <w:sz w:val="18"/>
          <w:szCs w:val="18"/>
        </w:rPr>
        <w:t xml:space="preserve">ibid. </w:t>
      </w:r>
      <w:r w:rsidR="00A718AC" w:rsidRPr="00F017DC">
        <w:rPr>
          <w:rFonts w:ascii="Garamond" w:hAnsi="Garamond"/>
          <w:sz w:val="18"/>
          <w:szCs w:val="18"/>
        </w:rPr>
        <w:t>p. 1934, obs. L. d’</w:t>
      </w:r>
      <w:proofErr w:type="spellStart"/>
      <w:r w:rsidR="00A718AC" w:rsidRPr="00F017DC">
        <w:rPr>
          <w:rFonts w:ascii="Garamond" w:hAnsi="Garamond"/>
          <w:sz w:val="18"/>
          <w:szCs w:val="18"/>
        </w:rPr>
        <w:t>Avout</w:t>
      </w:r>
      <w:proofErr w:type="spellEnd"/>
      <w:r w:rsidR="00A718AC" w:rsidRPr="00F017DC">
        <w:rPr>
          <w:rFonts w:ascii="Garamond" w:hAnsi="Garamond"/>
          <w:sz w:val="18"/>
          <w:szCs w:val="18"/>
        </w:rPr>
        <w:t xml:space="preserve">, JDI 2018, p. 883, note S. Bollée, </w:t>
      </w:r>
      <w:r w:rsidR="00A718AC" w:rsidRPr="00F017DC">
        <w:rPr>
          <w:rFonts w:ascii="Garamond" w:hAnsi="Garamond"/>
          <w:i/>
          <w:iCs/>
          <w:sz w:val="18"/>
          <w:szCs w:val="18"/>
        </w:rPr>
        <w:t xml:space="preserve">Ibid. </w:t>
      </w:r>
      <w:r w:rsidR="00A718AC" w:rsidRPr="00F017DC">
        <w:rPr>
          <w:rFonts w:ascii="Garamond" w:hAnsi="Garamond"/>
          <w:sz w:val="18"/>
          <w:szCs w:val="18"/>
        </w:rPr>
        <w:t xml:space="preserve">p. 898, note E. Gaillard, </w:t>
      </w:r>
      <w:proofErr w:type="spellStart"/>
      <w:r w:rsidR="00A718AC" w:rsidRPr="00F017DC">
        <w:rPr>
          <w:rFonts w:ascii="Garamond" w:hAnsi="Garamond"/>
          <w:sz w:val="18"/>
          <w:szCs w:val="18"/>
        </w:rPr>
        <w:t>Rev</w:t>
      </w:r>
      <w:proofErr w:type="spellEnd"/>
      <w:r w:rsidR="00A718AC" w:rsidRPr="00F017DC">
        <w:rPr>
          <w:rFonts w:ascii="Garamond" w:hAnsi="Garamond"/>
          <w:sz w:val="18"/>
          <w:szCs w:val="18"/>
        </w:rPr>
        <w:t xml:space="preserve">. </w:t>
      </w:r>
      <w:proofErr w:type="spellStart"/>
      <w:r w:rsidR="00A718AC" w:rsidRPr="00F017DC">
        <w:rPr>
          <w:rFonts w:ascii="Garamond" w:hAnsi="Garamond"/>
          <w:sz w:val="18"/>
          <w:szCs w:val="18"/>
        </w:rPr>
        <w:t>arb</w:t>
      </w:r>
      <w:proofErr w:type="spellEnd"/>
      <w:r w:rsidR="00A718AC" w:rsidRPr="00F017DC">
        <w:rPr>
          <w:rFonts w:ascii="Garamond" w:hAnsi="Garamond"/>
          <w:sz w:val="18"/>
          <w:szCs w:val="18"/>
        </w:rPr>
        <w:t xml:space="preserve">. 2018, p. 401, note S. Lemaire ; Cass. com., 16 mars 2010, n° 08-21.511. FS-P+B, </w:t>
      </w:r>
      <w:r w:rsidR="00A718AC" w:rsidRPr="00F017DC">
        <w:rPr>
          <w:rFonts w:ascii="Garamond" w:hAnsi="Garamond"/>
          <w:i/>
          <w:iCs/>
          <w:sz w:val="18"/>
          <w:szCs w:val="18"/>
        </w:rPr>
        <w:t xml:space="preserve">Sté </w:t>
      </w:r>
      <w:proofErr w:type="spellStart"/>
      <w:r w:rsidR="00A718AC" w:rsidRPr="00F017DC">
        <w:rPr>
          <w:rFonts w:ascii="Garamond" w:hAnsi="Garamond"/>
          <w:i/>
          <w:iCs/>
          <w:sz w:val="18"/>
          <w:szCs w:val="18"/>
        </w:rPr>
        <w:t>ApMoller</w:t>
      </w:r>
      <w:proofErr w:type="spellEnd"/>
      <w:r w:rsidR="00A718AC" w:rsidRPr="00F017DC">
        <w:rPr>
          <w:rFonts w:ascii="Garamond" w:hAnsi="Garamond"/>
          <w:i/>
          <w:iCs/>
          <w:sz w:val="18"/>
          <w:szCs w:val="18"/>
        </w:rPr>
        <w:t xml:space="preserve"> Maersk A/S c/ Sté Viol frères et a</w:t>
      </w:r>
      <w:r w:rsidR="00A718AC" w:rsidRPr="00F017DC">
        <w:rPr>
          <w:rFonts w:ascii="Garamond" w:hAnsi="Garamond"/>
          <w:sz w:val="18"/>
          <w:szCs w:val="18"/>
        </w:rPr>
        <w:t xml:space="preserve">, RLDA, 2010, p. 63, note C. </w:t>
      </w:r>
      <w:proofErr w:type="spellStart"/>
      <w:r w:rsidR="00A718AC" w:rsidRPr="00F017DC">
        <w:rPr>
          <w:rFonts w:ascii="Garamond" w:hAnsi="Garamond"/>
          <w:sz w:val="18"/>
          <w:szCs w:val="18"/>
        </w:rPr>
        <w:t>Nourrissat</w:t>
      </w:r>
      <w:proofErr w:type="spellEnd"/>
      <w:r w:rsidR="00A718AC" w:rsidRPr="00F017DC">
        <w:rPr>
          <w:rFonts w:ascii="Garamond" w:hAnsi="Garamond"/>
          <w:sz w:val="18"/>
          <w:szCs w:val="18"/>
        </w:rPr>
        <w:t xml:space="preserve"> [effet possible de la loi de police étrangère, s’agissant d’un embargo unilatéral du Ghana en matière de viande bovine]</w:t>
      </w:r>
      <w:r w:rsidRPr="00F017DC">
        <w:rPr>
          <w:rFonts w:ascii="Garamond" w:hAnsi="Garamond"/>
          <w:sz w:val="18"/>
          <w:szCs w:val="18"/>
        </w:rPr>
        <w:t>).</w:t>
      </w:r>
    </w:p>
  </w:footnote>
  <w:footnote w:id="48">
    <w:p w14:paraId="61D54546" w14:textId="5935F15F" w:rsidR="007D62B5" w:rsidRPr="00F017DC" w:rsidRDefault="007D62B5"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 xml:space="preserve">CPJI 7 sept. 1927, </w:t>
      </w:r>
      <w:r w:rsidRPr="00F017DC">
        <w:rPr>
          <w:rFonts w:ascii="Garamond" w:hAnsi="Garamond"/>
          <w:i/>
          <w:iCs/>
          <w:sz w:val="18"/>
          <w:szCs w:val="18"/>
        </w:rPr>
        <w:t>Lotus France c/ Turquie</w:t>
      </w:r>
      <w:r w:rsidRPr="00F017DC">
        <w:rPr>
          <w:rFonts w:ascii="Garamond" w:hAnsi="Garamond"/>
          <w:sz w:val="18"/>
          <w:szCs w:val="18"/>
        </w:rPr>
        <w:t xml:space="preserve">, série A, no 10, p. 19. V. H. Walther, </w:t>
      </w:r>
      <w:r w:rsidRPr="00F017DC">
        <w:rPr>
          <w:rFonts w:ascii="Garamond" w:hAnsi="Garamond"/>
          <w:i/>
          <w:iCs/>
          <w:sz w:val="18"/>
          <w:szCs w:val="18"/>
        </w:rPr>
        <w:t>L’Affaire du «</w:t>
      </w:r>
      <w:r w:rsidR="00483756">
        <w:rPr>
          <w:rFonts w:ascii="Garamond" w:hAnsi="Garamond"/>
          <w:i/>
          <w:iCs/>
          <w:sz w:val="18"/>
          <w:szCs w:val="18"/>
        </w:rPr>
        <w:t xml:space="preserve"> </w:t>
      </w:r>
      <w:r w:rsidRPr="00F017DC">
        <w:rPr>
          <w:rFonts w:ascii="Garamond" w:hAnsi="Garamond"/>
          <w:i/>
          <w:iCs/>
          <w:sz w:val="18"/>
          <w:szCs w:val="18"/>
        </w:rPr>
        <w:t>Lotus » Ou de l’abordage hauturier en droit pénal international</w:t>
      </w:r>
      <w:r w:rsidRPr="00F017DC">
        <w:rPr>
          <w:rFonts w:ascii="Garamond" w:hAnsi="Garamond"/>
          <w:sz w:val="18"/>
          <w:szCs w:val="18"/>
        </w:rPr>
        <w:t xml:space="preserve">, Les Éditions internationales, 1928 ; B. Stern, « Quelques observations sur les règles internationales relatives à l’application extraterritoriale du droit », </w:t>
      </w:r>
      <w:r w:rsidRPr="00F017DC">
        <w:rPr>
          <w:rFonts w:ascii="Garamond" w:hAnsi="Garamond"/>
          <w:i/>
          <w:iCs/>
          <w:sz w:val="18"/>
          <w:szCs w:val="18"/>
        </w:rPr>
        <w:t xml:space="preserve">AFDI </w:t>
      </w:r>
      <w:r w:rsidRPr="00F017DC">
        <w:rPr>
          <w:rFonts w:ascii="Garamond" w:hAnsi="Garamond"/>
          <w:sz w:val="18"/>
          <w:szCs w:val="18"/>
        </w:rPr>
        <w:t xml:space="preserve">1986, no 32, p. 7 ; D. Mainguy, « Quelques remarques sur l’arbitrage, la guerre « atypique » et les conflits maritimes », in </w:t>
      </w:r>
      <w:r w:rsidRPr="00F017DC">
        <w:rPr>
          <w:rFonts w:ascii="Garamond" w:hAnsi="Garamond"/>
          <w:i/>
          <w:iCs/>
          <w:sz w:val="18"/>
          <w:szCs w:val="18"/>
        </w:rPr>
        <w:t xml:space="preserve">Mél. Ph. </w:t>
      </w:r>
      <w:proofErr w:type="spellStart"/>
      <w:r w:rsidRPr="00F017DC">
        <w:rPr>
          <w:rFonts w:ascii="Garamond" w:hAnsi="Garamond"/>
          <w:i/>
          <w:iCs/>
          <w:sz w:val="18"/>
          <w:szCs w:val="18"/>
        </w:rPr>
        <w:t>Delebecque</w:t>
      </w:r>
      <w:proofErr w:type="spellEnd"/>
      <w:r w:rsidRPr="00F017DC">
        <w:rPr>
          <w:rFonts w:ascii="Garamond" w:hAnsi="Garamond"/>
          <w:i/>
          <w:iCs/>
          <w:sz w:val="18"/>
          <w:szCs w:val="18"/>
        </w:rPr>
        <w:t>, Ecrits sans esprit de système</w:t>
      </w:r>
      <w:r w:rsidRPr="00F017DC">
        <w:rPr>
          <w:rFonts w:ascii="Garamond" w:hAnsi="Garamond"/>
          <w:sz w:val="18"/>
          <w:szCs w:val="18"/>
        </w:rPr>
        <w:t xml:space="preserve">, </w:t>
      </w:r>
      <w:r w:rsidRPr="00F017DC">
        <w:rPr>
          <w:rFonts w:ascii="Garamond" w:hAnsi="Garamond"/>
          <w:iCs/>
          <w:sz w:val="18"/>
          <w:szCs w:val="18"/>
        </w:rPr>
        <w:t>Dalloz, 2024, p. 625</w:t>
      </w:r>
      <w:r w:rsidRPr="00F017DC">
        <w:rPr>
          <w:rFonts w:ascii="Garamond" w:hAnsi="Garamond"/>
          <w:sz w:val="18"/>
          <w:szCs w:val="18"/>
        </w:rPr>
        <w:t xml:space="preserve">.  </w:t>
      </w:r>
    </w:p>
  </w:footnote>
  <w:footnote w:id="49">
    <w:p w14:paraId="10447D07" w14:textId="0F2F93E8" w:rsidR="007D62B5" w:rsidRPr="00F017DC" w:rsidRDefault="007D62B5"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 xml:space="preserve">D. Mainguy, </w:t>
      </w:r>
      <w:r w:rsidRPr="00F017DC">
        <w:rPr>
          <w:rFonts w:ascii="Garamond" w:hAnsi="Garamond"/>
          <w:i/>
          <w:iCs/>
          <w:sz w:val="18"/>
          <w:szCs w:val="18"/>
        </w:rPr>
        <w:t>Droit de la guerre atypique</w:t>
      </w:r>
      <w:r w:rsidRPr="00F017DC">
        <w:rPr>
          <w:rFonts w:ascii="Garamond" w:hAnsi="Garamond"/>
          <w:sz w:val="18"/>
          <w:szCs w:val="18"/>
        </w:rPr>
        <w:t>, op. cit. </w:t>
      </w:r>
      <w:proofErr w:type="spellStart"/>
      <w:r w:rsidRPr="00F017DC">
        <w:rPr>
          <w:rFonts w:ascii="Garamond" w:hAnsi="Garamond"/>
          <w:sz w:val="18"/>
          <w:szCs w:val="18"/>
        </w:rPr>
        <w:t>sp</w:t>
      </w:r>
      <w:proofErr w:type="spellEnd"/>
      <w:r w:rsidRPr="00F017DC">
        <w:rPr>
          <w:rFonts w:ascii="Garamond" w:hAnsi="Garamond"/>
          <w:sz w:val="18"/>
          <w:szCs w:val="18"/>
        </w:rPr>
        <w:t xml:space="preserve">. n° 36, n° 104. </w:t>
      </w:r>
    </w:p>
  </w:footnote>
  <w:footnote w:id="50">
    <w:p w14:paraId="06CCE632" w14:textId="2F49F35D" w:rsidR="00952EB6" w:rsidRPr="00F017DC" w:rsidRDefault="00952EB6" w:rsidP="00F56AD9">
      <w:pPr>
        <w:pStyle w:val="Notedebasdepage"/>
        <w:jc w:val="both"/>
        <w:rPr>
          <w:rFonts w:ascii="Garamond" w:hAnsi="Garamond"/>
          <w:i/>
          <w:iCs/>
          <w:sz w:val="18"/>
          <w:szCs w:val="18"/>
          <w:lang w:val="en-GB"/>
        </w:rPr>
      </w:pPr>
      <w:r w:rsidRPr="00F017DC">
        <w:rPr>
          <w:rStyle w:val="Appelnotedebasdep"/>
          <w:rFonts w:ascii="Garamond" w:hAnsi="Garamond"/>
          <w:sz w:val="18"/>
          <w:szCs w:val="18"/>
        </w:rPr>
        <w:footnoteRef/>
      </w:r>
      <w:r w:rsidRPr="00F017DC">
        <w:rPr>
          <w:rFonts w:ascii="Garamond" w:hAnsi="Garamond"/>
          <w:sz w:val="18"/>
          <w:szCs w:val="18"/>
          <w:lang w:val="en-GB"/>
        </w:rPr>
        <w:t xml:space="preserve"> </w:t>
      </w:r>
      <w:r w:rsidRPr="00F017DC">
        <w:rPr>
          <w:rFonts w:ascii="Garamond" w:hAnsi="Garamond"/>
          <w:sz w:val="18"/>
          <w:szCs w:val="18"/>
          <w:lang w:val="en-GB"/>
        </w:rPr>
        <w:tab/>
        <w:t>USSC, 24 </w:t>
      </w:r>
      <w:proofErr w:type="spellStart"/>
      <w:r w:rsidRPr="00F017DC">
        <w:rPr>
          <w:rFonts w:ascii="Garamond" w:hAnsi="Garamond"/>
          <w:sz w:val="18"/>
          <w:szCs w:val="18"/>
          <w:lang w:val="en-GB"/>
        </w:rPr>
        <w:t>juin</w:t>
      </w:r>
      <w:proofErr w:type="spellEnd"/>
      <w:r w:rsidRPr="00F017DC">
        <w:rPr>
          <w:rFonts w:ascii="Garamond" w:hAnsi="Garamond"/>
          <w:sz w:val="18"/>
          <w:szCs w:val="18"/>
          <w:lang w:val="en-GB"/>
        </w:rPr>
        <w:t xml:space="preserve"> 2010, </w:t>
      </w:r>
      <w:r w:rsidRPr="00F017DC">
        <w:rPr>
          <w:rFonts w:ascii="Garamond" w:hAnsi="Garamond"/>
          <w:i/>
          <w:iCs/>
          <w:sz w:val="18"/>
          <w:szCs w:val="18"/>
          <w:lang w:val="en-GB"/>
        </w:rPr>
        <w:t>Morisson v. National Australia Bank Ltd</w:t>
      </w:r>
      <w:r w:rsidRPr="00F017DC">
        <w:rPr>
          <w:rFonts w:ascii="Garamond" w:hAnsi="Garamond"/>
          <w:sz w:val="18"/>
          <w:szCs w:val="18"/>
          <w:lang w:val="en-GB"/>
        </w:rPr>
        <w:t xml:space="preserve">, 561 U.S. </w:t>
      </w:r>
      <w:proofErr w:type="gramStart"/>
      <w:r w:rsidRPr="00F017DC">
        <w:rPr>
          <w:rFonts w:ascii="Garamond" w:hAnsi="Garamond"/>
          <w:sz w:val="18"/>
          <w:szCs w:val="18"/>
          <w:lang w:val="en-GB"/>
        </w:rPr>
        <w:t>247 :</w:t>
      </w:r>
      <w:proofErr w:type="gramEnd"/>
      <w:r w:rsidRPr="00F017DC">
        <w:rPr>
          <w:rFonts w:ascii="Garamond" w:hAnsi="Garamond"/>
          <w:sz w:val="18"/>
          <w:szCs w:val="18"/>
          <w:lang w:val="en-GB"/>
        </w:rPr>
        <w:t xml:space="preserve"> « </w:t>
      </w:r>
      <w:r w:rsidRPr="00F017DC">
        <w:rPr>
          <w:rFonts w:ascii="Garamond" w:hAnsi="Garamond"/>
          <w:i/>
          <w:iCs/>
          <w:sz w:val="18"/>
          <w:szCs w:val="18"/>
          <w:lang w:val="en-GB"/>
        </w:rPr>
        <w:t>It is a “longstanding principle of American law ‘that legislation of Congress, unless a contrary intent appears, is meant to apply only within the territorial jurisdiction of the United States.’ ” EEOC v. Arabian American Oil Co., 499 U. S. 244, 248 (Aramco). When a statute gives no clear indication of an extraterritorial application, it has none. Nonetheless, the Second Circuit believed the Exchange Act’s silence about § 10(b)’s extraterritorial application permitted the court to “discern” whether Congress would have wanted the statute to apply. This disregard of the presumption against extraterritoriality has occurred over many decades in many courts of appeals and has produced a collection of tests for divining congressional intent that are complex in formulation and unpredictable in application. The results demonstrate the wisdom of the presumption against extraterritoriality. Rather than guess anew in each case, this Court applies the presumption in all cases, preserving a stable background against which Congress can legislate with predictable effects »</w:t>
      </w:r>
      <w:r w:rsidRPr="00F017DC">
        <w:rPr>
          <w:rFonts w:ascii="Garamond" w:hAnsi="Garamond"/>
          <w:sz w:val="18"/>
          <w:szCs w:val="18"/>
          <w:lang w:val="en-GB"/>
        </w:rPr>
        <w:t>.</w:t>
      </w:r>
    </w:p>
  </w:footnote>
  <w:footnote w:id="51">
    <w:p w14:paraId="37CDAD59" w14:textId="3A481BB2" w:rsidR="007B27AE" w:rsidRPr="00F017DC" w:rsidRDefault="007B27AE" w:rsidP="00F56AD9">
      <w:pPr>
        <w:pStyle w:val="Notedebasdepage"/>
        <w:jc w:val="both"/>
        <w:rPr>
          <w:rFonts w:ascii="Garamond" w:hAnsi="Garamond"/>
          <w:sz w:val="18"/>
          <w:szCs w:val="18"/>
          <w:lang w:val="en-GB"/>
        </w:rPr>
      </w:pPr>
      <w:r w:rsidRPr="00F017DC">
        <w:rPr>
          <w:rStyle w:val="Appelnotedebasdep"/>
          <w:rFonts w:ascii="Garamond" w:hAnsi="Garamond"/>
          <w:sz w:val="18"/>
          <w:szCs w:val="18"/>
        </w:rPr>
        <w:footnoteRef/>
      </w:r>
      <w:r w:rsidRPr="00F017DC">
        <w:rPr>
          <w:rFonts w:ascii="Garamond" w:hAnsi="Garamond"/>
          <w:sz w:val="18"/>
          <w:szCs w:val="18"/>
          <w:lang w:val="en-GB"/>
        </w:rPr>
        <w:t xml:space="preserve"> </w:t>
      </w:r>
      <w:r w:rsidRPr="00F017DC">
        <w:rPr>
          <w:rFonts w:ascii="Garamond" w:hAnsi="Garamond"/>
          <w:sz w:val="18"/>
          <w:szCs w:val="18"/>
          <w:lang w:val="en-GB"/>
        </w:rPr>
        <w:tab/>
        <w:t>USSC, 17 </w:t>
      </w:r>
      <w:proofErr w:type="spellStart"/>
      <w:r w:rsidRPr="00F017DC">
        <w:rPr>
          <w:rFonts w:ascii="Garamond" w:hAnsi="Garamond"/>
          <w:sz w:val="18"/>
          <w:szCs w:val="18"/>
          <w:lang w:val="en-GB"/>
        </w:rPr>
        <w:t>avr</w:t>
      </w:r>
      <w:proofErr w:type="spellEnd"/>
      <w:r w:rsidRPr="00F017DC">
        <w:rPr>
          <w:rFonts w:ascii="Garamond" w:hAnsi="Garamond"/>
          <w:sz w:val="18"/>
          <w:szCs w:val="18"/>
          <w:lang w:val="en-GB"/>
        </w:rPr>
        <w:t xml:space="preserve">. 2013, </w:t>
      </w:r>
      <w:proofErr w:type="spellStart"/>
      <w:r w:rsidRPr="00F017DC">
        <w:rPr>
          <w:rFonts w:ascii="Garamond" w:hAnsi="Garamond"/>
          <w:i/>
          <w:iCs/>
          <w:sz w:val="18"/>
          <w:szCs w:val="18"/>
          <w:lang w:val="en-GB"/>
        </w:rPr>
        <w:t>Kiobel</w:t>
      </w:r>
      <w:proofErr w:type="spellEnd"/>
      <w:r w:rsidRPr="00F017DC">
        <w:rPr>
          <w:rFonts w:ascii="Garamond" w:hAnsi="Garamond"/>
          <w:sz w:val="18"/>
          <w:szCs w:val="18"/>
          <w:lang w:val="en-GB"/>
        </w:rPr>
        <w:t xml:space="preserve">. </w:t>
      </w:r>
      <w:r w:rsidRPr="00F017DC">
        <w:rPr>
          <w:rFonts w:ascii="Garamond" w:hAnsi="Garamond"/>
          <w:i/>
          <w:iCs/>
          <w:sz w:val="18"/>
          <w:szCs w:val="18"/>
          <w:lang w:val="en-GB"/>
        </w:rPr>
        <w:t>c. Royal Dutch Petroleum</w:t>
      </w:r>
      <w:r w:rsidRPr="00F017DC">
        <w:rPr>
          <w:rFonts w:ascii="Garamond" w:hAnsi="Garamond"/>
          <w:sz w:val="18"/>
          <w:szCs w:val="18"/>
          <w:lang w:val="en-GB"/>
        </w:rPr>
        <w:t>, 133 S. Ct. 1659</w:t>
      </w:r>
      <w:r w:rsidR="00F72900" w:rsidRPr="00F017DC">
        <w:rPr>
          <w:rFonts w:ascii="Garamond" w:hAnsi="Garamond"/>
          <w:sz w:val="18"/>
          <w:szCs w:val="18"/>
          <w:lang w:val="en-GB"/>
        </w:rPr>
        <w:t xml:space="preserve"> (application de </w:t>
      </w:r>
      <w:proofErr w:type="spellStart"/>
      <w:r w:rsidR="00F72900" w:rsidRPr="00F017DC">
        <w:rPr>
          <w:rFonts w:ascii="Garamond" w:hAnsi="Garamond"/>
          <w:sz w:val="18"/>
          <w:szCs w:val="18"/>
          <w:lang w:val="en-GB"/>
        </w:rPr>
        <w:t>l’Alien</w:t>
      </w:r>
      <w:proofErr w:type="spellEnd"/>
      <w:r w:rsidR="00F72900" w:rsidRPr="00F017DC">
        <w:rPr>
          <w:rFonts w:ascii="Garamond" w:hAnsi="Garamond"/>
          <w:sz w:val="18"/>
          <w:szCs w:val="18"/>
          <w:lang w:val="en-GB"/>
        </w:rPr>
        <w:t xml:space="preserve"> Tort Statute)</w:t>
      </w:r>
      <w:r w:rsidRPr="00F017DC">
        <w:rPr>
          <w:rFonts w:ascii="Garamond" w:hAnsi="Garamond"/>
          <w:sz w:val="18"/>
          <w:szCs w:val="18"/>
          <w:lang w:val="en-GB"/>
        </w:rPr>
        <w:t xml:space="preserve">, </w:t>
      </w:r>
      <w:r w:rsidRPr="00F017DC">
        <w:rPr>
          <w:rFonts w:ascii="Garamond" w:hAnsi="Garamond"/>
          <w:i/>
          <w:sz w:val="18"/>
          <w:szCs w:val="18"/>
          <w:lang w:val="en-GB"/>
        </w:rPr>
        <w:t>D.</w:t>
      </w:r>
      <w:r w:rsidRPr="00F017DC">
        <w:rPr>
          <w:rFonts w:ascii="Garamond" w:hAnsi="Garamond"/>
          <w:sz w:val="18"/>
          <w:szCs w:val="18"/>
          <w:lang w:val="en-GB"/>
        </w:rPr>
        <w:t> 2013, p. 1316, p. 1081, note N. </w:t>
      </w:r>
      <w:proofErr w:type="spellStart"/>
      <w:r w:rsidRPr="00F017DC">
        <w:rPr>
          <w:rFonts w:ascii="Garamond" w:hAnsi="Garamond"/>
          <w:sz w:val="18"/>
          <w:szCs w:val="18"/>
          <w:lang w:val="en-GB"/>
        </w:rPr>
        <w:t>Maziau</w:t>
      </w:r>
      <w:proofErr w:type="spellEnd"/>
      <w:r w:rsidRPr="00F017DC">
        <w:rPr>
          <w:rFonts w:ascii="Garamond" w:hAnsi="Garamond"/>
          <w:sz w:val="18"/>
          <w:szCs w:val="18"/>
          <w:lang w:val="en-GB"/>
        </w:rPr>
        <w:t>, p. 2293, obs. L. </w:t>
      </w:r>
      <w:proofErr w:type="spellStart"/>
      <w:r w:rsidRPr="00F017DC">
        <w:rPr>
          <w:rFonts w:ascii="Garamond" w:hAnsi="Garamond"/>
          <w:sz w:val="18"/>
          <w:szCs w:val="18"/>
          <w:lang w:val="en-GB"/>
        </w:rPr>
        <w:t>d’Avout</w:t>
      </w:r>
      <w:proofErr w:type="spellEnd"/>
      <w:r w:rsidRPr="00F017DC">
        <w:rPr>
          <w:rFonts w:ascii="Garamond" w:hAnsi="Garamond"/>
          <w:sz w:val="18"/>
          <w:szCs w:val="18"/>
          <w:lang w:val="en-GB"/>
        </w:rPr>
        <w:t xml:space="preserve">, </w:t>
      </w:r>
      <w:proofErr w:type="spellStart"/>
      <w:r w:rsidRPr="00F017DC">
        <w:rPr>
          <w:rFonts w:ascii="Garamond" w:hAnsi="Garamond"/>
          <w:sz w:val="18"/>
          <w:szCs w:val="18"/>
          <w:lang w:val="en-GB"/>
        </w:rPr>
        <w:t>RTDciv</w:t>
      </w:r>
      <w:proofErr w:type="spellEnd"/>
      <w:r w:rsidRPr="00F017DC">
        <w:rPr>
          <w:rFonts w:ascii="Garamond" w:hAnsi="Garamond"/>
          <w:sz w:val="18"/>
          <w:szCs w:val="18"/>
          <w:lang w:val="en-GB"/>
        </w:rPr>
        <w:t>. 2014, p. 324, obs. L. </w:t>
      </w:r>
      <w:proofErr w:type="spellStart"/>
      <w:r w:rsidRPr="00F017DC">
        <w:rPr>
          <w:rFonts w:ascii="Garamond" w:hAnsi="Garamond"/>
          <w:sz w:val="18"/>
          <w:szCs w:val="18"/>
          <w:lang w:val="en-GB"/>
        </w:rPr>
        <w:t>Usinier</w:t>
      </w:r>
      <w:proofErr w:type="spellEnd"/>
      <w:r w:rsidRPr="00F017DC">
        <w:rPr>
          <w:rFonts w:ascii="Garamond" w:hAnsi="Garamond"/>
          <w:sz w:val="18"/>
          <w:szCs w:val="18"/>
          <w:lang w:val="en-GB"/>
        </w:rPr>
        <w:t>, Rev. crit. DIP, 2013, p. 595, note H. Muir Watt.</w:t>
      </w:r>
      <w:r w:rsidR="00F72900" w:rsidRPr="00F017DC">
        <w:rPr>
          <w:rFonts w:ascii="Garamond" w:hAnsi="Garamond"/>
          <w:sz w:val="18"/>
          <w:szCs w:val="18"/>
          <w:lang w:val="en-GB"/>
        </w:rPr>
        <w:t xml:space="preserve"> V. </w:t>
      </w:r>
      <w:proofErr w:type="spellStart"/>
      <w:r w:rsidR="00F72900" w:rsidRPr="00F017DC">
        <w:rPr>
          <w:rFonts w:ascii="Garamond" w:hAnsi="Garamond"/>
          <w:sz w:val="18"/>
          <w:szCs w:val="18"/>
          <w:lang w:val="en-GB"/>
        </w:rPr>
        <w:t>aussi</w:t>
      </w:r>
      <w:proofErr w:type="spellEnd"/>
      <w:r w:rsidR="00F72900" w:rsidRPr="00F017DC">
        <w:rPr>
          <w:rFonts w:ascii="Garamond" w:hAnsi="Garamond"/>
          <w:sz w:val="18"/>
          <w:szCs w:val="18"/>
          <w:lang w:val="en-GB"/>
        </w:rPr>
        <w:t xml:space="preserve"> RJR Nabisco, Inc. v. European </w:t>
      </w:r>
      <w:proofErr w:type="spellStart"/>
      <w:r w:rsidR="00F72900" w:rsidRPr="00F017DC">
        <w:rPr>
          <w:rFonts w:ascii="Garamond" w:hAnsi="Garamond"/>
          <w:sz w:val="18"/>
          <w:szCs w:val="18"/>
          <w:lang w:val="en-GB"/>
        </w:rPr>
        <w:t>Cmty</w:t>
      </w:r>
      <w:proofErr w:type="spellEnd"/>
      <w:r w:rsidR="00F72900" w:rsidRPr="00F017DC">
        <w:rPr>
          <w:rFonts w:ascii="Garamond" w:hAnsi="Garamond"/>
          <w:sz w:val="18"/>
          <w:szCs w:val="18"/>
          <w:lang w:val="en-GB"/>
        </w:rPr>
        <w:t>., 136 S. Ct. 2090, 2100–01 (2016) (RICO</w:t>
      </w:r>
      <w:proofErr w:type="gramStart"/>
      <w:r w:rsidR="00F72900" w:rsidRPr="00F017DC">
        <w:rPr>
          <w:rFonts w:ascii="Garamond" w:hAnsi="Garamond"/>
          <w:sz w:val="18"/>
          <w:szCs w:val="18"/>
          <w:lang w:val="en-GB"/>
        </w:rPr>
        <w:t>) ;</w:t>
      </w:r>
      <w:proofErr w:type="gramEnd"/>
      <w:r w:rsidR="00F72900" w:rsidRPr="00F017DC">
        <w:rPr>
          <w:rFonts w:ascii="Garamond" w:hAnsi="Garamond"/>
          <w:sz w:val="18"/>
          <w:szCs w:val="18"/>
          <w:lang w:val="en-GB"/>
        </w:rPr>
        <w:t xml:space="preserve"> Microsoft Corp. v. AT&amp;T Corp., 550 U.S. 437, 454–56 (2007) (Patent Act); Sale v. Haitian </w:t>
      </w:r>
      <w:proofErr w:type="spellStart"/>
      <w:r w:rsidR="00F72900" w:rsidRPr="00F017DC">
        <w:rPr>
          <w:rFonts w:ascii="Garamond" w:hAnsi="Garamond"/>
          <w:sz w:val="18"/>
          <w:szCs w:val="18"/>
          <w:lang w:val="en-GB"/>
        </w:rPr>
        <w:t>Ctrs</w:t>
      </w:r>
      <w:proofErr w:type="spellEnd"/>
      <w:r w:rsidR="00F72900" w:rsidRPr="00F017DC">
        <w:rPr>
          <w:rFonts w:ascii="Garamond" w:hAnsi="Garamond"/>
          <w:sz w:val="18"/>
          <w:szCs w:val="18"/>
          <w:lang w:val="en-GB"/>
        </w:rPr>
        <w:t>. Council, Inc., 509 U.S. 155, 173–74 (1993) (Immigration and Nationality Act); Smith v. United States, 507 U.S. 197, 203–04 (1993) (Federal Tort Claims Act); EEOC v. Arabian Am. Oil Co. (Aramco), 499 U.S. 244, 248 (1991) (Title VII of 1964 Civil Rights Act) ; Argentine Republic v. Amerada Hess Shipping Corp., 488 U.S. 428, 440–41 (1989) (FSIA).</w:t>
      </w:r>
    </w:p>
  </w:footnote>
  <w:footnote w:id="52">
    <w:p w14:paraId="1FED5331" w14:textId="76551703" w:rsidR="007B27AE" w:rsidRPr="00F017DC" w:rsidRDefault="007B27AE" w:rsidP="00F56AD9">
      <w:pPr>
        <w:pStyle w:val="Notedebasdepage"/>
        <w:jc w:val="both"/>
        <w:rPr>
          <w:rFonts w:ascii="Garamond" w:hAnsi="Garamond"/>
          <w:sz w:val="18"/>
          <w:szCs w:val="18"/>
          <w:lang w:val="en-GB"/>
        </w:rPr>
      </w:pPr>
      <w:r w:rsidRPr="00F017DC">
        <w:rPr>
          <w:rStyle w:val="Appelnotedebasdep"/>
          <w:rFonts w:ascii="Garamond" w:hAnsi="Garamond"/>
          <w:sz w:val="18"/>
          <w:szCs w:val="18"/>
        </w:rPr>
        <w:footnoteRef/>
      </w:r>
      <w:r w:rsidRPr="00F017DC">
        <w:rPr>
          <w:rFonts w:ascii="Garamond" w:hAnsi="Garamond"/>
          <w:sz w:val="18"/>
          <w:szCs w:val="18"/>
          <w:lang w:val="en-GB"/>
        </w:rPr>
        <w:t xml:space="preserve"> </w:t>
      </w:r>
      <w:r w:rsidRPr="00F017DC">
        <w:rPr>
          <w:rFonts w:ascii="Garamond" w:hAnsi="Garamond"/>
          <w:sz w:val="18"/>
          <w:szCs w:val="18"/>
          <w:lang w:val="en-GB"/>
        </w:rPr>
        <w:tab/>
        <w:t xml:space="preserve">USSC, 25 </w:t>
      </w:r>
      <w:proofErr w:type="spellStart"/>
      <w:r w:rsidRPr="00F017DC">
        <w:rPr>
          <w:rFonts w:ascii="Garamond" w:hAnsi="Garamond"/>
          <w:sz w:val="18"/>
          <w:szCs w:val="18"/>
          <w:lang w:val="en-GB"/>
        </w:rPr>
        <w:t>juin</w:t>
      </w:r>
      <w:proofErr w:type="spellEnd"/>
      <w:r w:rsidRPr="00F017DC">
        <w:rPr>
          <w:rFonts w:ascii="Garamond" w:hAnsi="Garamond"/>
          <w:sz w:val="18"/>
          <w:szCs w:val="18"/>
          <w:lang w:val="en-GB"/>
        </w:rPr>
        <w:t xml:space="preserve"> 1984, </w:t>
      </w:r>
      <w:r w:rsidRPr="00F017DC">
        <w:rPr>
          <w:rStyle w:val="Accentuation"/>
          <w:rFonts w:ascii="Garamond" w:hAnsi="Garamond"/>
          <w:sz w:val="18"/>
          <w:szCs w:val="18"/>
          <w:lang w:val="en-GB"/>
        </w:rPr>
        <w:t xml:space="preserve">Chevron U.S.A. Inc. v. Natural Resources </w:t>
      </w:r>
      <w:proofErr w:type="spellStart"/>
      <w:r w:rsidRPr="00F017DC">
        <w:rPr>
          <w:rStyle w:val="Accentuation"/>
          <w:rFonts w:ascii="Garamond" w:hAnsi="Garamond"/>
          <w:sz w:val="18"/>
          <w:szCs w:val="18"/>
          <w:lang w:val="en-GB"/>
        </w:rPr>
        <w:t>Defense</w:t>
      </w:r>
      <w:proofErr w:type="spellEnd"/>
      <w:r w:rsidRPr="00F017DC">
        <w:rPr>
          <w:rStyle w:val="Accentuation"/>
          <w:rFonts w:ascii="Garamond" w:hAnsi="Garamond"/>
          <w:sz w:val="18"/>
          <w:szCs w:val="18"/>
          <w:lang w:val="en-GB"/>
        </w:rPr>
        <w:t xml:space="preserve"> Council,</w:t>
      </w:r>
      <w:r w:rsidRPr="00F017DC">
        <w:rPr>
          <w:rStyle w:val="expandableitem"/>
          <w:rFonts w:ascii="Garamond" w:hAnsi="Garamond"/>
          <w:sz w:val="18"/>
          <w:szCs w:val="18"/>
          <w:lang w:val="en-GB"/>
        </w:rPr>
        <w:t xml:space="preserve"> 467 U.S. 837.</w:t>
      </w:r>
    </w:p>
  </w:footnote>
  <w:footnote w:id="53">
    <w:p w14:paraId="456147EA" w14:textId="4C01CCDC" w:rsidR="00E730DF" w:rsidRPr="00F017DC" w:rsidRDefault="00E730DF" w:rsidP="00F56AD9">
      <w:pPr>
        <w:pStyle w:val="Notedebasdepage"/>
        <w:jc w:val="both"/>
        <w:rPr>
          <w:rFonts w:ascii="Garamond" w:hAnsi="Garamond"/>
          <w:sz w:val="18"/>
          <w:szCs w:val="18"/>
          <w:lang w:val="en-US"/>
        </w:rPr>
      </w:pPr>
      <w:r w:rsidRPr="00F017DC">
        <w:rPr>
          <w:rStyle w:val="Appelnotedebasdep"/>
          <w:rFonts w:ascii="Garamond" w:hAnsi="Garamond"/>
          <w:sz w:val="18"/>
          <w:szCs w:val="18"/>
        </w:rPr>
        <w:footnoteRef/>
      </w:r>
      <w:r w:rsidRPr="00F017DC">
        <w:rPr>
          <w:rFonts w:ascii="Garamond" w:hAnsi="Garamond"/>
          <w:sz w:val="18"/>
          <w:szCs w:val="18"/>
          <w:lang w:val="en-US"/>
        </w:rPr>
        <w:t xml:space="preserve"> </w:t>
      </w:r>
      <w:r w:rsidRPr="00F017DC">
        <w:rPr>
          <w:rFonts w:ascii="Garamond" w:hAnsi="Garamond"/>
          <w:sz w:val="18"/>
          <w:szCs w:val="18"/>
          <w:lang w:val="en-US"/>
        </w:rPr>
        <w:tab/>
        <w:t>Comp. Court of Appeal 2</w:t>
      </w:r>
      <w:r w:rsidRPr="00F017DC">
        <w:rPr>
          <w:rFonts w:ascii="Garamond" w:hAnsi="Garamond"/>
          <w:sz w:val="18"/>
          <w:szCs w:val="18"/>
          <w:vertAlign w:val="superscript"/>
          <w:lang w:val="en-US"/>
        </w:rPr>
        <w:t>nd</w:t>
      </w:r>
      <w:r w:rsidRPr="00F017DC">
        <w:rPr>
          <w:rFonts w:ascii="Garamond" w:hAnsi="Garamond"/>
          <w:sz w:val="18"/>
          <w:szCs w:val="18"/>
          <w:lang w:val="en-US"/>
        </w:rPr>
        <w:t xml:space="preserve"> Circuit, 24 </w:t>
      </w:r>
      <w:proofErr w:type="spellStart"/>
      <w:r w:rsidRPr="00F017DC">
        <w:rPr>
          <w:rFonts w:ascii="Garamond" w:hAnsi="Garamond"/>
          <w:sz w:val="18"/>
          <w:szCs w:val="18"/>
          <w:lang w:val="en-US"/>
        </w:rPr>
        <w:t>août</w:t>
      </w:r>
      <w:proofErr w:type="spellEnd"/>
      <w:r w:rsidRPr="00F017DC">
        <w:rPr>
          <w:rFonts w:ascii="Garamond" w:hAnsi="Garamond"/>
          <w:sz w:val="18"/>
          <w:szCs w:val="18"/>
          <w:lang w:val="en-US"/>
        </w:rPr>
        <w:t xml:space="preserve"> 2018, </w:t>
      </w:r>
      <w:r w:rsidRPr="00F017DC">
        <w:rPr>
          <w:rFonts w:ascii="Garamond" w:hAnsi="Garamond"/>
          <w:i/>
          <w:iCs/>
          <w:sz w:val="18"/>
          <w:szCs w:val="18"/>
          <w:lang w:val="en-US"/>
        </w:rPr>
        <w:t>United States v. Hoskins</w:t>
      </w:r>
      <w:r w:rsidRPr="00F017DC">
        <w:rPr>
          <w:rFonts w:ascii="Garamond" w:hAnsi="Garamond"/>
          <w:sz w:val="18"/>
          <w:szCs w:val="18"/>
          <w:lang w:val="en-US"/>
        </w:rPr>
        <w:t> </w:t>
      </w:r>
      <w:r w:rsidR="00DA4538" w:rsidRPr="00F017DC">
        <w:rPr>
          <w:rFonts w:ascii="Garamond" w:hAnsi="Garamond"/>
          <w:sz w:val="18"/>
          <w:szCs w:val="18"/>
          <w:lang w:val="en-US"/>
        </w:rPr>
        <w:t>(FCPA</w:t>
      </w:r>
      <w:proofErr w:type="gramStart"/>
      <w:r w:rsidR="00DA4538" w:rsidRPr="00F017DC">
        <w:rPr>
          <w:rFonts w:ascii="Garamond" w:hAnsi="Garamond"/>
          <w:sz w:val="18"/>
          <w:szCs w:val="18"/>
          <w:lang w:val="en-US"/>
        </w:rPr>
        <w:t xml:space="preserve">) </w:t>
      </w:r>
      <w:r w:rsidRPr="00F017DC">
        <w:rPr>
          <w:rFonts w:ascii="Garamond" w:hAnsi="Garamond"/>
          <w:sz w:val="18"/>
          <w:szCs w:val="18"/>
          <w:lang w:val="en-US"/>
        </w:rPr>
        <w:t>:</w:t>
      </w:r>
      <w:proofErr w:type="gramEnd"/>
      <w:r w:rsidRPr="00F017DC">
        <w:rPr>
          <w:rFonts w:ascii="Garamond" w:hAnsi="Garamond"/>
          <w:sz w:val="18"/>
          <w:szCs w:val="18"/>
          <w:lang w:val="en-US"/>
        </w:rPr>
        <w:t xml:space="preserve"> « </w:t>
      </w:r>
      <w:r w:rsidRPr="00F017DC">
        <w:rPr>
          <w:rFonts w:ascii="Garamond" w:hAnsi="Garamond"/>
          <w:i/>
          <w:iCs/>
          <w:sz w:val="18"/>
          <w:szCs w:val="18"/>
          <w:lang w:val="en-US"/>
        </w:rPr>
        <w:t xml:space="preserve">It is a basic premise of our legal system that, in general, United States law governs domestically but does not rule the world. […] Courts will therefore not apply a U.S. law extraterritorially unless “the affirmative intention of the Congress [is] clearly expressed.” […] This </w:t>
      </w:r>
      <w:proofErr w:type="gramStart"/>
      <w:r w:rsidRPr="00F017DC">
        <w:rPr>
          <w:rFonts w:ascii="Garamond" w:hAnsi="Garamond"/>
          <w:i/>
          <w:iCs/>
          <w:sz w:val="18"/>
          <w:szCs w:val="18"/>
          <w:lang w:val="en-US"/>
        </w:rPr>
        <w:t>principle</w:t>
      </w:r>
      <w:proofErr w:type="gramEnd"/>
      <w:r w:rsidRPr="00F017DC">
        <w:rPr>
          <w:rFonts w:ascii="Garamond" w:hAnsi="Garamond"/>
          <w:i/>
          <w:iCs/>
          <w:sz w:val="18"/>
          <w:szCs w:val="18"/>
          <w:lang w:val="en-US"/>
        </w:rPr>
        <w:t xml:space="preserve"> stems from the risk of “unintended clashes between our laws and those of other nations which could result in international discord”.</w:t>
      </w:r>
      <w:r w:rsidRPr="00F017DC">
        <w:rPr>
          <w:rFonts w:ascii="Garamond" w:hAnsi="Garamond"/>
          <w:sz w:val="18"/>
          <w:szCs w:val="18"/>
          <w:lang w:val="en-US"/>
        </w:rPr>
        <w:t> »</w:t>
      </w:r>
    </w:p>
  </w:footnote>
  <w:footnote w:id="54">
    <w:p w14:paraId="47056278" w14:textId="057635CE" w:rsidR="004B287F" w:rsidRPr="00F017DC" w:rsidRDefault="004B287F" w:rsidP="00F56AD9">
      <w:pPr>
        <w:pStyle w:val="Notedebasdepage"/>
        <w:jc w:val="both"/>
        <w:rPr>
          <w:rFonts w:ascii="Garamond" w:hAnsi="Garamond"/>
          <w:sz w:val="18"/>
          <w:szCs w:val="18"/>
          <w:lang w:val="en-GB"/>
        </w:rPr>
      </w:pPr>
      <w:r w:rsidRPr="00F017DC">
        <w:rPr>
          <w:rStyle w:val="Appelnotedebasdep"/>
          <w:rFonts w:ascii="Garamond" w:hAnsi="Garamond"/>
          <w:sz w:val="18"/>
          <w:szCs w:val="18"/>
        </w:rPr>
        <w:footnoteRef/>
      </w:r>
      <w:r w:rsidRPr="00F017DC">
        <w:rPr>
          <w:rFonts w:ascii="Garamond" w:hAnsi="Garamond"/>
          <w:sz w:val="18"/>
          <w:szCs w:val="18"/>
          <w:lang w:val="en-GB"/>
        </w:rPr>
        <w:t xml:space="preserve"> </w:t>
      </w:r>
      <w:r w:rsidRPr="00F017DC">
        <w:rPr>
          <w:rFonts w:ascii="Garamond" w:hAnsi="Garamond"/>
          <w:sz w:val="18"/>
          <w:szCs w:val="18"/>
          <w:lang w:val="en-GB"/>
        </w:rPr>
        <w:tab/>
        <w:t xml:space="preserve">USSC 28 </w:t>
      </w:r>
      <w:proofErr w:type="spellStart"/>
      <w:r w:rsidRPr="00F017DC">
        <w:rPr>
          <w:rFonts w:ascii="Garamond" w:hAnsi="Garamond"/>
          <w:sz w:val="18"/>
          <w:szCs w:val="18"/>
          <w:lang w:val="en-GB"/>
        </w:rPr>
        <w:t>juin</w:t>
      </w:r>
      <w:proofErr w:type="spellEnd"/>
      <w:r w:rsidRPr="00F017DC">
        <w:rPr>
          <w:rFonts w:ascii="Garamond" w:hAnsi="Garamond"/>
          <w:sz w:val="18"/>
          <w:szCs w:val="18"/>
          <w:lang w:val="en-GB"/>
        </w:rPr>
        <w:t xml:space="preserve"> 2024, </w:t>
      </w:r>
      <w:r w:rsidRPr="00F017DC">
        <w:rPr>
          <w:rFonts w:ascii="Garamond" w:hAnsi="Garamond"/>
          <w:i/>
          <w:iCs/>
          <w:sz w:val="18"/>
          <w:szCs w:val="18"/>
          <w:lang w:val="en-GB"/>
        </w:rPr>
        <w:t>Loper Bright Enterprises v. Raimondo,</w:t>
      </w:r>
      <w:r w:rsidRPr="00F017DC">
        <w:rPr>
          <w:rFonts w:ascii="Garamond" w:hAnsi="Garamond"/>
          <w:sz w:val="18"/>
          <w:szCs w:val="18"/>
          <w:lang w:val="en-GB"/>
        </w:rPr>
        <w:t xml:space="preserve"> 603 U.S.XX</w:t>
      </w:r>
    </w:p>
  </w:footnote>
  <w:footnote w:id="55">
    <w:p w14:paraId="5C9C58BC" w14:textId="334325E2" w:rsidR="004B287F" w:rsidRPr="00F017DC" w:rsidRDefault="004B287F" w:rsidP="00F56AD9">
      <w:pPr>
        <w:pStyle w:val="Notedebasdepage"/>
        <w:jc w:val="both"/>
        <w:rPr>
          <w:rFonts w:ascii="Garamond" w:hAnsi="Garamond"/>
          <w:b/>
          <w:bCs/>
          <w:sz w:val="18"/>
          <w:szCs w:val="18"/>
          <w:lang w:val="en-GB"/>
        </w:rPr>
      </w:pPr>
      <w:r w:rsidRPr="00F017DC">
        <w:rPr>
          <w:rStyle w:val="Appelnotedebasdep"/>
          <w:rFonts w:ascii="Garamond" w:hAnsi="Garamond"/>
          <w:sz w:val="18"/>
          <w:szCs w:val="18"/>
        </w:rPr>
        <w:footnoteRef/>
      </w:r>
      <w:r w:rsidRPr="00F017DC">
        <w:rPr>
          <w:rFonts w:ascii="Garamond" w:hAnsi="Garamond"/>
          <w:sz w:val="18"/>
          <w:szCs w:val="18"/>
          <w:lang w:val="en-GB"/>
        </w:rPr>
        <w:t xml:space="preserve"> </w:t>
      </w:r>
      <w:r w:rsidRPr="00F017DC">
        <w:rPr>
          <w:rFonts w:ascii="Garamond" w:hAnsi="Garamond"/>
          <w:sz w:val="18"/>
          <w:szCs w:val="18"/>
          <w:lang w:val="en-GB"/>
        </w:rPr>
        <w:tab/>
        <w:t xml:space="preserve">Comp. W. S. Dodge, </w:t>
      </w:r>
      <w:r w:rsidR="00F72900" w:rsidRPr="00F017DC">
        <w:rPr>
          <w:rFonts w:ascii="Garamond" w:hAnsi="Garamond"/>
          <w:sz w:val="18"/>
          <w:szCs w:val="18"/>
          <w:lang w:val="en-GB"/>
        </w:rPr>
        <w:t>« Chevron Deference and Extraterritorial Regulation », 95 North Carolina Law Review 911, 2017 (</w:t>
      </w:r>
      <w:proofErr w:type="spellStart"/>
      <w:r w:rsidR="00F72900" w:rsidRPr="00F017DC">
        <w:rPr>
          <w:rFonts w:ascii="Garamond" w:hAnsi="Garamond"/>
          <w:sz w:val="18"/>
          <w:szCs w:val="18"/>
          <w:lang w:val="en-GB"/>
        </w:rPr>
        <w:t>en</w:t>
      </w:r>
      <w:proofErr w:type="spellEnd"/>
      <w:r w:rsidR="00F72900" w:rsidRPr="00F017DC">
        <w:rPr>
          <w:rFonts w:ascii="Garamond" w:hAnsi="Garamond"/>
          <w:sz w:val="18"/>
          <w:szCs w:val="18"/>
          <w:lang w:val="en-GB"/>
        </w:rPr>
        <w:t xml:space="preserve"> </w:t>
      </w:r>
      <w:proofErr w:type="spellStart"/>
      <w:r w:rsidR="00F72900" w:rsidRPr="00F017DC">
        <w:rPr>
          <w:rFonts w:ascii="Garamond" w:hAnsi="Garamond"/>
          <w:sz w:val="18"/>
          <w:szCs w:val="18"/>
          <w:lang w:val="en-GB"/>
        </w:rPr>
        <w:t>ligne</w:t>
      </w:r>
      <w:proofErr w:type="spellEnd"/>
      <w:r w:rsidR="00F72900" w:rsidRPr="00F017DC">
        <w:rPr>
          <w:rFonts w:ascii="Garamond" w:hAnsi="Garamond"/>
          <w:sz w:val="18"/>
          <w:szCs w:val="18"/>
          <w:lang w:val="en-GB"/>
        </w:rPr>
        <w:t>).</w:t>
      </w:r>
    </w:p>
  </w:footnote>
  <w:footnote w:id="56">
    <w:p w14:paraId="3F74FBBB" w14:textId="13837B21" w:rsidR="00F017DC" w:rsidRPr="00F017DC" w:rsidRDefault="00F017DC" w:rsidP="00F017DC">
      <w:pPr>
        <w:pStyle w:val="Notedebasdepage"/>
        <w:jc w:val="both"/>
        <w:rPr>
          <w:rFonts w:ascii="Garamond" w:hAnsi="Garamond"/>
          <w:sz w:val="18"/>
          <w:szCs w:val="18"/>
        </w:rPr>
      </w:pPr>
      <w:r w:rsidRPr="00F017DC">
        <w:rPr>
          <w:rStyle w:val="Appelnotedebasdep"/>
          <w:rFonts w:ascii="Garamond" w:hAnsi="Garamond"/>
          <w:sz w:val="18"/>
          <w:szCs w:val="18"/>
        </w:rPr>
        <w:footnoteRef/>
      </w:r>
      <w:r w:rsidRPr="006F7055">
        <w:rPr>
          <w:rFonts w:ascii="Garamond" w:hAnsi="Garamond"/>
          <w:sz w:val="18"/>
          <w:szCs w:val="18"/>
          <w:lang w:val="en-GB"/>
        </w:rPr>
        <w:t xml:space="preserve"> </w:t>
      </w:r>
      <w:r w:rsidRPr="006F7055">
        <w:rPr>
          <w:rFonts w:ascii="Garamond" w:hAnsi="Garamond"/>
          <w:sz w:val="18"/>
          <w:szCs w:val="18"/>
          <w:lang w:val="en-GB"/>
        </w:rPr>
        <w:tab/>
        <w:t xml:space="preserve">Comp. sur la mesure de l’efficacité des sanctions </w:t>
      </w:r>
      <w:proofErr w:type="gramStart"/>
      <w:r w:rsidRPr="006F7055">
        <w:rPr>
          <w:rFonts w:ascii="Garamond" w:hAnsi="Garamond"/>
          <w:sz w:val="18"/>
          <w:szCs w:val="18"/>
          <w:lang w:val="en-GB"/>
        </w:rPr>
        <w:t>économiques :</w:t>
      </w:r>
      <w:proofErr w:type="gramEnd"/>
      <w:r w:rsidRPr="006F7055">
        <w:rPr>
          <w:rFonts w:ascii="Garamond" w:hAnsi="Garamond"/>
          <w:sz w:val="18"/>
          <w:szCs w:val="18"/>
          <w:lang w:val="en-GB"/>
        </w:rPr>
        <w:t xml:space="preserve"> V. A. Demarais, </w:t>
      </w:r>
      <w:r w:rsidRPr="006F7055">
        <w:rPr>
          <w:rFonts w:ascii="Garamond" w:hAnsi="Garamond"/>
          <w:i/>
          <w:iCs/>
          <w:sz w:val="18"/>
          <w:szCs w:val="18"/>
          <w:lang w:val="en-GB"/>
        </w:rPr>
        <w:t>Backfire, How Sanctions Reshape the World against US Interests</w:t>
      </w:r>
      <w:r w:rsidRPr="006F7055">
        <w:rPr>
          <w:rFonts w:ascii="Garamond" w:hAnsi="Garamond"/>
          <w:sz w:val="18"/>
          <w:szCs w:val="18"/>
          <w:lang w:val="en-GB"/>
        </w:rPr>
        <w:t xml:space="preserve">, Columbia University Press, New York, 2022, </w:t>
      </w:r>
      <w:bookmarkStart w:id="19" w:name="_Hlk132828091"/>
      <w:r w:rsidRPr="006F7055">
        <w:rPr>
          <w:rFonts w:ascii="Garamond" w:hAnsi="Garamond"/>
          <w:sz w:val="18"/>
          <w:szCs w:val="18"/>
          <w:lang w:val="en-GB"/>
        </w:rPr>
        <w:t>Ch. </w:t>
      </w:r>
      <w:r w:rsidRPr="00F017DC">
        <w:rPr>
          <w:rFonts w:ascii="Garamond" w:hAnsi="Garamond"/>
          <w:sz w:val="18"/>
          <w:szCs w:val="18"/>
        </w:rPr>
        <w:t>Gomez, « Les sanctions internationales, ou la délicate mesure de l’efficacité », Revue Internationale et Stratégique, 2016/3, n</w:t>
      </w:r>
      <w:r w:rsidRPr="00F017DC">
        <w:rPr>
          <w:rFonts w:ascii="Garamond" w:hAnsi="Garamond"/>
          <w:sz w:val="18"/>
          <w:szCs w:val="18"/>
          <w:vertAlign w:val="superscript"/>
        </w:rPr>
        <w:t>o</w:t>
      </w:r>
      <w:r w:rsidRPr="00F017DC">
        <w:rPr>
          <w:rFonts w:ascii="Garamond" w:hAnsi="Garamond"/>
          <w:sz w:val="18"/>
          <w:szCs w:val="18"/>
        </w:rPr>
        <w:t> 103, p. 98.</w:t>
      </w:r>
      <w:bookmarkEnd w:id="19"/>
    </w:p>
  </w:footnote>
  <w:footnote w:id="57">
    <w:p w14:paraId="1C2822E0" w14:textId="47BBDCA0" w:rsidR="005F767C" w:rsidRPr="00F017DC" w:rsidRDefault="005F767C" w:rsidP="00F56AD9">
      <w:pPr>
        <w:pStyle w:val="Notedebasdepage"/>
        <w:jc w:val="both"/>
        <w:rPr>
          <w:rFonts w:ascii="Garamond" w:hAnsi="Garamond"/>
          <w:sz w:val="18"/>
          <w:szCs w:val="18"/>
          <w:lang w:val="en-GB"/>
        </w:rPr>
      </w:pPr>
      <w:r w:rsidRPr="00F017DC">
        <w:rPr>
          <w:rStyle w:val="Appelnotedebasdep"/>
          <w:rFonts w:ascii="Garamond" w:hAnsi="Garamond"/>
          <w:sz w:val="18"/>
          <w:szCs w:val="18"/>
        </w:rPr>
        <w:footnoteRef/>
      </w:r>
      <w:r w:rsidRPr="00F017DC">
        <w:rPr>
          <w:rFonts w:ascii="Garamond" w:hAnsi="Garamond"/>
          <w:sz w:val="18"/>
          <w:szCs w:val="18"/>
          <w:lang w:val="en-GB"/>
        </w:rPr>
        <w:t xml:space="preserve"> </w:t>
      </w:r>
      <w:bookmarkStart w:id="20" w:name="_Hlk132099784"/>
      <w:r w:rsidRPr="00F017DC">
        <w:rPr>
          <w:rFonts w:ascii="Garamond" w:hAnsi="Garamond"/>
          <w:sz w:val="18"/>
          <w:szCs w:val="18"/>
          <w:lang w:val="en-GB"/>
        </w:rPr>
        <w:tab/>
        <w:t>USSC, 15 </w:t>
      </w:r>
      <w:proofErr w:type="spellStart"/>
      <w:r w:rsidRPr="00F017DC">
        <w:rPr>
          <w:rFonts w:ascii="Garamond" w:hAnsi="Garamond"/>
          <w:sz w:val="18"/>
          <w:szCs w:val="18"/>
          <w:lang w:val="en-GB"/>
        </w:rPr>
        <w:t>juin</w:t>
      </w:r>
      <w:proofErr w:type="spellEnd"/>
      <w:r w:rsidRPr="00F017DC">
        <w:rPr>
          <w:rFonts w:ascii="Garamond" w:hAnsi="Garamond"/>
          <w:sz w:val="18"/>
          <w:szCs w:val="18"/>
          <w:lang w:val="en-GB"/>
        </w:rPr>
        <w:t xml:space="preserve"> 1987, </w:t>
      </w:r>
      <w:r w:rsidRPr="00F017DC">
        <w:rPr>
          <w:rFonts w:ascii="Garamond" w:hAnsi="Garamond"/>
          <w:i/>
          <w:iCs/>
          <w:sz w:val="18"/>
          <w:szCs w:val="18"/>
          <w:lang w:val="en-GB"/>
        </w:rPr>
        <w:t>Aerospatiale v. U. S District Court</w:t>
      </w:r>
      <w:r w:rsidRPr="00F017DC">
        <w:rPr>
          <w:rFonts w:ascii="Garamond" w:hAnsi="Garamond"/>
          <w:sz w:val="18"/>
          <w:szCs w:val="18"/>
          <w:lang w:val="en-GB"/>
        </w:rPr>
        <w:t>, 482 U.S. 522, 1987 sp. p. 6.</w:t>
      </w:r>
      <w:bookmarkEnd w:id="20"/>
    </w:p>
  </w:footnote>
  <w:footnote w:id="58">
    <w:p w14:paraId="616E0359" w14:textId="462E61DD" w:rsidR="005F767C" w:rsidRPr="00F017DC" w:rsidRDefault="005F767C"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Cf. A. Bianchi,</w:t>
      </w:r>
      <w:r w:rsidRPr="00F017DC">
        <w:rPr>
          <w:rFonts w:ascii="Garamond" w:hAnsi="Garamond"/>
          <w:i/>
          <w:iCs/>
          <w:sz w:val="18"/>
          <w:szCs w:val="18"/>
        </w:rPr>
        <w:t xml:space="preserve"> </w:t>
      </w:r>
      <w:r w:rsidRPr="00F017DC">
        <w:rPr>
          <w:rFonts w:ascii="Garamond" w:hAnsi="Garamond"/>
          <w:sz w:val="18"/>
          <w:szCs w:val="18"/>
        </w:rPr>
        <w:t>« L'immunité des États et les violations graves des droits de l'homme : la fonction de l'interprète dans la détermination du droit international »,</w:t>
      </w:r>
      <w:r w:rsidRPr="00F017DC">
        <w:rPr>
          <w:rFonts w:ascii="Garamond" w:hAnsi="Garamond"/>
          <w:i/>
          <w:iCs/>
          <w:sz w:val="18"/>
          <w:szCs w:val="18"/>
        </w:rPr>
        <w:t xml:space="preserve"> </w:t>
      </w:r>
      <w:r w:rsidRPr="00F017DC">
        <w:rPr>
          <w:rFonts w:ascii="Garamond" w:hAnsi="Garamond"/>
          <w:sz w:val="18"/>
          <w:szCs w:val="18"/>
        </w:rPr>
        <w:t>RGDIP 2004, p. 63</w:t>
      </w:r>
      <w:r w:rsidRPr="00F017DC">
        <w:rPr>
          <w:rFonts w:ascii="Garamond" w:hAnsi="Garamond"/>
          <w:i/>
          <w:iCs/>
          <w:sz w:val="18"/>
          <w:szCs w:val="18"/>
        </w:rPr>
        <w:t xml:space="preserve">, </w:t>
      </w:r>
      <w:r w:rsidRPr="00F017DC">
        <w:rPr>
          <w:rFonts w:ascii="Garamond" w:hAnsi="Garamond"/>
          <w:sz w:val="18"/>
          <w:szCs w:val="18"/>
        </w:rPr>
        <w:t xml:space="preserve">Ch. </w:t>
      </w:r>
      <w:proofErr w:type="spellStart"/>
      <w:r w:rsidRPr="00F017DC">
        <w:rPr>
          <w:rFonts w:ascii="Garamond" w:hAnsi="Garamond"/>
          <w:sz w:val="18"/>
          <w:szCs w:val="18"/>
        </w:rPr>
        <w:t>Tomuschat</w:t>
      </w:r>
      <w:proofErr w:type="spellEnd"/>
      <w:r w:rsidRPr="00F017DC">
        <w:rPr>
          <w:rFonts w:ascii="Garamond" w:hAnsi="Garamond"/>
          <w:i/>
          <w:iCs/>
          <w:sz w:val="18"/>
          <w:szCs w:val="18"/>
        </w:rPr>
        <w:t xml:space="preserve">, </w:t>
      </w:r>
      <w:r w:rsidRPr="00F017DC">
        <w:rPr>
          <w:rFonts w:ascii="Garamond" w:hAnsi="Garamond"/>
          <w:sz w:val="18"/>
          <w:szCs w:val="18"/>
        </w:rPr>
        <w:t>«</w:t>
      </w:r>
      <w:r w:rsidRPr="00F017DC">
        <w:rPr>
          <w:rFonts w:ascii="Garamond" w:hAnsi="Garamond"/>
          <w:i/>
          <w:iCs/>
          <w:sz w:val="18"/>
          <w:szCs w:val="18"/>
        </w:rPr>
        <w:t> </w:t>
      </w:r>
      <w:r w:rsidRPr="00F017DC">
        <w:rPr>
          <w:rFonts w:ascii="Garamond" w:hAnsi="Garamond"/>
          <w:sz w:val="18"/>
          <w:szCs w:val="18"/>
        </w:rPr>
        <w:t>L'immunité des États en cas de violations graves des droits de l'homme »</w:t>
      </w:r>
      <w:r w:rsidRPr="00F017DC">
        <w:rPr>
          <w:rFonts w:ascii="Garamond" w:hAnsi="Garamond"/>
          <w:i/>
          <w:iCs/>
          <w:sz w:val="18"/>
          <w:szCs w:val="18"/>
        </w:rPr>
        <w:t xml:space="preserve">, </w:t>
      </w:r>
      <w:r w:rsidRPr="00F017DC">
        <w:rPr>
          <w:rFonts w:ascii="Garamond" w:hAnsi="Garamond"/>
          <w:sz w:val="18"/>
          <w:szCs w:val="18"/>
        </w:rPr>
        <w:t>RGDIP 2005, p. 51</w:t>
      </w:r>
      <w:r w:rsidRPr="00F017DC">
        <w:rPr>
          <w:rFonts w:ascii="Garamond" w:hAnsi="Garamond"/>
          <w:i/>
          <w:iCs/>
          <w:sz w:val="18"/>
          <w:szCs w:val="18"/>
        </w:rPr>
        <w:t xml:space="preserve">, </w:t>
      </w:r>
      <w:r w:rsidRPr="00F017DC">
        <w:rPr>
          <w:rFonts w:ascii="Garamond" w:hAnsi="Garamond"/>
          <w:sz w:val="18"/>
          <w:szCs w:val="18"/>
        </w:rPr>
        <w:t xml:space="preserve">C. </w:t>
      </w:r>
      <w:proofErr w:type="spellStart"/>
      <w:r w:rsidRPr="00F017DC">
        <w:rPr>
          <w:rFonts w:ascii="Garamond" w:hAnsi="Garamond"/>
          <w:sz w:val="18"/>
          <w:szCs w:val="18"/>
        </w:rPr>
        <w:t>Focarelli</w:t>
      </w:r>
      <w:proofErr w:type="spellEnd"/>
      <w:r w:rsidRPr="00F017DC">
        <w:rPr>
          <w:rFonts w:ascii="Garamond" w:hAnsi="Garamond"/>
          <w:i/>
          <w:iCs/>
          <w:sz w:val="18"/>
          <w:szCs w:val="18"/>
        </w:rPr>
        <w:t xml:space="preserve">, </w:t>
      </w:r>
      <w:r w:rsidRPr="00F017DC">
        <w:rPr>
          <w:rFonts w:ascii="Garamond" w:hAnsi="Garamond"/>
          <w:sz w:val="18"/>
          <w:szCs w:val="18"/>
        </w:rPr>
        <w:t xml:space="preserve">« Immunités et </w:t>
      </w:r>
      <w:r w:rsidRPr="00F017DC">
        <w:rPr>
          <w:rFonts w:ascii="Garamond" w:hAnsi="Garamond"/>
          <w:i/>
          <w:iCs/>
          <w:sz w:val="18"/>
          <w:szCs w:val="18"/>
        </w:rPr>
        <w:t>jus cogens</w:t>
      </w:r>
      <w:r w:rsidRPr="00F017DC">
        <w:rPr>
          <w:rFonts w:ascii="Garamond" w:hAnsi="Garamond"/>
          <w:sz w:val="18"/>
          <w:szCs w:val="18"/>
        </w:rPr>
        <w:t xml:space="preserve"> : la dynamique du droit international et la fonction du </w:t>
      </w:r>
      <w:r w:rsidRPr="00F017DC">
        <w:rPr>
          <w:rFonts w:ascii="Garamond" w:hAnsi="Garamond"/>
          <w:i/>
          <w:sz w:val="18"/>
          <w:szCs w:val="18"/>
        </w:rPr>
        <w:t>jus cogens</w:t>
      </w:r>
      <w:r w:rsidRPr="00F017DC">
        <w:rPr>
          <w:rFonts w:ascii="Garamond" w:hAnsi="Garamond"/>
          <w:sz w:val="18"/>
          <w:szCs w:val="18"/>
        </w:rPr>
        <w:t xml:space="preserve"> dans le processus de changement de la règle sur l'immunité juridictionnelle des États étrangers »,</w:t>
      </w:r>
      <w:r w:rsidRPr="00F017DC">
        <w:rPr>
          <w:rFonts w:ascii="Garamond" w:hAnsi="Garamond"/>
          <w:i/>
          <w:iCs/>
          <w:sz w:val="18"/>
          <w:szCs w:val="18"/>
        </w:rPr>
        <w:t xml:space="preserve"> </w:t>
      </w:r>
      <w:r w:rsidRPr="00F017DC">
        <w:rPr>
          <w:rFonts w:ascii="Garamond" w:hAnsi="Garamond"/>
          <w:sz w:val="18"/>
          <w:szCs w:val="18"/>
        </w:rPr>
        <w:t>RGDIP 2008, p. 769</w:t>
      </w:r>
      <w:r w:rsidRPr="00F017DC">
        <w:rPr>
          <w:rFonts w:ascii="Garamond" w:hAnsi="Garamond"/>
          <w:i/>
          <w:iCs/>
          <w:sz w:val="18"/>
          <w:szCs w:val="18"/>
        </w:rPr>
        <w:t>.</w:t>
      </w:r>
    </w:p>
  </w:footnote>
  <w:footnote w:id="59">
    <w:p w14:paraId="54835A0D" w14:textId="7C6D2A2E" w:rsidR="005F767C" w:rsidRPr="00F017DC" w:rsidRDefault="005F767C"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 xml:space="preserve">Par exemple, devant un juge étatique, dans le développement de l’affaire </w:t>
      </w:r>
      <w:r w:rsidRPr="00F017DC">
        <w:rPr>
          <w:rFonts w:ascii="Garamond" w:hAnsi="Garamond"/>
          <w:i/>
          <w:iCs/>
          <w:sz w:val="18"/>
          <w:szCs w:val="18"/>
        </w:rPr>
        <w:t>Peterson</w:t>
      </w:r>
      <w:r w:rsidRPr="00F017DC">
        <w:rPr>
          <w:rFonts w:ascii="Garamond" w:hAnsi="Garamond"/>
          <w:sz w:val="18"/>
          <w:szCs w:val="18"/>
        </w:rPr>
        <w:t xml:space="preserve"> aux États-Unis : cf. </w:t>
      </w:r>
      <w:r w:rsidRPr="00F017DC">
        <w:rPr>
          <w:rFonts w:ascii="Garamond" w:hAnsi="Garamond"/>
          <w:i/>
          <w:iCs/>
          <w:sz w:val="18"/>
          <w:szCs w:val="18"/>
        </w:rPr>
        <w:t xml:space="preserve">infra, </w:t>
      </w:r>
      <w:r w:rsidRPr="00F017DC">
        <w:rPr>
          <w:rFonts w:ascii="Garamond" w:hAnsi="Garamond"/>
          <w:sz w:val="18"/>
          <w:szCs w:val="18"/>
        </w:rPr>
        <w:t>n° 84.</w:t>
      </w:r>
    </w:p>
  </w:footnote>
  <w:footnote w:id="60">
    <w:p w14:paraId="3C034012" w14:textId="7BFD8FFC" w:rsidR="005F767C" w:rsidRPr="00503E68" w:rsidRDefault="005F767C"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 xml:space="preserve">Cf. A. de Nanteuil, « L'application en France des règles internationales relatives aux immunités », </w:t>
      </w:r>
      <w:r w:rsidRPr="00F017DC">
        <w:rPr>
          <w:rStyle w:val="srvrLnk0"/>
          <w:rFonts w:ascii="Garamond" w:hAnsi="Garamond"/>
          <w:sz w:val="18"/>
          <w:szCs w:val="18"/>
        </w:rPr>
        <w:t>AFDI 2010, p. 807.</w:t>
      </w:r>
      <w:r w:rsidR="00A52E52" w:rsidRPr="00F017DC">
        <w:rPr>
          <w:rStyle w:val="srvrLnk0"/>
          <w:rFonts w:ascii="Garamond" w:hAnsi="Garamond"/>
          <w:sz w:val="18"/>
          <w:szCs w:val="18"/>
        </w:rPr>
        <w:t xml:space="preserve"> </w:t>
      </w:r>
    </w:p>
  </w:footnote>
  <w:footnote w:id="61">
    <w:p w14:paraId="63BDCD20" w14:textId="1A8A2D12" w:rsidR="005F767C" w:rsidRPr="00F017DC" w:rsidRDefault="005F767C"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 xml:space="preserve">CEDH, 23 mars 2010, </w:t>
      </w:r>
      <w:proofErr w:type="spellStart"/>
      <w:r w:rsidRPr="00F017DC">
        <w:rPr>
          <w:rFonts w:ascii="Garamond" w:hAnsi="Garamond"/>
          <w:i/>
          <w:iCs/>
          <w:sz w:val="18"/>
          <w:szCs w:val="18"/>
        </w:rPr>
        <w:t>Cudak</w:t>
      </w:r>
      <w:proofErr w:type="spellEnd"/>
      <w:r w:rsidRPr="00F017DC">
        <w:rPr>
          <w:rFonts w:ascii="Garamond" w:hAnsi="Garamond"/>
          <w:i/>
          <w:iCs/>
          <w:sz w:val="18"/>
          <w:szCs w:val="18"/>
        </w:rPr>
        <w:t xml:space="preserve"> c. Lituanie</w:t>
      </w:r>
      <w:r w:rsidRPr="00F017DC">
        <w:rPr>
          <w:rFonts w:ascii="Garamond" w:hAnsi="Garamond"/>
          <w:sz w:val="18"/>
          <w:szCs w:val="18"/>
        </w:rPr>
        <w:t xml:space="preserve">, n° 15869/02 ; CADH, 29 juin 2011, </w:t>
      </w:r>
      <w:proofErr w:type="spellStart"/>
      <w:r w:rsidRPr="00F017DC">
        <w:rPr>
          <w:rFonts w:ascii="Garamond" w:hAnsi="Garamond"/>
          <w:i/>
          <w:iCs/>
          <w:sz w:val="18"/>
          <w:szCs w:val="18"/>
        </w:rPr>
        <w:t>Sabeh</w:t>
      </w:r>
      <w:proofErr w:type="spellEnd"/>
      <w:r w:rsidRPr="00F017DC">
        <w:rPr>
          <w:rFonts w:ascii="Garamond" w:hAnsi="Garamond"/>
          <w:i/>
          <w:iCs/>
          <w:sz w:val="18"/>
          <w:szCs w:val="18"/>
        </w:rPr>
        <w:t xml:space="preserve"> el </w:t>
      </w:r>
      <w:proofErr w:type="spellStart"/>
      <w:r w:rsidRPr="00F017DC">
        <w:rPr>
          <w:rFonts w:ascii="Garamond" w:hAnsi="Garamond"/>
          <w:i/>
          <w:iCs/>
          <w:sz w:val="18"/>
          <w:szCs w:val="18"/>
        </w:rPr>
        <w:t>Leil</w:t>
      </w:r>
      <w:proofErr w:type="spellEnd"/>
      <w:r w:rsidRPr="00F017DC">
        <w:rPr>
          <w:rFonts w:ascii="Garamond" w:hAnsi="Garamond"/>
          <w:i/>
          <w:iCs/>
          <w:sz w:val="18"/>
          <w:szCs w:val="18"/>
        </w:rPr>
        <w:t xml:space="preserve"> c. France</w:t>
      </w:r>
      <w:r w:rsidRPr="00F017DC">
        <w:rPr>
          <w:rFonts w:ascii="Garamond" w:hAnsi="Garamond"/>
          <w:sz w:val="18"/>
          <w:szCs w:val="18"/>
        </w:rPr>
        <w:t>, n° 34869/05.</w:t>
      </w:r>
    </w:p>
  </w:footnote>
  <w:footnote w:id="62">
    <w:p w14:paraId="3A40C5B9" w14:textId="656EE726" w:rsidR="005F767C" w:rsidRPr="00F017DC" w:rsidRDefault="005F767C" w:rsidP="00F56AD9">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 xml:space="preserve">CIJ, 3 févr. 2012, </w:t>
      </w:r>
      <w:r w:rsidRPr="00F017DC">
        <w:rPr>
          <w:rFonts w:ascii="Garamond" w:hAnsi="Garamond"/>
          <w:i/>
          <w:iCs/>
          <w:sz w:val="18"/>
          <w:szCs w:val="18"/>
        </w:rPr>
        <w:t>Immunités juridictionnelles des États, Allemagne c/ Italie ; Grèce (intervenant)</w:t>
      </w:r>
      <w:r w:rsidRPr="00F017DC">
        <w:rPr>
          <w:rFonts w:ascii="Garamond" w:hAnsi="Garamond"/>
          <w:sz w:val="18"/>
          <w:szCs w:val="18"/>
        </w:rPr>
        <w:t>, n° 60 et 77.</w:t>
      </w:r>
      <w:r w:rsidR="00F56AD9" w:rsidRPr="00F017DC">
        <w:rPr>
          <w:rFonts w:ascii="Garamond" w:hAnsi="Garamond"/>
          <w:sz w:val="18"/>
          <w:szCs w:val="18"/>
        </w:rPr>
        <w:t xml:space="preserve"> Cf. </w:t>
      </w:r>
      <w:r w:rsidR="00F56AD9" w:rsidRPr="00F017DC">
        <w:rPr>
          <w:rStyle w:val="editable"/>
          <w:rFonts w:ascii="Garamond" w:hAnsi="Garamond"/>
          <w:sz w:val="18"/>
          <w:szCs w:val="18"/>
        </w:rPr>
        <w:t>H. Muir Watt « Les droits fondamentaux devant les juges nationaux à l'épreuve des immunités juridictionnelles »,</w:t>
      </w:r>
      <w:r w:rsidR="00F56AD9" w:rsidRPr="00F017DC">
        <w:rPr>
          <w:rStyle w:val="editable"/>
          <w:rFonts w:ascii="Garamond" w:hAnsi="Garamond"/>
          <w:i/>
          <w:iCs/>
          <w:sz w:val="18"/>
          <w:szCs w:val="18"/>
        </w:rPr>
        <w:t xml:space="preserve"> </w:t>
      </w:r>
      <w:proofErr w:type="spellStart"/>
      <w:r w:rsidR="00F56AD9" w:rsidRPr="00F017DC">
        <w:rPr>
          <w:rStyle w:val="srvrLnk0"/>
          <w:rFonts w:ascii="Garamond" w:hAnsi="Garamond"/>
          <w:sz w:val="18"/>
          <w:szCs w:val="18"/>
        </w:rPr>
        <w:t>Rev</w:t>
      </w:r>
      <w:proofErr w:type="spellEnd"/>
      <w:r w:rsidR="00F56AD9" w:rsidRPr="00F017DC">
        <w:rPr>
          <w:rStyle w:val="srvrLnk0"/>
          <w:rFonts w:ascii="Garamond" w:hAnsi="Garamond"/>
          <w:sz w:val="18"/>
          <w:szCs w:val="18"/>
        </w:rPr>
        <w:t xml:space="preserve">. </w:t>
      </w:r>
      <w:proofErr w:type="spellStart"/>
      <w:r w:rsidR="00F56AD9" w:rsidRPr="00F017DC">
        <w:rPr>
          <w:rStyle w:val="srvrLnk0"/>
          <w:rFonts w:ascii="Garamond" w:hAnsi="Garamond"/>
          <w:sz w:val="18"/>
          <w:szCs w:val="18"/>
        </w:rPr>
        <w:t>crit</w:t>
      </w:r>
      <w:proofErr w:type="spellEnd"/>
      <w:r w:rsidR="00F56AD9" w:rsidRPr="00F017DC">
        <w:rPr>
          <w:rStyle w:val="srvrLnk0"/>
          <w:rFonts w:ascii="Garamond" w:hAnsi="Garamond"/>
          <w:sz w:val="18"/>
          <w:szCs w:val="18"/>
        </w:rPr>
        <w:t xml:space="preserve">. DIP 2012, p. 539 </w:t>
      </w:r>
      <w:r w:rsidR="00F56AD9" w:rsidRPr="00F017DC">
        <w:rPr>
          <w:rFonts w:ascii="Garamond" w:hAnsi="Garamond"/>
          <w:sz w:val="18"/>
          <w:szCs w:val="18"/>
        </w:rPr>
        <w:t xml:space="preserve">; </w:t>
      </w:r>
      <w:r w:rsidR="00F56AD9" w:rsidRPr="00F017DC">
        <w:rPr>
          <w:rStyle w:val="srvrLnk0"/>
          <w:rFonts w:ascii="Garamond" w:hAnsi="Garamond"/>
          <w:sz w:val="18"/>
          <w:szCs w:val="18"/>
        </w:rPr>
        <w:t xml:space="preserve">J. </w:t>
      </w:r>
      <w:proofErr w:type="spellStart"/>
      <w:r w:rsidR="00F56AD9" w:rsidRPr="00F017DC">
        <w:rPr>
          <w:rStyle w:val="srvrLnk0"/>
          <w:rFonts w:ascii="Garamond" w:hAnsi="Garamond"/>
          <w:sz w:val="18"/>
          <w:szCs w:val="18"/>
        </w:rPr>
        <w:t>Chacornac</w:t>
      </w:r>
      <w:proofErr w:type="spellEnd"/>
      <w:r w:rsidR="00F56AD9" w:rsidRPr="00F017DC">
        <w:rPr>
          <w:rStyle w:val="srvrLnk0"/>
          <w:rFonts w:ascii="Garamond" w:hAnsi="Garamond"/>
          <w:sz w:val="18"/>
          <w:szCs w:val="18"/>
        </w:rPr>
        <w:t xml:space="preserve">, « Aporétique de la souveraineté au croisement des droits internationaux : pour la reconnaissance de l’exception de terrorisme en droit français des immunités, </w:t>
      </w:r>
      <w:r w:rsidR="00F56AD9" w:rsidRPr="00F017DC">
        <w:rPr>
          <w:rStyle w:val="srvrLnk0"/>
          <w:rFonts w:ascii="Garamond" w:hAnsi="Garamond"/>
          <w:i/>
          <w:iCs/>
          <w:sz w:val="18"/>
          <w:szCs w:val="18"/>
        </w:rPr>
        <w:t>Ecrits sans esprit de système</w:t>
      </w:r>
      <w:r w:rsidR="00F56AD9" w:rsidRPr="00F017DC">
        <w:rPr>
          <w:rStyle w:val="srvrLnk0"/>
          <w:rFonts w:ascii="Garamond" w:hAnsi="Garamond"/>
          <w:sz w:val="18"/>
          <w:szCs w:val="18"/>
        </w:rPr>
        <w:t xml:space="preserve">, </w:t>
      </w:r>
      <w:r w:rsidR="00F56AD9" w:rsidRPr="00F017DC">
        <w:rPr>
          <w:rStyle w:val="srvrLnk0"/>
          <w:rFonts w:ascii="Garamond" w:hAnsi="Garamond"/>
          <w:i/>
          <w:iCs/>
          <w:sz w:val="18"/>
          <w:szCs w:val="18"/>
        </w:rPr>
        <w:t xml:space="preserve">Mélanges Ph. </w:t>
      </w:r>
      <w:proofErr w:type="spellStart"/>
      <w:r w:rsidR="00F56AD9" w:rsidRPr="00F017DC">
        <w:rPr>
          <w:rStyle w:val="srvrLnk0"/>
          <w:rFonts w:ascii="Garamond" w:hAnsi="Garamond"/>
          <w:i/>
          <w:iCs/>
          <w:sz w:val="18"/>
          <w:szCs w:val="18"/>
        </w:rPr>
        <w:t>Delebecque</w:t>
      </w:r>
      <w:proofErr w:type="spellEnd"/>
      <w:r w:rsidR="00F56AD9" w:rsidRPr="00F017DC">
        <w:rPr>
          <w:rStyle w:val="srvrLnk0"/>
          <w:rFonts w:ascii="Garamond" w:hAnsi="Garamond"/>
          <w:sz w:val="18"/>
          <w:szCs w:val="18"/>
        </w:rPr>
        <w:t>, Dalloz 2024, p. 339.</w:t>
      </w:r>
    </w:p>
  </w:footnote>
  <w:footnote w:id="63">
    <w:p w14:paraId="06D5DC1D" w14:textId="59F79654" w:rsidR="00F56AD9" w:rsidRPr="00F017DC" w:rsidRDefault="00F56AD9" w:rsidP="00F56AD9">
      <w:pPr>
        <w:pStyle w:val="Notedebasdepage"/>
        <w:jc w:val="both"/>
        <w:rPr>
          <w:rFonts w:ascii="Garamond" w:hAnsi="Garamond"/>
          <w:i/>
          <w:iCs/>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r>
      <w:proofErr w:type="spellStart"/>
      <w:r w:rsidRPr="00F017DC">
        <w:rPr>
          <w:rFonts w:ascii="Garamond" w:hAnsi="Garamond"/>
          <w:sz w:val="18"/>
          <w:szCs w:val="18"/>
        </w:rPr>
        <w:t>Comp</w:t>
      </w:r>
      <w:proofErr w:type="spellEnd"/>
      <w:r w:rsidRPr="00F017DC">
        <w:rPr>
          <w:rFonts w:ascii="Garamond" w:hAnsi="Garamond"/>
          <w:sz w:val="18"/>
          <w:szCs w:val="18"/>
        </w:rPr>
        <w:t xml:space="preserve">. D. Mainguy, « Arbitrage et litige de guerre », </w:t>
      </w:r>
      <w:proofErr w:type="spellStart"/>
      <w:r w:rsidRPr="00F017DC">
        <w:rPr>
          <w:rFonts w:ascii="Garamond" w:hAnsi="Garamond"/>
          <w:sz w:val="18"/>
          <w:szCs w:val="18"/>
        </w:rPr>
        <w:t>préc</w:t>
      </w:r>
      <w:proofErr w:type="spellEnd"/>
      <w:r w:rsidRPr="00F017DC">
        <w:rPr>
          <w:rFonts w:ascii="Garamond" w:hAnsi="Garamond"/>
          <w:sz w:val="18"/>
          <w:szCs w:val="18"/>
        </w:rPr>
        <w:t xml:space="preserve">., </w:t>
      </w:r>
      <w:proofErr w:type="spellStart"/>
      <w:r w:rsidRPr="00F017DC">
        <w:rPr>
          <w:rFonts w:ascii="Garamond" w:hAnsi="Garamond"/>
          <w:sz w:val="18"/>
          <w:szCs w:val="18"/>
        </w:rPr>
        <w:t>sp</w:t>
      </w:r>
      <w:proofErr w:type="spellEnd"/>
      <w:r w:rsidRPr="00F017DC">
        <w:rPr>
          <w:rFonts w:ascii="Garamond" w:hAnsi="Garamond"/>
          <w:sz w:val="18"/>
          <w:szCs w:val="18"/>
        </w:rPr>
        <w:t>. n° 84.</w:t>
      </w:r>
    </w:p>
  </w:footnote>
  <w:footnote w:id="64">
    <w:p w14:paraId="52F919CC" w14:textId="35C40814" w:rsidR="00F56AD9" w:rsidRPr="00F017DC" w:rsidRDefault="00F56AD9" w:rsidP="00F017DC">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r>
      <w:r w:rsidRPr="00F017DC">
        <w:rPr>
          <w:rFonts w:ascii="Garamond" w:hAnsi="Garamond"/>
          <w:i/>
          <w:iCs/>
          <w:sz w:val="18"/>
          <w:szCs w:val="18"/>
        </w:rPr>
        <w:t xml:space="preserve">Peterson v. </w:t>
      </w:r>
      <w:proofErr w:type="spellStart"/>
      <w:r w:rsidRPr="00F017DC">
        <w:rPr>
          <w:rFonts w:ascii="Garamond" w:hAnsi="Garamond"/>
          <w:i/>
          <w:iCs/>
          <w:sz w:val="18"/>
          <w:szCs w:val="18"/>
        </w:rPr>
        <w:t>Islamic</w:t>
      </w:r>
      <w:proofErr w:type="spellEnd"/>
      <w:r w:rsidRPr="00F017DC">
        <w:rPr>
          <w:rFonts w:ascii="Garamond" w:hAnsi="Garamond"/>
          <w:i/>
          <w:iCs/>
          <w:sz w:val="18"/>
          <w:szCs w:val="18"/>
        </w:rPr>
        <w:t xml:space="preserve"> Republic of Iran</w:t>
      </w:r>
      <w:r w:rsidRPr="00F017DC">
        <w:rPr>
          <w:rFonts w:ascii="Garamond" w:hAnsi="Garamond"/>
          <w:sz w:val="18"/>
          <w:szCs w:val="18"/>
        </w:rPr>
        <w:t xml:space="preserve">, 264 F. Supp. 2d 46, 61 (D.D.C 2003) ; </w:t>
      </w:r>
      <w:r w:rsidRPr="00F017DC">
        <w:rPr>
          <w:rStyle w:val="serif"/>
          <w:rFonts w:ascii="Garamond" w:hAnsi="Garamond"/>
          <w:i/>
          <w:iCs/>
          <w:sz w:val="18"/>
          <w:szCs w:val="18"/>
        </w:rPr>
        <w:t xml:space="preserve">Peterson v. </w:t>
      </w:r>
      <w:proofErr w:type="spellStart"/>
      <w:r w:rsidRPr="00F017DC">
        <w:rPr>
          <w:rStyle w:val="serif"/>
          <w:rFonts w:ascii="Garamond" w:hAnsi="Garamond"/>
          <w:i/>
          <w:iCs/>
          <w:sz w:val="18"/>
          <w:szCs w:val="18"/>
        </w:rPr>
        <w:t>Islamic</w:t>
      </w:r>
      <w:proofErr w:type="spellEnd"/>
      <w:r w:rsidRPr="00F017DC">
        <w:rPr>
          <w:rStyle w:val="serif"/>
          <w:rFonts w:ascii="Garamond" w:hAnsi="Garamond"/>
          <w:i/>
          <w:iCs/>
          <w:sz w:val="18"/>
          <w:szCs w:val="18"/>
        </w:rPr>
        <w:t xml:space="preserve"> Republic of Iran</w:t>
      </w:r>
      <w:r w:rsidRPr="00F017DC">
        <w:rPr>
          <w:rStyle w:val="serif"/>
          <w:rFonts w:ascii="Garamond" w:hAnsi="Garamond"/>
          <w:sz w:val="18"/>
          <w:szCs w:val="18"/>
        </w:rPr>
        <w:t xml:space="preserve">, 13-cv-9195 (KBF) (S.D.N.Y. </w:t>
      </w:r>
      <w:proofErr w:type="spellStart"/>
      <w:r w:rsidRPr="00F017DC">
        <w:rPr>
          <w:rStyle w:val="serif"/>
          <w:rFonts w:ascii="Garamond" w:hAnsi="Garamond"/>
          <w:sz w:val="18"/>
          <w:szCs w:val="18"/>
        </w:rPr>
        <w:t>Feb</w:t>
      </w:r>
      <w:proofErr w:type="spellEnd"/>
      <w:r w:rsidRPr="00F017DC">
        <w:rPr>
          <w:rStyle w:val="serif"/>
          <w:rFonts w:ascii="Garamond" w:hAnsi="Garamond"/>
          <w:sz w:val="18"/>
          <w:szCs w:val="18"/>
        </w:rPr>
        <w:t>. 19, 2015)</w:t>
      </w:r>
      <w:r w:rsidRPr="00F017DC">
        <w:rPr>
          <w:rFonts w:ascii="Garamond" w:hAnsi="Garamond"/>
          <w:i/>
          <w:iCs/>
          <w:sz w:val="18"/>
          <w:szCs w:val="18"/>
        </w:rPr>
        <w:t xml:space="preserve">, </w:t>
      </w:r>
      <w:r w:rsidRPr="00F017DC">
        <w:rPr>
          <w:rFonts w:ascii="Garamond" w:hAnsi="Garamond"/>
          <w:sz w:val="18"/>
          <w:szCs w:val="18"/>
        </w:rPr>
        <w:t xml:space="preserve">rejet de la demande, </w:t>
      </w:r>
      <w:r w:rsidRPr="00F017DC">
        <w:rPr>
          <w:rStyle w:val="serif"/>
          <w:rFonts w:ascii="Garamond" w:hAnsi="Garamond"/>
          <w:i/>
          <w:iCs/>
          <w:sz w:val="18"/>
          <w:szCs w:val="18"/>
        </w:rPr>
        <w:t xml:space="preserve">Peterson v. </w:t>
      </w:r>
      <w:proofErr w:type="spellStart"/>
      <w:r w:rsidRPr="00F017DC">
        <w:rPr>
          <w:rStyle w:val="serif"/>
          <w:rFonts w:ascii="Garamond" w:hAnsi="Garamond"/>
          <w:i/>
          <w:iCs/>
          <w:sz w:val="18"/>
          <w:szCs w:val="18"/>
        </w:rPr>
        <w:t>Islamic</w:t>
      </w:r>
      <w:proofErr w:type="spellEnd"/>
      <w:r w:rsidRPr="00F017DC">
        <w:rPr>
          <w:rStyle w:val="serif"/>
          <w:rFonts w:ascii="Garamond" w:hAnsi="Garamond"/>
          <w:i/>
          <w:iCs/>
          <w:sz w:val="18"/>
          <w:szCs w:val="18"/>
        </w:rPr>
        <w:t xml:space="preserve"> Republic of Iran</w:t>
      </w:r>
      <w:r w:rsidRPr="00F017DC">
        <w:rPr>
          <w:rStyle w:val="serif"/>
          <w:rFonts w:ascii="Garamond" w:hAnsi="Garamond"/>
          <w:sz w:val="18"/>
          <w:szCs w:val="18"/>
        </w:rPr>
        <w:t xml:space="preserve">, 876 F.3d 63 (2d </w:t>
      </w:r>
      <w:proofErr w:type="spellStart"/>
      <w:r w:rsidRPr="00F017DC">
        <w:rPr>
          <w:rStyle w:val="serif"/>
          <w:rFonts w:ascii="Garamond" w:hAnsi="Garamond"/>
          <w:sz w:val="18"/>
          <w:szCs w:val="18"/>
        </w:rPr>
        <w:t>Cir</w:t>
      </w:r>
      <w:proofErr w:type="spellEnd"/>
      <w:r w:rsidRPr="00F017DC">
        <w:rPr>
          <w:rStyle w:val="serif"/>
          <w:rFonts w:ascii="Garamond" w:hAnsi="Garamond"/>
          <w:sz w:val="18"/>
          <w:szCs w:val="18"/>
        </w:rPr>
        <w:t xml:space="preserve">. 2017), </w:t>
      </w:r>
      <w:r w:rsidRPr="00F017DC">
        <w:rPr>
          <w:rStyle w:val="serif"/>
          <w:rFonts w:ascii="Garamond" w:hAnsi="Garamond"/>
          <w:i/>
          <w:iCs/>
          <w:sz w:val="18"/>
          <w:szCs w:val="18"/>
        </w:rPr>
        <w:t>Peterson II</w:t>
      </w:r>
      <w:r w:rsidRPr="00F017DC">
        <w:rPr>
          <w:rStyle w:val="serif"/>
          <w:rFonts w:ascii="Garamond" w:hAnsi="Garamond"/>
          <w:sz w:val="18"/>
          <w:szCs w:val="18"/>
        </w:rPr>
        <w:t xml:space="preserve"> : censure du premier jugement, </w:t>
      </w:r>
      <w:r w:rsidRPr="00F017DC">
        <w:rPr>
          <w:rStyle w:val="serif"/>
          <w:rFonts w:ascii="Garamond" w:hAnsi="Garamond"/>
          <w:i/>
          <w:iCs/>
          <w:sz w:val="18"/>
          <w:szCs w:val="18"/>
        </w:rPr>
        <w:t xml:space="preserve">Peterson v. </w:t>
      </w:r>
      <w:proofErr w:type="spellStart"/>
      <w:r w:rsidRPr="00F017DC">
        <w:rPr>
          <w:rStyle w:val="serif"/>
          <w:rFonts w:ascii="Garamond" w:hAnsi="Garamond"/>
          <w:i/>
          <w:iCs/>
          <w:sz w:val="18"/>
          <w:szCs w:val="18"/>
        </w:rPr>
        <w:t>Islamic</w:t>
      </w:r>
      <w:proofErr w:type="spellEnd"/>
      <w:r w:rsidRPr="00F017DC">
        <w:rPr>
          <w:rStyle w:val="serif"/>
          <w:rFonts w:ascii="Garamond" w:hAnsi="Garamond"/>
          <w:i/>
          <w:iCs/>
          <w:sz w:val="18"/>
          <w:szCs w:val="18"/>
        </w:rPr>
        <w:t xml:space="preserve"> Republic Iran</w:t>
      </w:r>
      <w:r w:rsidRPr="00F017DC">
        <w:rPr>
          <w:rStyle w:val="serif"/>
          <w:rFonts w:ascii="Garamond" w:hAnsi="Garamond"/>
          <w:sz w:val="18"/>
          <w:szCs w:val="18"/>
        </w:rPr>
        <w:t xml:space="preserve">, 963 F.3d 192 (2d </w:t>
      </w:r>
      <w:proofErr w:type="spellStart"/>
      <w:r w:rsidRPr="00F017DC">
        <w:rPr>
          <w:rStyle w:val="serif"/>
          <w:rFonts w:ascii="Garamond" w:hAnsi="Garamond"/>
          <w:sz w:val="18"/>
          <w:szCs w:val="18"/>
        </w:rPr>
        <w:t>Cir</w:t>
      </w:r>
      <w:proofErr w:type="spellEnd"/>
      <w:r w:rsidRPr="00F017DC">
        <w:rPr>
          <w:rStyle w:val="serif"/>
          <w:rFonts w:ascii="Garamond" w:hAnsi="Garamond"/>
          <w:sz w:val="18"/>
          <w:szCs w:val="18"/>
        </w:rPr>
        <w:t xml:space="preserve">. 2020), en </w:t>
      </w:r>
      <w:proofErr w:type="spellStart"/>
      <w:r w:rsidRPr="00F017DC">
        <w:rPr>
          <w:rStyle w:val="serif"/>
          <w:rFonts w:ascii="Garamond" w:hAnsi="Garamond"/>
          <w:i/>
          <w:iCs/>
          <w:sz w:val="18"/>
          <w:szCs w:val="18"/>
        </w:rPr>
        <w:t>remand</w:t>
      </w:r>
      <w:proofErr w:type="spellEnd"/>
      <w:r w:rsidRPr="00F017DC">
        <w:rPr>
          <w:rStyle w:val="serif"/>
          <w:rFonts w:ascii="Garamond" w:hAnsi="Garamond"/>
          <w:i/>
          <w:iCs/>
          <w:sz w:val="18"/>
          <w:szCs w:val="18"/>
        </w:rPr>
        <w:t xml:space="preserve"> </w:t>
      </w:r>
      <w:r w:rsidRPr="00F017DC">
        <w:rPr>
          <w:rStyle w:val="serif"/>
          <w:rFonts w:ascii="Garamond" w:hAnsi="Garamond"/>
          <w:sz w:val="18"/>
          <w:szCs w:val="18"/>
        </w:rPr>
        <w:t>(</w:t>
      </w:r>
      <w:r w:rsidRPr="00F017DC">
        <w:rPr>
          <w:rStyle w:val="serif"/>
          <w:rFonts w:ascii="Garamond" w:hAnsi="Garamond"/>
          <w:i/>
          <w:iCs/>
          <w:sz w:val="18"/>
          <w:szCs w:val="18"/>
        </w:rPr>
        <w:t>Peterson III</w:t>
      </w:r>
      <w:r w:rsidRPr="00F017DC">
        <w:rPr>
          <w:rStyle w:val="serif"/>
          <w:rFonts w:ascii="Garamond" w:hAnsi="Garamond"/>
          <w:sz w:val="18"/>
          <w:szCs w:val="18"/>
        </w:rPr>
        <w:t>)</w:t>
      </w:r>
      <w:r w:rsidRPr="00F017DC">
        <w:rPr>
          <w:rStyle w:val="serif"/>
          <w:rFonts w:ascii="Garamond" w:hAnsi="Garamond"/>
          <w:i/>
          <w:iCs/>
          <w:sz w:val="18"/>
          <w:szCs w:val="18"/>
        </w:rPr>
        <w:t xml:space="preserve">, </w:t>
      </w:r>
      <w:r w:rsidRPr="00F017DC">
        <w:rPr>
          <w:rStyle w:val="serif"/>
          <w:rFonts w:ascii="Garamond" w:hAnsi="Garamond"/>
          <w:sz w:val="18"/>
          <w:szCs w:val="18"/>
        </w:rPr>
        <w:t xml:space="preserve">après </w:t>
      </w:r>
      <w:r w:rsidRPr="00F017DC">
        <w:rPr>
          <w:rStyle w:val="serif"/>
          <w:rFonts w:ascii="Garamond" w:hAnsi="Garamond"/>
          <w:i/>
          <w:iCs/>
          <w:sz w:val="18"/>
          <w:szCs w:val="18"/>
        </w:rPr>
        <w:t xml:space="preserve">Bank </w:t>
      </w:r>
      <w:proofErr w:type="spellStart"/>
      <w:r w:rsidRPr="00F017DC">
        <w:rPr>
          <w:rStyle w:val="serif"/>
          <w:rFonts w:ascii="Garamond" w:hAnsi="Garamond"/>
          <w:i/>
          <w:iCs/>
          <w:sz w:val="18"/>
          <w:szCs w:val="18"/>
        </w:rPr>
        <w:t>Markazi</w:t>
      </w:r>
      <w:proofErr w:type="spellEnd"/>
      <w:r w:rsidRPr="00F017DC">
        <w:rPr>
          <w:rStyle w:val="serif"/>
          <w:rFonts w:ascii="Garamond" w:hAnsi="Garamond"/>
          <w:i/>
          <w:iCs/>
          <w:sz w:val="18"/>
          <w:szCs w:val="18"/>
        </w:rPr>
        <w:t xml:space="preserve"> v. Peterson</w:t>
      </w:r>
      <w:r w:rsidRPr="00F017DC">
        <w:rPr>
          <w:rStyle w:val="serif"/>
          <w:rFonts w:ascii="Garamond" w:hAnsi="Garamond"/>
          <w:sz w:val="18"/>
          <w:szCs w:val="18"/>
        </w:rPr>
        <w:t>, 140 S. Ct. 813, 205 L. Ed. 2d 450 (2020), pourvoi reçu “</w:t>
      </w:r>
      <w:proofErr w:type="spellStart"/>
      <w:r w:rsidRPr="00F017DC">
        <w:rPr>
          <w:rFonts w:ascii="Garamond" w:hAnsi="Garamond"/>
          <w:i/>
          <w:iCs/>
          <w:sz w:val="18"/>
          <w:szCs w:val="18"/>
        </w:rPr>
        <w:t>certiorari</w:t>
      </w:r>
      <w:proofErr w:type="spellEnd"/>
      <w:r w:rsidRPr="00F017DC">
        <w:rPr>
          <w:rStyle w:val="serif"/>
          <w:rFonts w:ascii="Garamond" w:hAnsi="Garamond"/>
          <w:sz w:val="18"/>
          <w:szCs w:val="18"/>
        </w:rPr>
        <w:t xml:space="preserve">”, et, finalement, </w:t>
      </w:r>
      <w:r w:rsidRPr="00F017DC">
        <w:rPr>
          <w:rStyle w:val="serif"/>
          <w:rFonts w:ascii="Garamond" w:hAnsi="Garamond"/>
          <w:i/>
          <w:iCs/>
          <w:sz w:val="18"/>
          <w:szCs w:val="18"/>
        </w:rPr>
        <w:t xml:space="preserve">Peterson v. </w:t>
      </w:r>
      <w:proofErr w:type="spellStart"/>
      <w:r w:rsidRPr="00F017DC">
        <w:rPr>
          <w:rStyle w:val="serif"/>
          <w:rFonts w:ascii="Garamond" w:hAnsi="Garamond"/>
          <w:i/>
          <w:iCs/>
          <w:sz w:val="18"/>
          <w:szCs w:val="18"/>
        </w:rPr>
        <w:t>Islamic</w:t>
      </w:r>
      <w:proofErr w:type="spellEnd"/>
      <w:r w:rsidRPr="00F017DC">
        <w:rPr>
          <w:rStyle w:val="serif"/>
          <w:rFonts w:ascii="Garamond" w:hAnsi="Garamond"/>
          <w:i/>
          <w:iCs/>
          <w:sz w:val="18"/>
          <w:szCs w:val="18"/>
        </w:rPr>
        <w:t xml:space="preserve"> Republic of Iran</w:t>
      </w:r>
      <w:r w:rsidRPr="00F017DC">
        <w:rPr>
          <w:rStyle w:val="serif"/>
          <w:rFonts w:ascii="Garamond" w:hAnsi="Garamond"/>
          <w:sz w:val="18"/>
          <w:szCs w:val="18"/>
        </w:rPr>
        <w:t xml:space="preserve">, 13 </w:t>
      </w:r>
      <w:proofErr w:type="spellStart"/>
      <w:r w:rsidRPr="00F017DC">
        <w:rPr>
          <w:rStyle w:val="serif"/>
          <w:rFonts w:ascii="Garamond" w:hAnsi="Garamond"/>
          <w:sz w:val="18"/>
          <w:szCs w:val="18"/>
        </w:rPr>
        <w:t>Civ</w:t>
      </w:r>
      <w:proofErr w:type="spellEnd"/>
      <w:r w:rsidRPr="00F017DC">
        <w:rPr>
          <w:rStyle w:val="serif"/>
          <w:rFonts w:ascii="Garamond" w:hAnsi="Garamond"/>
          <w:sz w:val="18"/>
          <w:szCs w:val="18"/>
        </w:rPr>
        <w:t>. 9195 (LAP) (S.D.N.Y. Mar. 22, 2023).</w:t>
      </w:r>
    </w:p>
  </w:footnote>
  <w:footnote w:id="65">
    <w:p w14:paraId="4294DF41" w14:textId="2A724367" w:rsidR="00F56AD9" w:rsidRPr="00F017DC" w:rsidRDefault="00F56AD9" w:rsidP="00F017DC">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 xml:space="preserve">CIJ, 30 mars 2023, </w:t>
      </w:r>
      <w:proofErr w:type="spellStart"/>
      <w:r w:rsidRPr="00F017DC">
        <w:rPr>
          <w:rFonts w:ascii="Garamond" w:hAnsi="Garamond"/>
          <w:sz w:val="18"/>
          <w:szCs w:val="18"/>
        </w:rPr>
        <w:t>aff.</w:t>
      </w:r>
      <w:proofErr w:type="spellEnd"/>
      <w:r w:rsidRPr="00F017DC">
        <w:rPr>
          <w:rFonts w:ascii="Garamond" w:hAnsi="Garamond"/>
          <w:sz w:val="18"/>
          <w:szCs w:val="18"/>
        </w:rPr>
        <w:t xml:space="preserve"> </w:t>
      </w:r>
      <w:r w:rsidRPr="00F017DC">
        <w:rPr>
          <w:rFonts w:ascii="Garamond" w:hAnsi="Garamond"/>
          <w:i/>
          <w:iCs/>
          <w:sz w:val="18"/>
          <w:szCs w:val="18"/>
        </w:rPr>
        <w:t>Certains Actifs Iraniens », République Islamique d’Iran C. États-Unis d’Amérique</w:t>
      </w:r>
      <w:r w:rsidRPr="00F017DC">
        <w:rPr>
          <w:rFonts w:ascii="Garamond" w:hAnsi="Garamond"/>
          <w:sz w:val="18"/>
          <w:szCs w:val="18"/>
        </w:rPr>
        <w:t xml:space="preserve"> (en ligne), </w:t>
      </w:r>
      <w:r w:rsidRPr="00F017DC">
        <w:rPr>
          <w:rFonts w:ascii="Garamond" w:hAnsi="Garamond"/>
          <w:i/>
          <w:iCs/>
          <w:sz w:val="18"/>
          <w:szCs w:val="18"/>
        </w:rPr>
        <w:t>JDI 2023</w:t>
      </w:r>
      <w:r w:rsidRPr="00F017DC">
        <w:rPr>
          <w:rFonts w:ascii="Garamond" w:hAnsi="Garamond"/>
          <w:sz w:val="18"/>
          <w:szCs w:val="18"/>
        </w:rPr>
        <w:t xml:space="preserve">, </w:t>
      </w:r>
      <w:proofErr w:type="spellStart"/>
      <w:r w:rsidRPr="00F017DC">
        <w:rPr>
          <w:rFonts w:ascii="Garamond" w:hAnsi="Garamond"/>
          <w:sz w:val="18"/>
          <w:szCs w:val="18"/>
        </w:rPr>
        <w:t>Chron</w:t>
      </w:r>
      <w:proofErr w:type="spellEnd"/>
      <w:r w:rsidRPr="00F017DC">
        <w:rPr>
          <w:rFonts w:ascii="Garamond" w:hAnsi="Garamond"/>
          <w:sz w:val="18"/>
          <w:szCs w:val="18"/>
        </w:rPr>
        <w:t xml:space="preserve">. 1, p. 217, </w:t>
      </w:r>
      <w:proofErr w:type="spellStart"/>
      <w:r w:rsidRPr="00F017DC">
        <w:rPr>
          <w:rFonts w:ascii="Garamond" w:hAnsi="Garamond"/>
          <w:sz w:val="18"/>
          <w:szCs w:val="18"/>
        </w:rPr>
        <w:t>sp</w:t>
      </w:r>
      <w:proofErr w:type="spellEnd"/>
      <w:r w:rsidRPr="00F017DC">
        <w:rPr>
          <w:rFonts w:ascii="Garamond" w:hAnsi="Garamond"/>
          <w:sz w:val="18"/>
          <w:szCs w:val="18"/>
        </w:rPr>
        <w:t>, n° 114, p. obs. Y. Kerbrat et G. le Floch.</w:t>
      </w:r>
    </w:p>
  </w:footnote>
  <w:footnote w:id="66">
    <w:p w14:paraId="4300F7D3" w14:textId="1ED4F3A5" w:rsidR="00F017DC" w:rsidRPr="00F017DC" w:rsidRDefault="00F017DC" w:rsidP="00F017DC">
      <w:pPr>
        <w:pStyle w:val="Notedebasdepage"/>
        <w:jc w:val="both"/>
        <w:rPr>
          <w:rFonts w:ascii="Garamond" w:hAnsi="Garamond"/>
          <w:sz w:val="18"/>
          <w:szCs w:val="18"/>
          <w:lang w:val="en-GB"/>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r>
      <w:proofErr w:type="spellStart"/>
      <w:r w:rsidRPr="00F017DC">
        <w:rPr>
          <w:rStyle w:val="srvrLnk0"/>
          <w:rFonts w:ascii="Garamond" w:hAnsi="Garamond"/>
          <w:sz w:val="18"/>
          <w:szCs w:val="18"/>
        </w:rPr>
        <w:t>Comp</w:t>
      </w:r>
      <w:proofErr w:type="spellEnd"/>
      <w:r w:rsidRPr="00F017DC">
        <w:rPr>
          <w:rStyle w:val="srvrLnk0"/>
          <w:rFonts w:ascii="Garamond" w:hAnsi="Garamond"/>
          <w:sz w:val="18"/>
          <w:szCs w:val="18"/>
        </w:rPr>
        <w:t xml:space="preserve">. </w:t>
      </w:r>
      <w:r w:rsidRPr="00F017DC">
        <w:rPr>
          <w:rFonts w:ascii="Garamond" w:hAnsi="Garamond"/>
          <w:sz w:val="18"/>
          <w:szCs w:val="18"/>
        </w:rPr>
        <w:t xml:space="preserve">Cass. civ., </w:t>
      </w:r>
      <w:r w:rsidR="00407F60">
        <w:rPr>
          <w:rFonts w:ascii="Garamond" w:hAnsi="Garamond"/>
          <w:sz w:val="18"/>
          <w:szCs w:val="18"/>
        </w:rPr>
        <w:t>1</w:t>
      </w:r>
      <w:r w:rsidR="00407F60" w:rsidRPr="00407F60">
        <w:rPr>
          <w:rFonts w:ascii="Garamond" w:hAnsi="Garamond"/>
          <w:sz w:val="18"/>
          <w:szCs w:val="18"/>
          <w:vertAlign w:val="superscript"/>
        </w:rPr>
        <w:t>ère</w:t>
      </w:r>
      <w:r w:rsidR="00407F60">
        <w:rPr>
          <w:rFonts w:ascii="Garamond" w:hAnsi="Garamond"/>
          <w:sz w:val="18"/>
          <w:szCs w:val="18"/>
        </w:rPr>
        <w:t xml:space="preserve">, </w:t>
      </w:r>
      <w:r w:rsidRPr="00F017DC">
        <w:rPr>
          <w:rFonts w:ascii="Garamond" w:hAnsi="Garamond"/>
          <w:sz w:val="18"/>
          <w:szCs w:val="18"/>
        </w:rPr>
        <w:t xml:space="preserve">9 mars 2011, n° 09-14.743, </w:t>
      </w:r>
      <w:r w:rsidRPr="00F017DC">
        <w:rPr>
          <w:rFonts w:ascii="Garamond" w:hAnsi="Garamond"/>
          <w:i/>
          <w:iCs/>
          <w:sz w:val="18"/>
          <w:szCs w:val="18"/>
        </w:rPr>
        <w:t>GIE La Réunion aérienne c/ Jamahiriya Arabe Libyenne</w:t>
      </w:r>
      <w:r w:rsidRPr="00F017DC">
        <w:rPr>
          <w:rFonts w:ascii="Garamond" w:hAnsi="Garamond"/>
          <w:sz w:val="18"/>
          <w:szCs w:val="18"/>
        </w:rPr>
        <w:t xml:space="preserve">, </w:t>
      </w:r>
      <w:proofErr w:type="spellStart"/>
      <w:r w:rsidRPr="00F017DC">
        <w:rPr>
          <w:rFonts w:ascii="Garamond" w:hAnsi="Garamond"/>
          <w:sz w:val="18"/>
          <w:szCs w:val="18"/>
        </w:rPr>
        <w:t>Rev</w:t>
      </w:r>
      <w:proofErr w:type="spellEnd"/>
      <w:r w:rsidRPr="00F017DC">
        <w:rPr>
          <w:rFonts w:ascii="Garamond" w:hAnsi="Garamond"/>
          <w:sz w:val="18"/>
          <w:szCs w:val="18"/>
        </w:rPr>
        <w:t xml:space="preserve">. </w:t>
      </w:r>
      <w:proofErr w:type="spellStart"/>
      <w:r w:rsidRPr="00F017DC">
        <w:rPr>
          <w:rFonts w:ascii="Garamond" w:hAnsi="Garamond"/>
          <w:sz w:val="18"/>
          <w:szCs w:val="18"/>
        </w:rPr>
        <w:t>crit</w:t>
      </w:r>
      <w:proofErr w:type="spellEnd"/>
      <w:r w:rsidRPr="00F017DC">
        <w:rPr>
          <w:rFonts w:ascii="Garamond" w:hAnsi="Garamond"/>
          <w:sz w:val="18"/>
          <w:szCs w:val="18"/>
        </w:rPr>
        <w:t xml:space="preserve">. DIP 2011, p. 385, avis P. Chevallier, p. 401, rapp. A.-F. Pascal, RGDIP 2012, p. 738, note A. de Nanteuil, JDI 2011, </w:t>
      </w:r>
      <w:proofErr w:type="spellStart"/>
      <w:r w:rsidRPr="00F017DC">
        <w:rPr>
          <w:rFonts w:ascii="Garamond" w:hAnsi="Garamond"/>
          <w:sz w:val="18"/>
          <w:szCs w:val="18"/>
        </w:rPr>
        <w:t>comm</w:t>
      </w:r>
      <w:proofErr w:type="spellEnd"/>
      <w:r w:rsidRPr="00F017DC">
        <w:rPr>
          <w:rFonts w:ascii="Garamond" w:hAnsi="Garamond"/>
          <w:sz w:val="18"/>
          <w:szCs w:val="18"/>
        </w:rPr>
        <w:t xml:space="preserve">. 19, p. 953, note Ph. </w:t>
      </w:r>
      <w:proofErr w:type="spellStart"/>
      <w:r w:rsidRPr="00F017DC">
        <w:rPr>
          <w:rFonts w:ascii="Garamond" w:hAnsi="Garamond"/>
          <w:sz w:val="18"/>
          <w:szCs w:val="18"/>
        </w:rPr>
        <w:t>Delebecque</w:t>
      </w:r>
      <w:proofErr w:type="spellEnd"/>
      <w:r w:rsidRPr="00F017DC">
        <w:rPr>
          <w:rFonts w:ascii="Garamond" w:hAnsi="Garamond"/>
          <w:sz w:val="18"/>
          <w:szCs w:val="18"/>
        </w:rPr>
        <w:t xml:space="preserve"> et S. Adeline, D. 2011, p. 890, note I. </w:t>
      </w:r>
      <w:proofErr w:type="spellStart"/>
      <w:r w:rsidRPr="00F017DC">
        <w:rPr>
          <w:rFonts w:ascii="Garamond" w:hAnsi="Garamond"/>
          <w:sz w:val="18"/>
          <w:szCs w:val="18"/>
        </w:rPr>
        <w:t>Gallmeister</w:t>
      </w:r>
      <w:proofErr w:type="spellEnd"/>
      <w:r w:rsidRPr="00F017DC">
        <w:rPr>
          <w:rFonts w:ascii="Garamond" w:hAnsi="Garamond"/>
          <w:sz w:val="18"/>
          <w:szCs w:val="18"/>
        </w:rPr>
        <w:t> ; Cass. civ. 1</w:t>
      </w:r>
      <w:r w:rsidRPr="00F017DC">
        <w:rPr>
          <w:rFonts w:ascii="Garamond" w:hAnsi="Garamond"/>
          <w:sz w:val="18"/>
          <w:szCs w:val="18"/>
          <w:vertAlign w:val="superscript"/>
        </w:rPr>
        <w:t>ère</w:t>
      </w:r>
      <w:r w:rsidRPr="00F017DC">
        <w:rPr>
          <w:rFonts w:ascii="Garamond" w:hAnsi="Garamond"/>
          <w:sz w:val="18"/>
          <w:szCs w:val="18"/>
        </w:rPr>
        <w:t>, 28 juin 2023, n</w:t>
      </w:r>
      <w:r w:rsidRPr="00F017DC">
        <w:rPr>
          <w:rFonts w:ascii="Garamond" w:hAnsi="Garamond"/>
          <w:sz w:val="18"/>
          <w:szCs w:val="18"/>
          <w:vertAlign w:val="superscript"/>
        </w:rPr>
        <w:t>o</w:t>
      </w:r>
      <w:r w:rsidRPr="00F017DC">
        <w:rPr>
          <w:rFonts w:ascii="Garamond" w:hAnsi="Garamond"/>
          <w:sz w:val="18"/>
          <w:szCs w:val="18"/>
        </w:rPr>
        <w:t xml:space="preserve"> 21-19.766, </w:t>
      </w:r>
      <w:proofErr w:type="spellStart"/>
      <w:r w:rsidRPr="00F017DC">
        <w:rPr>
          <w:rFonts w:ascii="Garamond" w:hAnsi="Garamond"/>
          <w:i/>
          <w:iCs/>
          <w:sz w:val="18"/>
          <w:szCs w:val="18"/>
        </w:rPr>
        <w:t>Flatow</w:t>
      </w:r>
      <w:proofErr w:type="spellEnd"/>
      <w:r w:rsidRPr="00F017DC">
        <w:rPr>
          <w:rFonts w:ascii="Garamond" w:hAnsi="Garamond"/>
          <w:i/>
          <w:iCs/>
          <w:sz w:val="18"/>
          <w:szCs w:val="18"/>
        </w:rPr>
        <w:t xml:space="preserve"> c. Iran</w:t>
      </w:r>
      <w:r w:rsidRPr="00F017DC">
        <w:rPr>
          <w:rFonts w:ascii="Garamond" w:hAnsi="Garamond"/>
          <w:sz w:val="18"/>
          <w:szCs w:val="18"/>
        </w:rPr>
        <w:t xml:space="preserve">, </w:t>
      </w:r>
      <w:r w:rsidRPr="00F017DC">
        <w:rPr>
          <w:rFonts w:ascii="Garamond" w:hAnsi="Garamond"/>
          <w:sz w:val="18"/>
          <w:szCs w:val="18"/>
          <w:u w:val="single"/>
        </w:rPr>
        <w:t>D.</w:t>
      </w:r>
      <w:r w:rsidRPr="00F017DC">
        <w:rPr>
          <w:rFonts w:ascii="Garamond" w:hAnsi="Garamond"/>
          <w:sz w:val="18"/>
          <w:szCs w:val="18"/>
        </w:rPr>
        <w:t xml:space="preserve"> 2023. 1267, </w:t>
      </w:r>
      <w:r w:rsidRPr="00F017DC">
        <w:rPr>
          <w:rFonts w:ascii="Garamond" w:hAnsi="Garamond"/>
          <w:i/>
          <w:iCs/>
          <w:sz w:val="18"/>
          <w:szCs w:val="18"/>
        </w:rPr>
        <w:t>Procédures</w:t>
      </w:r>
      <w:r w:rsidRPr="00F017DC">
        <w:rPr>
          <w:rFonts w:ascii="Garamond" w:hAnsi="Garamond"/>
          <w:sz w:val="18"/>
          <w:szCs w:val="18"/>
        </w:rPr>
        <w:t xml:space="preserve"> 2023, n</w:t>
      </w:r>
      <w:r w:rsidRPr="00F017DC">
        <w:rPr>
          <w:rFonts w:ascii="Garamond" w:hAnsi="Garamond"/>
          <w:sz w:val="18"/>
          <w:szCs w:val="18"/>
          <w:vertAlign w:val="superscript"/>
        </w:rPr>
        <w:t>o</w:t>
      </w:r>
      <w:r w:rsidRPr="00F017DC">
        <w:rPr>
          <w:rFonts w:ascii="Garamond" w:hAnsi="Garamond"/>
          <w:sz w:val="18"/>
          <w:szCs w:val="18"/>
        </w:rPr>
        <w:t xml:space="preserve"> 265, obs. Y. Strickler, RTD civ. 2023, p. 847, note F. Marchadier, JDI 2024, note I. </w:t>
      </w:r>
      <w:proofErr w:type="spellStart"/>
      <w:r w:rsidRPr="00F017DC">
        <w:rPr>
          <w:rFonts w:ascii="Garamond" w:hAnsi="Garamond"/>
          <w:sz w:val="18"/>
          <w:szCs w:val="18"/>
        </w:rPr>
        <w:t>Prezas</w:t>
      </w:r>
      <w:proofErr w:type="spellEnd"/>
      <w:r w:rsidR="00407F60">
        <w:rPr>
          <w:rFonts w:ascii="Garamond" w:hAnsi="Garamond"/>
          <w:sz w:val="18"/>
          <w:szCs w:val="18"/>
        </w:rPr>
        <w:t> ;</w:t>
      </w:r>
      <w:r w:rsidRPr="00F017DC">
        <w:rPr>
          <w:rFonts w:ascii="Garamond" w:hAnsi="Garamond"/>
          <w:sz w:val="18"/>
          <w:szCs w:val="18"/>
        </w:rPr>
        <w:t xml:space="preserve"> G. </w:t>
      </w:r>
      <w:proofErr w:type="spellStart"/>
      <w:r w:rsidRPr="00F017DC">
        <w:rPr>
          <w:rFonts w:ascii="Garamond" w:hAnsi="Garamond"/>
          <w:sz w:val="18"/>
          <w:szCs w:val="18"/>
        </w:rPr>
        <w:t>Cuniberti</w:t>
      </w:r>
      <w:proofErr w:type="spellEnd"/>
      <w:r w:rsidRPr="00F017DC">
        <w:rPr>
          <w:rFonts w:ascii="Garamond" w:hAnsi="Garamond"/>
          <w:sz w:val="18"/>
          <w:szCs w:val="18"/>
        </w:rPr>
        <w:t>, « </w:t>
      </w:r>
      <w:proofErr w:type="spellStart"/>
      <w:r w:rsidRPr="00F017DC">
        <w:rPr>
          <w:rFonts w:ascii="Garamond" w:hAnsi="Garamond"/>
          <w:sz w:val="18"/>
          <w:szCs w:val="18"/>
        </w:rPr>
        <w:t>Flatow</w:t>
      </w:r>
      <w:proofErr w:type="spellEnd"/>
      <w:r w:rsidRPr="00F017DC">
        <w:rPr>
          <w:rFonts w:ascii="Garamond" w:hAnsi="Garamond"/>
          <w:sz w:val="18"/>
          <w:szCs w:val="18"/>
        </w:rPr>
        <w:t xml:space="preserve"> v. Iran. </w:t>
      </w:r>
      <w:r w:rsidRPr="00F017DC">
        <w:rPr>
          <w:rFonts w:ascii="Garamond" w:hAnsi="Garamond"/>
          <w:sz w:val="18"/>
          <w:szCs w:val="18"/>
          <w:lang w:val="en-GB"/>
        </w:rPr>
        <w:t>French Supreme Court Rules on Sovereign Immunity in Exequatur Proceedings », (</w:t>
      </w:r>
      <w:proofErr w:type="spellStart"/>
      <w:r w:rsidRPr="00F017DC">
        <w:rPr>
          <w:rFonts w:ascii="Garamond" w:hAnsi="Garamond"/>
          <w:sz w:val="18"/>
          <w:szCs w:val="18"/>
          <w:lang w:val="en-GB"/>
        </w:rPr>
        <w:t>en</w:t>
      </w:r>
      <w:proofErr w:type="spellEnd"/>
      <w:r w:rsidRPr="00F017DC">
        <w:rPr>
          <w:rFonts w:ascii="Garamond" w:hAnsi="Garamond"/>
          <w:sz w:val="18"/>
          <w:szCs w:val="18"/>
          <w:lang w:val="en-GB"/>
        </w:rPr>
        <w:t xml:space="preserve"> </w:t>
      </w:r>
      <w:proofErr w:type="spellStart"/>
      <w:r w:rsidRPr="00F017DC">
        <w:rPr>
          <w:rFonts w:ascii="Garamond" w:hAnsi="Garamond"/>
          <w:sz w:val="18"/>
          <w:szCs w:val="18"/>
          <w:lang w:val="en-GB"/>
        </w:rPr>
        <w:t>ligne</w:t>
      </w:r>
      <w:proofErr w:type="spellEnd"/>
      <w:r w:rsidRPr="00F017DC">
        <w:rPr>
          <w:rFonts w:ascii="Garamond" w:hAnsi="Garamond"/>
          <w:sz w:val="18"/>
          <w:szCs w:val="18"/>
          <w:lang w:val="en-GB"/>
        </w:rPr>
        <w:t>).</w:t>
      </w:r>
    </w:p>
  </w:footnote>
  <w:footnote w:id="67">
    <w:p w14:paraId="1A90D731" w14:textId="12E50550" w:rsidR="00F017DC" w:rsidRPr="00F017DC" w:rsidRDefault="00F017DC" w:rsidP="00F017DC">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lang w:val="en-GB"/>
        </w:rPr>
        <w:t xml:space="preserve"> </w:t>
      </w:r>
      <w:r w:rsidRPr="00F017DC">
        <w:rPr>
          <w:rFonts w:ascii="Garamond" w:hAnsi="Garamond"/>
          <w:sz w:val="18"/>
          <w:szCs w:val="18"/>
          <w:lang w:val="en-GB"/>
        </w:rPr>
        <w:tab/>
        <w:t>Cass. crim., 7 </w:t>
      </w:r>
      <w:proofErr w:type="gramStart"/>
      <w:r w:rsidRPr="00F017DC">
        <w:rPr>
          <w:rFonts w:ascii="Garamond" w:hAnsi="Garamond"/>
          <w:sz w:val="18"/>
          <w:szCs w:val="18"/>
          <w:lang w:val="en-GB"/>
        </w:rPr>
        <w:t>sept</w:t>
      </w:r>
      <w:proofErr w:type="gramEnd"/>
      <w:r w:rsidRPr="00F017DC">
        <w:rPr>
          <w:rFonts w:ascii="Garamond" w:hAnsi="Garamond"/>
          <w:sz w:val="18"/>
          <w:szCs w:val="18"/>
          <w:lang w:val="en-GB"/>
        </w:rPr>
        <w:t xml:space="preserve">. 2021, n° 19-87031, 19-87036, 19-87367, 19-87376, 19-87662, </w:t>
      </w:r>
      <w:r w:rsidRPr="00F017DC">
        <w:rPr>
          <w:rFonts w:ascii="Garamond" w:hAnsi="Garamond"/>
          <w:i/>
          <w:sz w:val="18"/>
          <w:szCs w:val="18"/>
          <w:lang w:val="en-GB"/>
        </w:rPr>
        <w:t>D.</w:t>
      </w:r>
      <w:r w:rsidRPr="00F017DC">
        <w:rPr>
          <w:rFonts w:ascii="Garamond" w:hAnsi="Garamond"/>
          <w:sz w:val="18"/>
          <w:szCs w:val="18"/>
          <w:lang w:val="en-GB"/>
        </w:rPr>
        <w:t> 2022, p. 45, note L. </w:t>
      </w:r>
      <w:proofErr w:type="spellStart"/>
      <w:r w:rsidRPr="00F017DC">
        <w:rPr>
          <w:rFonts w:ascii="Garamond" w:hAnsi="Garamond"/>
          <w:sz w:val="18"/>
          <w:szCs w:val="18"/>
          <w:lang w:val="en-GB"/>
        </w:rPr>
        <w:t>Saenko</w:t>
      </w:r>
      <w:proofErr w:type="spellEnd"/>
      <w:r w:rsidRPr="00F017DC">
        <w:rPr>
          <w:rFonts w:ascii="Garamond" w:hAnsi="Garamond"/>
          <w:sz w:val="18"/>
          <w:szCs w:val="18"/>
          <w:lang w:val="en-GB"/>
        </w:rPr>
        <w:t xml:space="preserve">, 2021, p. 2109, obs. </w:t>
      </w:r>
      <w:r w:rsidRPr="00F017DC">
        <w:rPr>
          <w:rFonts w:ascii="Garamond" w:hAnsi="Garamond"/>
          <w:sz w:val="18"/>
          <w:szCs w:val="18"/>
        </w:rPr>
        <w:t xml:space="preserve">M.-H. </w:t>
      </w:r>
      <w:proofErr w:type="gramStart"/>
      <w:r w:rsidRPr="00F017DC">
        <w:rPr>
          <w:rFonts w:ascii="Garamond" w:hAnsi="Garamond"/>
          <w:sz w:val="18"/>
          <w:szCs w:val="18"/>
        </w:rPr>
        <w:t>Gozzi ;</w:t>
      </w:r>
      <w:proofErr w:type="gramEnd"/>
      <w:r w:rsidRPr="00F017DC">
        <w:rPr>
          <w:rFonts w:ascii="Garamond" w:hAnsi="Garamond"/>
          <w:sz w:val="18"/>
          <w:szCs w:val="18"/>
        </w:rPr>
        <w:t xml:space="preserve"> </w:t>
      </w:r>
      <w:r w:rsidRPr="00F017DC">
        <w:rPr>
          <w:rFonts w:ascii="Garamond" w:hAnsi="Garamond"/>
          <w:i/>
          <w:sz w:val="18"/>
          <w:szCs w:val="18"/>
        </w:rPr>
        <w:t>AJ pénal</w:t>
      </w:r>
      <w:r w:rsidRPr="00F017DC">
        <w:rPr>
          <w:rFonts w:ascii="Garamond" w:hAnsi="Garamond"/>
          <w:sz w:val="18"/>
          <w:szCs w:val="18"/>
        </w:rPr>
        <w:t xml:space="preserve"> 2021, p. 469, note J. Lasserre Capdeville ; </w:t>
      </w:r>
      <w:r w:rsidRPr="00F017DC">
        <w:rPr>
          <w:rFonts w:ascii="Garamond" w:hAnsi="Garamond"/>
          <w:i/>
          <w:sz w:val="18"/>
          <w:szCs w:val="18"/>
        </w:rPr>
        <w:t>RSC</w:t>
      </w:r>
      <w:r w:rsidRPr="00F017DC">
        <w:rPr>
          <w:rFonts w:ascii="Garamond" w:hAnsi="Garamond"/>
          <w:sz w:val="18"/>
          <w:szCs w:val="18"/>
        </w:rPr>
        <w:t xml:space="preserve"> 2022, p. 87, obs. R. </w:t>
      </w:r>
      <w:proofErr w:type="spellStart"/>
      <w:r w:rsidRPr="00F017DC">
        <w:rPr>
          <w:rFonts w:ascii="Garamond" w:hAnsi="Garamond"/>
          <w:sz w:val="18"/>
          <w:szCs w:val="18"/>
        </w:rPr>
        <w:t>Parizot</w:t>
      </w:r>
      <w:proofErr w:type="spellEnd"/>
      <w:r w:rsidRPr="00F017DC">
        <w:rPr>
          <w:rFonts w:ascii="Garamond" w:hAnsi="Garamond"/>
          <w:sz w:val="18"/>
          <w:szCs w:val="18"/>
        </w:rPr>
        <w:t>.</w:t>
      </w:r>
    </w:p>
  </w:footnote>
  <w:footnote w:id="68">
    <w:p w14:paraId="1A017E45" w14:textId="0058306A" w:rsidR="00F017DC" w:rsidRPr="00F017DC" w:rsidRDefault="00F017DC" w:rsidP="00F017DC">
      <w:pPr>
        <w:pStyle w:val="Notedebasdepage"/>
        <w:jc w:val="both"/>
        <w:rPr>
          <w:rFonts w:ascii="Garamond" w:hAnsi="Garamond"/>
          <w:sz w:val="18"/>
          <w:szCs w:val="18"/>
        </w:rPr>
      </w:pPr>
      <w:r w:rsidRPr="00F017DC">
        <w:rPr>
          <w:rStyle w:val="Appelnotedebasdep"/>
          <w:rFonts w:ascii="Garamond" w:hAnsi="Garamond"/>
          <w:sz w:val="18"/>
          <w:szCs w:val="18"/>
        </w:rPr>
        <w:footnoteRef/>
      </w:r>
      <w:r w:rsidRPr="00F017DC">
        <w:rPr>
          <w:rFonts w:ascii="Garamond" w:hAnsi="Garamond"/>
          <w:sz w:val="18"/>
          <w:szCs w:val="18"/>
        </w:rPr>
        <w:t xml:space="preserve"> </w:t>
      </w:r>
      <w:r w:rsidRPr="00F017DC">
        <w:rPr>
          <w:rFonts w:ascii="Garamond" w:hAnsi="Garamond"/>
          <w:sz w:val="18"/>
          <w:szCs w:val="18"/>
        </w:rPr>
        <w:tab/>
        <w:t xml:space="preserve">F. de Belloy et L. Masson, « Vers un engagement à une échelle inédite de la responsabilité pénale internationale des entreprises françaises », </w:t>
      </w:r>
      <w:r w:rsidRPr="00F017DC">
        <w:rPr>
          <w:rFonts w:ascii="Garamond" w:hAnsi="Garamond"/>
          <w:i/>
          <w:sz w:val="18"/>
          <w:szCs w:val="18"/>
        </w:rPr>
        <w:t>JCP</w:t>
      </w:r>
      <w:r w:rsidRPr="00F017DC">
        <w:rPr>
          <w:rFonts w:ascii="Garamond" w:hAnsi="Garamond"/>
          <w:sz w:val="18"/>
          <w:szCs w:val="18"/>
        </w:rPr>
        <w:t> G 2023, 185.</w:t>
      </w:r>
    </w:p>
    <w:p w14:paraId="1ADB039A" w14:textId="4655E526" w:rsidR="00F017DC" w:rsidRPr="00F017DC" w:rsidRDefault="00F017DC">
      <w:pPr>
        <w:pStyle w:val="Notedebasdepage"/>
        <w:rPr>
          <w:rFonts w:ascii="Garamond" w:hAnsi="Garamond"/>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8971B" w14:textId="77777777" w:rsidR="006A0E31" w:rsidRDefault="006A0E31" w:rsidP="006A0E31">
    <w:pPr>
      <w:pStyle w:val="En-tt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2E0CB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707A70"/>
    <w:multiLevelType w:val="hybridMultilevel"/>
    <w:tmpl w:val="96E65B02"/>
    <w:lvl w:ilvl="0" w:tplc="FFFFFFFF">
      <w:start w:val="1"/>
      <w:numFmt w:val="decimal"/>
      <w:suff w:val="space"/>
      <w:lvlText w:val="%1."/>
      <w:lvlJc w:val="left"/>
      <w:pPr>
        <w:ind w:left="0" w:firstLine="454"/>
      </w:pPr>
      <w:rPr>
        <w:rFonts w:hint="default"/>
        <w:b/>
        <w:i w:val="0"/>
        <w:iCs w:val="0"/>
      </w:r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2" w15:restartNumberingAfterBreak="0">
    <w:nsid w:val="0ADF398C"/>
    <w:multiLevelType w:val="hybridMultilevel"/>
    <w:tmpl w:val="6694CFF4"/>
    <w:lvl w:ilvl="0" w:tplc="BE685196">
      <w:start w:val="1"/>
      <w:numFmt w:val="upperLetter"/>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3" w15:restartNumberingAfterBreak="0">
    <w:nsid w:val="1A4F0906"/>
    <w:multiLevelType w:val="hybridMultilevel"/>
    <w:tmpl w:val="A61AD8B6"/>
    <w:lvl w:ilvl="0" w:tplc="FFFFFFFF">
      <w:start w:val="1"/>
      <w:numFmt w:val="decimal"/>
      <w:suff w:val="space"/>
      <w:lvlText w:val="%1."/>
      <w:lvlJc w:val="left"/>
      <w:pPr>
        <w:ind w:left="0" w:firstLine="454"/>
      </w:pPr>
      <w:rPr>
        <w:rFonts w:hint="default"/>
        <w:b/>
        <w:i w:val="0"/>
        <w:iCs w:val="0"/>
      </w:r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4" w15:restartNumberingAfterBreak="0">
    <w:nsid w:val="2F807FE7"/>
    <w:multiLevelType w:val="hybridMultilevel"/>
    <w:tmpl w:val="2F4E53F6"/>
    <w:lvl w:ilvl="0" w:tplc="F75E706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333654D8"/>
    <w:multiLevelType w:val="hybridMultilevel"/>
    <w:tmpl w:val="BF34BC1A"/>
    <w:lvl w:ilvl="0" w:tplc="FFFFFFFF">
      <w:start w:val="1"/>
      <w:numFmt w:val="decimal"/>
      <w:suff w:val="space"/>
      <w:lvlText w:val="%1."/>
      <w:lvlJc w:val="left"/>
      <w:pPr>
        <w:ind w:left="0" w:firstLine="454"/>
      </w:pPr>
      <w:rPr>
        <w:rFonts w:hint="default"/>
        <w:b/>
        <w:i w:val="0"/>
        <w:iCs w:val="0"/>
      </w:r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6" w15:restartNumberingAfterBreak="0">
    <w:nsid w:val="44675D35"/>
    <w:multiLevelType w:val="hybridMultilevel"/>
    <w:tmpl w:val="25A80EAC"/>
    <w:lvl w:ilvl="0" w:tplc="1C229862">
      <w:start w:val="1"/>
      <w:numFmt w:val="decimal"/>
      <w:suff w:val="space"/>
      <w:lvlText w:val="%1."/>
      <w:lvlJc w:val="left"/>
      <w:pPr>
        <w:ind w:left="720" w:hanging="360"/>
      </w:pPr>
      <w:rPr>
        <w:rFonts w:ascii="Times New Roman" w:hAnsi="Times New Roman" w:cs="Times New Roman" w:hint="default"/>
        <w:b/>
        <w:i w:val="0"/>
        <w:iCs w:val="0"/>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57D0A40"/>
    <w:multiLevelType w:val="hybridMultilevel"/>
    <w:tmpl w:val="7FFC8436"/>
    <w:lvl w:ilvl="0" w:tplc="FFFFFFFF">
      <w:start w:val="1"/>
      <w:numFmt w:val="decimal"/>
      <w:suff w:val="space"/>
      <w:lvlText w:val="%1."/>
      <w:lvlJc w:val="left"/>
      <w:pPr>
        <w:ind w:left="0" w:firstLine="454"/>
      </w:pPr>
      <w:rPr>
        <w:rFonts w:hint="default"/>
        <w:b/>
        <w:i w:val="0"/>
        <w:iCs w:val="0"/>
      </w:r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8" w15:restartNumberingAfterBreak="0">
    <w:nsid w:val="4CE11B14"/>
    <w:multiLevelType w:val="hybridMultilevel"/>
    <w:tmpl w:val="0436D36C"/>
    <w:lvl w:ilvl="0" w:tplc="FFFFFFFF">
      <w:start w:val="1"/>
      <w:numFmt w:val="decimal"/>
      <w:suff w:val="space"/>
      <w:lvlText w:val="%1."/>
      <w:lvlJc w:val="left"/>
      <w:pPr>
        <w:ind w:left="0" w:firstLine="454"/>
      </w:pPr>
      <w:rPr>
        <w:rFonts w:hint="default"/>
        <w:b/>
        <w:i w:val="0"/>
        <w:iCs w:val="0"/>
      </w:r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9" w15:restartNumberingAfterBreak="0">
    <w:nsid w:val="4FF23F31"/>
    <w:multiLevelType w:val="hybridMultilevel"/>
    <w:tmpl w:val="144C265C"/>
    <w:lvl w:ilvl="0" w:tplc="68420B44">
      <w:start w:val="1"/>
      <w:numFmt w:val="upperLetter"/>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10" w15:restartNumberingAfterBreak="0">
    <w:nsid w:val="50E077D4"/>
    <w:multiLevelType w:val="hybridMultilevel"/>
    <w:tmpl w:val="0BCE3040"/>
    <w:lvl w:ilvl="0" w:tplc="FFFFFFFF">
      <w:start w:val="1"/>
      <w:numFmt w:val="decimal"/>
      <w:suff w:val="space"/>
      <w:lvlText w:val="%1."/>
      <w:lvlJc w:val="left"/>
      <w:pPr>
        <w:ind w:left="0" w:firstLine="454"/>
      </w:pPr>
      <w:rPr>
        <w:rFonts w:hint="default"/>
        <w:b/>
        <w:i w:val="0"/>
        <w:iCs w:val="0"/>
      </w:r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1" w15:restartNumberingAfterBreak="0">
    <w:nsid w:val="5D9D24CF"/>
    <w:multiLevelType w:val="hybridMultilevel"/>
    <w:tmpl w:val="A8843CF2"/>
    <w:lvl w:ilvl="0" w:tplc="FFFFFFFF">
      <w:start w:val="1"/>
      <w:numFmt w:val="decimal"/>
      <w:suff w:val="space"/>
      <w:lvlText w:val="%1."/>
      <w:lvlJc w:val="left"/>
      <w:pPr>
        <w:ind w:left="0" w:firstLine="454"/>
      </w:pPr>
      <w:rPr>
        <w:rFonts w:hint="default"/>
        <w:b/>
        <w:i w:val="0"/>
        <w:iCs w:val="0"/>
      </w:r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2" w15:restartNumberingAfterBreak="0">
    <w:nsid w:val="5F9D4829"/>
    <w:multiLevelType w:val="hybridMultilevel"/>
    <w:tmpl w:val="9E50E75C"/>
    <w:lvl w:ilvl="0" w:tplc="FFFFFFFF">
      <w:start w:val="1"/>
      <w:numFmt w:val="upperLetter"/>
      <w:lvlText w:val="%1."/>
      <w:lvlJc w:val="left"/>
      <w:pPr>
        <w:ind w:left="814" w:hanging="360"/>
      </w:pPr>
      <w:rPr>
        <w:rFonts w:hint="default"/>
        <w:b w:val="0"/>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13" w15:restartNumberingAfterBreak="0">
    <w:nsid w:val="653866B5"/>
    <w:multiLevelType w:val="hybridMultilevel"/>
    <w:tmpl w:val="E20A4C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6C2706C"/>
    <w:multiLevelType w:val="hybridMultilevel"/>
    <w:tmpl w:val="960CB200"/>
    <w:lvl w:ilvl="0" w:tplc="FFFFFFFF">
      <w:start w:val="1"/>
      <w:numFmt w:val="decimal"/>
      <w:suff w:val="space"/>
      <w:lvlText w:val="%1."/>
      <w:lvlJc w:val="left"/>
      <w:pPr>
        <w:ind w:left="0" w:firstLine="454"/>
      </w:pPr>
      <w:rPr>
        <w:rFonts w:hint="default"/>
        <w:b/>
        <w:i w:val="0"/>
        <w:iCs w:val="0"/>
      </w:r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5" w15:restartNumberingAfterBreak="0">
    <w:nsid w:val="6AA0450B"/>
    <w:multiLevelType w:val="hybridMultilevel"/>
    <w:tmpl w:val="9E50E75C"/>
    <w:lvl w:ilvl="0" w:tplc="68420B44">
      <w:start w:val="1"/>
      <w:numFmt w:val="upperLetter"/>
      <w:lvlText w:val="%1."/>
      <w:lvlJc w:val="left"/>
      <w:pPr>
        <w:ind w:left="814" w:hanging="360"/>
      </w:pPr>
      <w:rPr>
        <w:rFonts w:hint="default"/>
        <w:b w:val="0"/>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16" w15:restartNumberingAfterBreak="0">
    <w:nsid w:val="6C734937"/>
    <w:multiLevelType w:val="hybridMultilevel"/>
    <w:tmpl w:val="A2762030"/>
    <w:lvl w:ilvl="0" w:tplc="3F1CA77C">
      <w:start w:val="1"/>
      <w:numFmt w:val="decimal"/>
      <w:pStyle w:val="numerodeparagraphe"/>
      <w:suff w:val="space"/>
      <w:lvlText w:val="%1."/>
      <w:lvlJc w:val="left"/>
      <w:pPr>
        <w:ind w:left="0" w:firstLine="454"/>
      </w:pPr>
      <w:rPr>
        <w:rFonts w:ascii="Times New Roman Gras" w:hAnsi="Times New Roman Gras" w:hint="default"/>
        <w:b/>
        <w:i w:val="0"/>
        <w:iCs w:val="0"/>
        <w:sz w:val="22"/>
        <w:szCs w:val="22"/>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7" w15:restartNumberingAfterBreak="0">
    <w:nsid w:val="7AB67B76"/>
    <w:multiLevelType w:val="hybridMultilevel"/>
    <w:tmpl w:val="613A752E"/>
    <w:lvl w:ilvl="0" w:tplc="4650D86C">
      <w:start w:val="1"/>
      <w:numFmt w:val="upperLetter"/>
      <w:lvlText w:val="%1."/>
      <w:lvlJc w:val="left"/>
      <w:pPr>
        <w:ind w:left="786" w:hanging="360"/>
      </w:pPr>
      <w:rPr>
        <w:rFonts w:hint="default"/>
        <w:i w:val="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1612934958">
    <w:abstractNumId w:val="16"/>
  </w:num>
  <w:num w:numId="2" w16cid:durableId="1660840284">
    <w:abstractNumId w:val="16"/>
  </w:num>
  <w:num w:numId="3" w16cid:durableId="125709482">
    <w:abstractNumId w:val="15"/>
  </w:num>
  <w:num w:numId="4" w16cid:durableId="813134440">
    <w:abstractNumId w:val="14"/>
  </w:num>
  <w:num w:numId="5" w16cid:durableId="370813477">
    <w:abstractNumId w:val="8"/>
  </w:num>
  <w:num w:numId="6" w16cid:durableId="1164856259">
    <w:abstractNumId w:val="11"/>
  </w:num>
  <w:num w:numId="7" w16cid:durableId="167795091">
    <w:abstractNumId w:val="12"/>
  </w:num>
  <w:num w:numId="8" w16cid:durableId="838926545">
    <w:abstractNumId w:val="9"/>
  </w:num>
  <w:num w:numId="9" w16cid:durableId="759134958">
    <w:abstractNumId w:val="0"/>
  </w:num>
  <w:num w:numId="10" w16cid:durableId="389160388">
    <w:abstractNumId w:val="5"/>
  </w:num>
  <w:num w:numId="11" w16cid:durableId="1190491967">
    <w:abstractNumId w:val="13"/>
  </w:num>
  <w:num w:numId="12" w16cid:durableId="58358858">
    <w:abstractNumId w:val="4"/>
  </w:num>
  <w:num w:numId="13" w16cid:durableId="1322125968">
    <w:abstractNumId w:val="3"/>
  </w:num>
  <w:num w:numId="14" w16cid:durableId="1868637767">
    <w:abstractNumId w:val="7"/>
  </w:num>
  <w:num w:numId="15" w16cid:durableId="1218323541">
    <w:abstractNumId w:val="10"/>
  </w:num>
  <w:num w:numId="16" w16cid:durableId="1592540057">
    <w:abstractNumId w:val="1"/>
  </w:num>
  <w:num w:numId="17" w16cid:durableId="1634211845">
    <w:abstractNumId w:val="17"/>
  </w:num>
  <w:num w:numId="18" w16cid:durableId="161244606">
    <w:abstractNumId w:val="16"/>
    <w:lvlOverride w:ilvl="0">
      <w:startOverride w:val="1"/>
    </w:lvlOverride>
  </w:num>
  <w:num w:numId="19" w16cid:durableId="1843473519">
    <w:abstractNumId w:val="2"/>
  </w:num>
  <w:num w:numId="20" w16cid:durableId="1006395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0440"/>
    <w:rsid w:val="00001DC1"/>
    <w:rsid w:val="0000280A"/>
    <w:rsid w:val="00022A6C"/>
    <w:rsid w:val="000301EA"/>
    <w:rsid w:val="000314B5"/>
    <w:rsid w:val="000325D0"/>
    <w:rsid w:val="00040830"/>
    <w:rsid w:val="00045139"/>
    <w:rsid w:val="00052446"/>
    <w:rsid w:val="00056565"/>
    <w:rsid w:val="00056B47"/>
    <w:rsid w:val="00056C73"/>
    <w:rsid w:val="0005784E"/>
    <w:rsid w:val="00062AAF"/>
    <w:rsid w:val="000635ED"/>
    <w:rsid w:val="000636E1"/>
    <w:rsid w:val="000677F8"/>
    <w:rsid w:val="0007002D"/>
    <w:rsid w:val="00077ADE"/>
    <w:rsid w:val="00081E84"/>
    <w:rsid w:val="00083E6D"/>
    <w:rsid w:val="000A3594"/>
    <w:rsid w:val="000A3B69"/>
    <w:rsid w:val="000A447F"/>
    <w:rsid w:val="000A4958"/>
    <w:rsid w:val="000B24FF"/>
    <w:rsid w:val="000C22B7"/>
    <w:rsid w:val="000D07C4"/>
    <w:rsid w:val="000D4053"/>
    <w:rsid w:val="000E0148"/>
    <w:rsid w:val="000E0CF0"/>
    <w:rsid w:val="000E7CA8"/>
    <w:rsid w:val="000F7EFD"/>
    <w:rsid w:val="00101E49"/>
    <w:rsid w:val="00102DBE"/>
    <w:rsid w:val="00112ADA"/>
    <w:rsid w:val="00112BDD"/>
    <w:rsid w:val="001151BD"/>
    <w:rsid w:val="00116D41"/>
    <w:rsid w:val="001176F8"/>
    <w:rsid w:val="0012126A"/>
    <w:rsid w:val="001215BF"/>
    <w:rsid w:val="00122722"/>
    <w:rsid w:val="00122C71"/>
    <w:rsid w:val="00123A1E"/>
    <w:rsid w:val="00124519"/>
    <w:rsid w:val="001340B8"/>
    <w:rsid w:val="001370F7"/>
    <w:rsid w:val="00151D13"/>
    <w:rsid w:val="001524B5"/>
    <w:rsid w:val="00152A80"/>
    <w:rsid w:val="00152EEF"/>
    <w:rsid w:val="00157142"/>
    <w:rsid w:val="00171457"/>
    <w:rsid w:val="001767E4"/>
    <w:rsid w:val="00180A1A"/>
    <w:rsid w:val="00182395"/>
    <w:rsid w:val="001845A6"/>
    <w:rsid w:val="00187748"/>
    <w:rsid w:val="001934A7"/>
    <w:rsid w:val="001A27E3"/>
    <w:rsid w:val="001A28C9"/>
    <w:rsid w:val="001A3FCA"/>
    <w:rsid w:val="001B207D"/>
    <w:rsid w:val="001C2D49"/>
    <w:rsid w:val="001C58B6"/>
    <w:rsid w:val="001D3624"/>
    <w:rsid w:val="001D70E9"/>
    <w:rsid w:val="001E2690"/>
    <w:rsid w:val="001E2AAB"/>
    <w:rsid w:val="001F7CC3"/>
    <w:rsid w:val="001F7EB5"/>
    <w:rsid w:val="00202276"/>
    <w:rsid w:val="00204B3D"/>
    <w:rsid w:val="00205909"/>
    <w:rsid w:val="00206B03"/>
    <w:rsid w:val="00207252"/>
    <w:rsid w:val="00207E28"/>
    <w:rsid w:val="00211211"/>
    <w:rsid w:val="002157A5"/>
    <w:rsid w:val="00222E04"/>
    <w:rsid w:val="00223740"/>
    <w:rsid w:val="0023407C"/>
    <w:rsid w:val="002340B0"/>
    <w:rsid w:val="00237D8D"/>
    <w:rsid w:val="002407E9"/>
    <w:rsid w:val="00250746"/>
    <w:rsid w:val="00250DF8"/>
    <w:rsid w:val="002534C5"/>
    <w:rsid w:val="00266E18"/>
    <w:rsid w:val="002707E1"/>
    <w:rsid w:val="00271388"/>
    <w:rsid w:val="0028161A"/>
    <w:rsid w:val="002831AD"/>
    <w:rsid w:val="002876B2"/>
    <w:rsid w:val="00287CFD"/>
    <w:rsid w:val="002949D9"/>
    <w:rsid w:val="00295922"/>
    <w:rsid w:val="00295B63"/>
    <w:rsid w:val="002969A6"/>
    <w:rsid w:val="002A105C"/>
    <w:rsid w:val="002A33FD"/>
    <w:rsid w:val="002A6914"/>
    <w:rsid w:val="002B0B82"/>
    <w:rsid w:val="002B1EE5"/>
    <w:rsid w:val="002B331F"/>
    <w:rsid w:val="002B7395"/>
    <w:rsid w:val="002B75DB"/>
    <w:rsid w:val="002C03B9"/>
    <w:rsid w:val="002C378E"/>
    <w:rsid w:val="002C6482"/>
    <w:rsid w:val="002C6A4F"/>
    <w:rsid w:val="002D304E"/>
    <w:rsid w:val="002E0F3F"/>
    <w:rsid w:val="002E42C0"/>
    <w:rsid w:val="002E5246"/>
    <w:rsid w:val="002F3B4D"/>
    <w:rsid w:val="002F4150"/>
    <w:rsid w:val="002F5931"/>
    <w:rsid w:val="00303F34"/>
    <w:rsid w:val="003059DC"/>
    <w:rsid w:val="00306C32"/>
    <w:rsid w:val="0031491F"/>
    <w:rsid w:val="00324028"/>
    <w:rsid w:val="00325B2B"/>
    <w:rsid w:val="00326B28"/>
    <w:rsid w:val="00347835"/>
    <w:rsid w:val="00350B9F"/>
    <w:rsid w:val="00350E43"/>
    <w:rsid w:val="003558EA"/>
    <w:rsid w:val="00357972"/>
    <w:rsid w:val="00362283"/>
    <w:rsid w:val="00362914"/>
    <w:rsid w:val="00371FDB"/>
    <w:rsid w:val="003731AB"/>
    <w:rsid w:val="00375D94"/>
    <w:rsid w:val="00381EF2"/>
    <w:rsid w:val="00386FF5"/>
    <w:rsid w:val="003872C2"/>
    <w:rsid w:val="00397647"/>
    <w:rsid w:val="00397A14"/>
    <w:rsid w:val="003A23E6"/>
    <w:rsid w:val="003A6747"/>
    <w:rsid w:val="003A6D1B"/>
    <w:rsid w:val="003B0F76"/>
    <w:rsid w:val="003D1E79"/>
    <w:rsid w:val="003D741C"/>
    <w:rsid w:val="003E6057"/>
    <w:rsid w:val="003E694F"/>
    <w:rsid w:val="003F1D71"/>
    <w:rsid w:val="003F5EB5"/>
    <w:rsid w:val="00404BB8"/>
    <w:rsid w:val="00407F60"/>
    <w:rsid w:val="00412B3A"/>
    <w:rsid w:val="00420DA0"/>
    <w:rsid w:val="0042233D"/>
    <w:rsid w:val="0042586E"/>
    <w:rsid w:val="00425FD6"/>
    <w:rsid w:val="00430A42"/>
    <w:rsid w:val="00430E49"/>
    <w:rsid w:val="004318D4"/>
    <w:rsid w:val="0043218D"/>
    <w:rsid w:val="004322FB"/>
    <w:rsid w:val="0043399A"/>
    <w:rsid w:val="00433EE0"/>
    <w:rsid w:val="00441E35"/>
    <w:rsid w:val="004428FD"/>
    <w:rsid w:val="00442B98"/>
    <w:rsid w:val="00442C9B"/>
    <w:rsid w:val="00444135"/>
    <w:rsid w:val="00444C6D"/>
    <w:rsid w:val="00446A78"/>
    <w:rsid w:val="004472C6"/>
    <w:rsid w:val="00455649"/>
    <w:rsid w:val="0045701E"/>
    <w:rsid w:val="0046108D"/>
    <w:rsid w:val="00462F9C"/>
    <w:rsid w:val="004640FB"/>
    <w:rsid w:val="00466209"/>
    <w:rsid w:val="00475E36"/>
    <w:rsid w:val="00476783"/>
    <w:rsid w:val="004768FF"/>
    <w:rsid w:val="00480DBA"/>
    <w:rsid w:val="00483756"/>
    <w:rsid w:val="00486EA6"/>
    <w:rsid w:val="00496B59"/>
    <w:rsid w:val="00497A15"/>
    <w:rsid w:val="004A56AC"/>
    <w:rsid w:val="004A6A08"/>
    <w:rsid w:val="004B1831"/>
    <w:rsid w:val="004B287F"/>
    <w:rsid w:val="004B6293"/>
    <w:rsid w:val="004C3BF2"/>
    <w:rsid w:val="004C5A68"/>
    <w:rsid w:val="004C605B"/>
    <w:rsid w:val="004D0AAC"/>
    <w:rsid w:val="004D1511"/>
    <w:rsid w:val="004D7CA3"/>
    <w:rsid w:val="004E35E0"/>
    <w:rsid w:val="004E3CAE"/>
    <w:rsid w:val="004F6CD2"/>
    <w:rsid w:val="00503E68"/>
    <w:rsid w:val="005061A6"/>
    <w:rsid w:val="00506BB6"/>
    <w:rsid w:val="00507ED9"/>
    <w:rsid w:val="005239B7"/>
    <w:rsid w:val="0052526B"/>
    <w:rsid w:val="00525781"/>
    <w:rsid w:val="00526C3D"/>
    <w:rsid w:val="00526F10"/>
    <w:rsid w:val="0053103B"/>
    <w:rsid w:val="005354C1"/>
    <w:rsid w:val="00536EF5"/>
    <w:rsid w:val="00542230"/>
    <w:rsid w:val="0054379A"/>
    <w:rsid w:val="005475A1"/>
    <w:rsid w:val="00552758"/>
    <w:rsid w:val="00557351"/>
    <w:rsid w:val="005611B8"/>
    <w:rsid w:val="00570915"/>
    <w:rsid w:val="00571A7A"/>
    <w:rsid w:val="00572CFD"/>
    <w:rsid w:val="0058002F"/>
    <w:rsid w:val="005800C4"/>
    <w:rsid w:val="00582A8F"/>
    <w:rsid w:val="005A3EBE"/>
    <w:rsid w:val="005A52F1"/>
    <w:rsid w:val="005A7316"/>
    <w:rsid w:val="005B215C"/>
    <w:rsid w:val="005B257A"/>
    <w:rsid w:val="005C3CC2"/>
    <w:rsid w:val="005E7D67"/>
    <w:rsid w:val="005E7D96"/>
    <w:rsid w:val="005F1982"/>
    <w:rsid w:val="005F767C"/>
    <w:rsid w:val="006051E6"/>
    <w:rsid w:val="00610975"/>
    <w:rsid w:val="00617378"/>
    <w:rsid w:val="00617DFF"/>
    <w:rsid w:val="00631095"/>
    <w:rsid w:val="00655FF2"/>
    <w:rsid w:val="00656779"/>
    <w:rsid w:val="00657C99"/>
    <w:rsid w:val="0067024F"/>
    <w:rsid w:val="006770BA"/>
    <w:rsid w:val="00681FFC"/>
    <w:rsid w:val="006835F6"/>
    <w:rsid w:val="00694648"/>
    <w:rsid w:val="00696246"/>
    <w:rsid w:val="00697BEE"/>
    <w:rsid w:val="006A0E31"/>
    <w:rsid w:val="006A111F"/>
    <w:rsid w:val="006A5B1B"/>
    <w:rsid w:val="006A5DF8"/>
    <w:rsid w:val="006C0508"/>
    <w:rsid w:val="006C1B8E"/>
    <w:rsid w:val="006C1FF4"/>
    <w:rsid w:val="006C3668"/>
    <w:rsid w:val="006C4964"/>
    <w:rsid w:val="006C5673"/>
    <w:rsid w:val="006C6446"/>
    <w:rsid w:val="006D1B68"/>
    <w:rsid w:val="006E07E6"/>
    <w:rsid w:val="006F7055"/>
    <w:rsid w:val="00706E73"/>
    <w:rsid w:val="00707D68"/>
    <w:rsid w:val="00714B26"/>
    <w:rsid w:val="007159C0"/>
    <w:rsid w:val="0071671E"/>
    <w:rsid w:val="00721E97"/>
    <w:rsid w:val="0072385D"/>
    <w:rsid w:val="0072748F"/>
    <w:rsid w:val="007310A6"/>
    <w:rsid w:val="007338DE"/>
    <w:rsid w:val="007451CC"/>
    <w:rsid w:val="00752204"/>
    <w:rsid w:val="00752FD3"/>
    <w:rsid w:val="00762129"/>
    <w:rsid w:val="007625A2"/>
    <w:rsid w:val="00762915"/>
    <w:rsid w:val="00765BF4"/>
    <w:rsid w:val="00767010"/>
    <w:rsid w:val="00780058"/>
    <w:rsid w:val="00783158"/>
    <w:rsid w:val="00785378"/>
    <w:rsid w:val="00793FBF"/>
    <w:rsid w:val="00797805"/>
    <w:rsid w:val="007A112C"/>
    <w:rsid w:val="007B27AE"/>
    <w:rsid w:val="007B2960"/>
    <w:rsid w:val="007C3E46"/>
    <w:rsid w:val="007C4F27"/>
    <w:rsid w:val="007C5D84"/>
    <w:rsid w:val="007C7CE1"/>
    <w:rsid w:val="007D2538"/>
    <w:rsid w:val="007D3A10"/>
    <w:rsid w:val="007D5AA8"/>
    <w:rsid w:val="007D62B5"/>
    <w:rsid w:val="007D664D"/>
    <w:rsid w:val="007E0D05"/>
    <w:rsid w:val="007E3808"/>
    <w:rsid w:val="007E4228"/>
    <w:rsid w:val="007E6244"/>
    <w:rsid w:val="007F1788"/>
    <w:rsid w:val="007F38F5"/>
    <w:rsid w:val="007F3E9A"/>
    <w:rsid w:val="007F73C7"/>
    <w:rsid w:val="008070F3"/>
    <w:rsid w:val="008071F8"/>
    <w:rsid w:val="00816419"/>
    <w:rsid w:val="0082063B"/>
    <w:rsid w:val="00820CC8"/>
    <w:rsid w:val="00823295"/>
    <w:rsid w:val="00834E77"/>
    <w:rsid w:val="00845AC8"/>
    <w:rsid w:val="00857857"/>
    <w:rsid w:val="008700CA"/>
    <w:rsid w:val="008746F8"/>
    <w:rsid w:val="00874E0C"/>
    <w:rsid w:val="00881B24"/>
    <w:rsid w:val="00882A29"/>
    <w:rsid w:val="00887E8A"/>
    <w:rsid w:val="008921A6"/>
    <w:rsid w:val="008975AF"/>
    <w:rsid w:val="008A717F"/>
    <w:rsid w:val="008B5FAF"/>
    <w:rsid w:val="008C3C6C"/>
    <w:rsid w:val="008D1DD9"/>
    <w:rsid w:val="008D3248"/>
    <w:rsid w:val="008E0E4D"/>
    <w:rsid w:val="008E1E5C"/>
    <w:rsid w:val="008E2C7C"/>
    <w:rsid w:val="008E7EA1"/>
    <w:rsid w:val="008F7CFA"/>
    <w:rsid w:val="00912EF5"/>
    <w:rsid w:val="00912F0F"/>
    <w:rsid w:val="009134DC"/>
    <w:rsid w:val="00913AB5"/>
    <w:rsid w:val="009167FD"/>
    <w:rsid w:val="00917E6E"/>
    <w:rsid w:val="00932588"/>
    <w:rsid w:val="00947666"/>
    <w:rsid w:val="00952EB6"/>
    <w:rsid w:val="00953838"/>
    <w:rsid w:val="0095581D"/>
    <w:rsid w:val="0095624F"/>
    <w:rsid w:val="0098498F"/>
    <w:rsid w:val="00987344"/>
    <w:rsid w:val="00987A35"/>
    <w:rsid w:val="00991CB2"/>
    <w:rsid w:val="009A2DE1"/>
    <w:rsid w:val="009B1420"/>
    <w:rsid w:val="009B161C"/>
    <w:rsid w:val="009B16FF"/>
    <w:rsid w:val="009C3722"/>
    <w:rsid w:val="009C6012"/>
    <w:rsid w:val="009D1043"/>
    <w:rsid w:val="009D2309"/>
    <w:rsid w:val="009E1F6B"/>
    <w:rsid w:val="009E2A61"/>
    <w:rsid w:val="009E3385"/>
    <w:rsid w:val="009E6E72"/>
    <w:rsid w:val="009F63A4"/>
    <w:rsid w:val="00A007F1"/>
    <w:rsid w:val="00A025F1"/>
    <w:rsid w:val="00A10DD6"/>
    <w:rsid w:val="00A13E94"/>
    <w:rsid w:val="00A1612F"/>
    <w:rsid w:val="00A23119"/>
    <w:rsid w:val="00A24485"/>
    <w:rsid w:val="00A25C54"/>
    <w:rsid w:val="00A266C6"/>
    <w:rsid w:val="00A35FC5"/>
    <w:rsid w:val="00A52E52"/>
    <w:rsid w:val="00A56BC5"/>
    <w:rsid w:val="00A56D8F"/>
    <w:rsid w:val="00A647D1"/>
    <w:rsid w:val="00A70D34"/>
    <w:rsid w:val="00A718AC"/>
    <w:rsid w:val="00A72153"/>
    <w:rsid w:val="00A80F05"/>
    <w:rsid w:val="00A8276D"/>
    <w:rsid w:val="00A90B08"/>
    <w:rsid w:val="00A967F0"/>
    <w:rsid w:val="00AA2ACF"/>
    <w:rsid w:val="00AB1BC5"/>
    <w:rsid w:val="00AB3E21"/>
    <w:rsid w:val="00AC2362"/>
    <w:rsid w:val="00AC53D5"/>
    <w:rsid w:val="00AC5BDD"/>
    <w:rsid w:val="00AE0F8B"/>
    <w:rsid w:val="00AF0FFD"/>
    <w:rsid w:val="00AF1173"/>
    <w:rsid w:val="00AF2696"/>
    <w:rsid w:val="00AF3543"/>
    <w:rsid w:val="00AF407F"/>
    <w:rsid w:val="00AF4A80"/>
    <w:rsid w:val="00AF51B8"/>
    <w:rsid w:val="00B0188F"/>
    <w:rsid w:val="00B02C88"/>
    <w:rsid w:val="00B05D81"/>
    <w:rsid w:val="00B05FD8"/>
    <w:rsid w:val="00B11DA0"/>
    <w:rsid w:val="00B148EE"/>
    <w:rsid w:val="00B14BB9"/>
    <w:rsid w:val="00B22980"/>
    <w:rsid w:val="00B23679"/>
    <w:rsid w:val="00B35108"/>
    <w:rsid w:val="00B42FDB"/>
    <w:rsid w:val="00B4414E"/>
    <w:rsid w:val="00B50440"/>
    <w:rsid w:val="00B53101"/>
    <w:rsid w:val="00B547B3"/>
    <w:rsid w:val="00B56E32"/>
    <w:rsid w:val="00B64D0F"/>
    <w:rsid w:val="00B849E1"/>
    <w:rsid w:val="00B874A5"/>
    <w:rsid w:val="00B87571"/>
    <w:rsid w:val="00B90628"/>
    <w:rsid w:val="00B91705"/>
    <w:rsid w:val="00B92ACF"/>
    <w:rsid w:val="00B92CAB"/>
    <w:rsid w:val="00B9302E"/>
    <w:rsid w:val="00BA7892"/>
    <w:rsid w:val="00BB0218"/>
    <w:rsid w:val="00BB0C02"/>
    <w:rsid w:val="00BB1BAA"/>
    <w:rsid w:val="00BC58D1"/>
    <w:rsid w:val="00BC7437"/>
    <w:rsid w:val="00BD0A82"/>
    <w:rsid w:val="00C0189F"/>
    <w:rsid w:val="00C021BC"/>
    <w:rsid w:val="00C04199"/>
    <w:rsid w:val="00C060EF"/>
    <w:rsid w:val="00C143A9"/>
    <w:rsid w:val="00C17338"/>
    <w:rsid w:val="00C20C98"/>
    <w:rsid w:val="00C212CB"/>
    <w:rsid w:val="00C365D2"/>
    <w:rsid w:val="00C378D1"/>
    <w:rsid w:val="00C4053C"/>
    <w:rsid w:val="00C44423"/>
    <w:rsid w:val="00C44B1E"/>
    <w:rsid w:val="00C45012"/>
    <w:rsid w:val="00C47D3E"/>
    <w:rsid w:val="00C5006B"/>
    <w:rsid w:val="00C56279"/>
    <w:rsid w:val="00C62BD5"/>
    <w:rsid w:val="00C635C4"/>
    <w:rsid w:val="00C636FE"/>
    <w:rsid w:val="00C6770F"/>
    <w:rsid w:val="00C71B6D"/>
    <w:rsid w:val="00C83D6C"/>
    <w:rsid w:val="00C9166F"/>
    <w:rsid w:val="00C9434A"/>
    <w:rsid w:val="00C96938"/>
    <w:rsid w:val="00CA3C5F"/>
    <w:rsid w:val="00CA4406"/>
    <w:rsid w:val="00CA780F"/>
    <w:rsid w:val="00CB2F75"/>
    <w:rsid w:val="00CC7EBD"/>
    <w:rsid w:val="00CE0772"/>
    <w:rsid w:val="00CF32E1"/>
    <w:rsid w:val="00D00ED4"/>
    <w:rsid w:val="00D10178"/>
    <w:rsid w:val="00D13758"/>
    <w:rsid w:val="00D2570B"/>
    <w:rsid w:val="00D2722F"/>
    <w:rsid w:val="00D42129"/>
    <w:rsid w:val="00D43B75"/>
    <w:rsid w:val="00D45D48"/>
    <w:rsid w:val="00D55C57"/>
    <w:rsid w:val="00D66B6E"/>
    <w:rsid w:val="00D73BA8"/>
    <w:rsid w:val="00D761E2"/>
    <w:rsid w:val="00D7631D"/>
    <w:rsid w:val="00D860DB"/>
    <w:rsid w:val="00D91756"/>
    <w:rsid w:val="00D93AA2"/>
    <w:rsid w:val="00D96137"/>
    <w:rsid w:val="00DA4538"/>
    <w:rsid w:val="00DA7154"/>
    <w:rsid w:val="00DB1CBA"/>
    <w:rsid w:val="00DB4BBB"/>
    <w:rsid w:val="00DB59AC"/>
    <w:rsid w:val="00DB749F"/>
    <w:rsid w:val="00DB79F5"/>
    <w:rsid w:val="00DC3F50"/>
    <w:rsid w:val="00DC5186"/>
    <w:rsid w:val="00DD0562"/>
    <w:rsid w:val="00DD341F"/>
    <w:rsid w:val="00DE3431"/>
    <w:rsid w:val="00DF2DA3"/>
    <w:rsid w:val="00E025EC"/>
    <w:rsid w:val="00E15FB0"/>
    <w:rsid w:val="00E24376"/>
    <w:rsid w:val="00E24672"/>
    <w:rsid w:val="00E24F18"/>
    <w:rsid w:val="00E24FB4"/>
    <w:rsid w:val="00E31778"/>
    <w:rsid w:val="00E54ED3"/>
    <w:rsid w:val="00E566C0"/>
    <w:rsid w:val="00E57C44"/>
    <w:rsid w:val="00E63B73"/>
    <w:rsid w:val="00E730DF"/>
    <w:rsid w:val="00E74DA1"/>
    <w:rsid w:val="00E7611A"/>
    <w:rsid w:val="00E80E15"/>
    <w:rsid w:val="00E832F1"/>
    <w:rsid w:val="00E873F4"/>
    <w:rsid w:val="00E91259"/>
    <w:rsid w:val="00E91F8B"/>
    <w:rsid w:val="00E928EC"/>
    <w:rsid w:val="00E9393E"/>
    <w:rsid w:val="00EA147A"/>
    <w:rsid w:val="00EA14F2"/>
    <w:rsid w:val="00EA458E"/>
    <w:rsid w:val="00EA50C4"/>
    <w:rsid w:val="00EB3B2D"/>
    <w:rsid w:val="00EB7481"/>
    <w:rsid w:val="00EC116E"/>
    <w:rsid w:val="00EC3A70"/>
    <w:rsid w:val="00ED1CBE"/>
    <w:rsid w:val="00ED357D"/>
    <w:rsid w:val="00ED3B69"/>
    <w:rsid w:val="00EE6392"/>
    <w:rsid w:val="00EF4D0D"/>
    <w:rsid w:val="00F017DC"/>
    <w:rsid w:val="00F01F06"/>
    <w:rsid w:val="00F04744"/>
    <w:rsid w:val="00F168A1"/>
    <w:rsid w:val="00F34ECB"/>
    <w:rsid w:val="00F370BC"/>
    <w:rsid w:val="00F5134D"/>
    <w:rsid w:val="00F52622"/>
    <w:rsid w:val="00F56AD9"/>
    <w:rsid w:val="00F6054C"/>
    <w:rsid w:val="00F721AD"/>
    <w:rsid w:val="00F72724"/>
    <w:rsid w:val="00F72900"/>
    <w:rsid w:val="00F72EE0"/>
    <w:rsid w:val="00F771FB"/>
    <w:rsid w:val="00F80C9E"/>
    <w:rsid w:val="00F81804"/>
    <w:rsid w:val="00F81EE2"/>
    <w:rsid w:val="00F910F3"/>
    <w:rsid w:val="00F96ADB"/>
    <w:rsid w:val="00F971DE"/>
    <w:rsid w:val="00FA7E6E"/>
    <w:rsid w:val="00FC11B3"/>
    <w:rsid w:val="00FC1E46"/>
    <w:rsid w:val="00FC2495"/>
    <w:rsid w:val="00FC3F91"/>
    <w:rsid w:val="00FC709E"/>
    <w:rsid w:val="00FD7497"/>
    <w:rsid w:val="00FE7B42"/>
    <w:rsid w:val="00FE7F08"/>
    <w:rsid w:val="00FF2D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B95C"/>
  <w15:docId w15:val="{B3687CE2-4D7F-4496-A503-761EEADA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5BF"/>
  </w:style>
  <w:style w:type="paragraph" w:styleId="Titre1">
    <w:name w:val="heading 1"/>
    <w:basedOn w:val="Normal"/>
    <w:next w:val="Normal"/>
    <w:link w:val="Titre1Car"/>
    <w:uiPriority w:val="9"/>
    <w:qFormat/>
    <w:rsid w:val="00B504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504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5044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5044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5044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5044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5044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5044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5044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044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5044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5044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5044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5044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5044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5044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5044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50440"/>
    <w:rPr>
      <w:rFonts w:eastAsiaTheme="majorEastAsia" w:cstheme="majorBidi"/>
      <w:color w:val="272727" w:themeColor="text1" w:themeTint="D8"/>
    </w:rPr>
  </w:style>
  <w:style w:type="paragraph" w:styleId="Titre">
    <w:name w:val="Title"/>
    <w:basedOn w:val="Normal"/>
    <w:next w:val="Normal"/>
    <w:link w:val="TitreCar"/>
    <w:uiPriority w:val="10"/>
    <w:qFormat/>
    <w:rsid w:val="00B504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5044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5044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5044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50440"/>
    <w:pPr>
      <w:spacing w:before="160"/>
      <w:jc w:val="center"/>
    </w:pPr>
    <w:rPr>
      <w:i/>
      <w:iCs/>
      <w:color w:val="404040" w:themeColor="text1" w:themeTint="BF"/>
    </w:rPr>
  </w:style>
  <w:style w:type="character" w:customStyle="1" w:styleId="CitationCar">
    <w:name w:val="Citation Car"/>
    <w:basedOn w:val="Policepardfaut"/>
    <w:link w:val="Citation"/>
    <w:uiPriority w:val="29"/>
    <w:rsid w:val="00B50440"/>
    <w:rPr>
      <w:i/>
      <w:iCs/>
      <w:color w:val="404040" w:themeColor="text1" w:themeTint="BF"/>
    </w:rPr>
  </w:style>
  <w:style w:type="paragraph" w:styleId="Paragraphedeliste">
    <w:name w:val="List Paragraph"/>
    <w:basedOn w:val="Normal"/>
    <w:uiPriority w:val="34"/>
    <w:qFormat/>
    <w:rsid w:val="00B50440"/>
    <w:pPr>
      <w:ind w:left="720"/>
      <w:contextualSpacing/>
    </w:pPr>
  </w:style>
  <w:style w:type="character" w:styleId="Accentuationintense">
    <w:name w:val="Intense Emphasis"/>
    <w:basedOn w:val="Policepardfaut"/>
    <w:uiPriority w:val="21"/>
    <w:qFormat/>
    <w:rsid w:val="00B50440"/>
    <w:rPr>
      <w:i/>
      <w:iCs/>
      <w:color w:val="0F4761" w:themeColor="accent1" w:themeShade="BF"/>
    </w:rPr>
  </w:style>
  <w:style w:type="paragraph" w:styleId="Citationintense">
    <w:name w:val="Intense Quote"/>
    <w:basedOn w:val="Normal"/>
    <w:next w:val="Normal"/>
    <w:link w:val="CitationintenseCar"/>
    <w:uiPriority w:val="30"/>
    <w:qFormat/>
    <w:rsid w:val="00B504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50440"/>
    <w:rPr>
      <w:i/>
      <w:iCs/>
      <w:color w:val="0F4761" w:themeColor="accent1" w:themeShade="BF"/>
    </w:rPr>
  </w:style>
  <w:style w:type="character" w:styleId="Rfrenceintense">
    <w:name w:val="Intense Reference"/>
    <w:basedOn w:val="Policepardfaut"/>
    <w:uiPriority w:val="32"/>
    <w:qFormat/>
    <w:rsid w:val="00B50440"/>
    <w:rPr>
      <w:b/>
      <w:bCs/>
      <w:smallCaps/>
      <w:color w:val="0F4761" w:themeColor="accent1" w:themeShade="BF"/>
      <w:spacing w:val="5"/>
    </w:rPr>
  </w:style>
  <w:style w:type="character" w:styleId="Marquedecommentaire">
    <w:name w:val="annotation reference"/>
    <w:basedOn w:val="Policepardfaut"/>
    <w:uiPriority w:val="99"/>
    <w:semiHidden/>
    <w:unhideWhenUsed/>
    <w:rsid w:val="00B42FDB"/>
    <w:rPr>
      <w:sz w:val="16"/>
      <w:szCs w:val="16"/>
    </w:rPr>
  </w:style>
  <w:style w:type="paragraph" w:styleId="Commentaire">
    <w:name w:val="annotation text"/>
    <w:basedOn w:val="Normal"/>
    <w:link w:val="CommentaireCar"/>
    <w:uiPriority w:val="99"/>
    <w:unhideWhenUsed/>
    <w:rsid w:val="00B42FDB"/>
    <w:pPr>
      <w:spacing w:after="0" w:line="240" w:lineRule="auto"/>
      <w:jc w:val="both"/>
    </w:pPr>
    <w:rPr>
      <w:rFonts w:ascii="Times New Roman" w:eastAsia="Times New Roman" w:hAnsi="Times New Roman" w:cs="Times New Roman"/>
      <w:kern w:val="0"/>
      <w:sz w:val="20"/>
      <w:szCs w:val="20"/>
      <w:lang w:eastAsia="fr-FR"/>
      <w14:ligatures w14:val="none"/>
    </w:rPr>
  </w:style>
  <w:style w:type="character" w:customStyle="1" w:styleId="CommentaireCar">
    <w:name w:val="Commentaire Car"/>
    <w:basedOn w:val="Policepardfaut"/>
    <w:link w:val="Commentaire"/>
    <w:uiPriority w:val="99"/>
    <w:rsid w:val="00B42FDB"/>
    <w:rPr>
      <w:rFonts w:ascii="Times New Roman" w:eastAsia="Times New Roman" w:hAnsi="Times New Roman" w:cs="Times New Roman"/>
      <w:kern w:val="0"/>
      <w:sz w:val="20"/>
      <w:szCs w:val="20"/>
      <w:lang w:eastAsia="fr-FR"/>
      <w14:ligatures w14:val="none"/>
    </w:rPr>
  </w:style>
  <w:style w:type="paragraph" w:styleId="Notedebasdepage">
    <w:name w:val="footnote text"/>
    <w:basedOn w:val="Normal"/>
    <w:link w:val="NotedebasdepageCar"/>
    <w:uiPriority w:val="99"/>
    <w:unhideWhenUsed/>
    <w:qFormat/>
    <w:rsid w:val="000A3594"/>
    <w:pPr>
      <w:spacing w:after="0" w:line="240" w:lineRule="auto"/>
      <w:ind w:left="284" w:hanging="284"/>
    </w:pPr>
    <w:rPr>
      <w:rFonts w:ascii="Times New Roman" w:hAnsi="Times New Roman" w:cs="Times New Roman"/>
      <w:kern w:val="0"/>
      <w:sz w:val="20"/>
      <w:szCs w:val="20"/>
      <w14:ligatures w14:val="none"/>
    </w:rPr>
  </w:style>
  <w:style w:type="character" w:customStyle="1" w:styleId="NotedebasdepageCar">
    <w:name w:val="Note de bas de page Car"/>
    <w:basedOn w:val="Policepardfaut"/>
    <w:link w:val="Notedebasdepage"/>
    <w:uiPriority w:val="99"/>
    <w:rsid w:val="000A3594"/>
    <w:rPr>
      <w:rFonts w:ascii="Times New Roman" w:hAnsi="Times New Roman" w:cs="Times New Roman"/>
      <w:kern w:val="0"/>
      <w:sz w:val="20"/>
      <w:szCs w:val="20"/>
      <w14:ligatures w14:val="none"/>
    </w:rPr>
  </w:style>
  <w:style w:type="character" w:styleId="Appelnotedebasdep">
    <w:name w:val="footnote reference"/>
    <w:basedOn w:val="Policepardfaut"/>
    <w:uiPriority w:val="99"/>
    <w:unhideWhenUsed/>
    <w:rsid w:val="00362283"/>
    <w:rPr>
      <w:vertAlign w:val="superscript"/>
    </w:rPr>
  </w:style>
  <w:style w:type="character" w:styleId="Lienhypertexte">
    <w:name w:val="Hyperlink"/>
    <w:basedOn w:val="Policepardfaut"/>
    <w:uiPriority w:val="99"/>
    <w:unhideWhenUsed/>
    <w:rsid w:val="001934A7"/>
    <w:rPr>
      <w:color w:val="0000FF"/>
      <w:u w:val="single"/>
    </w:rPr>
  </w:style>
  <w:style w:type="character" w:styleId="Accentuation">
    <w:name w:val="Emphasis"/>
    <w:basedOn w:val="Policepardfaut"/>
    <w:uiPriority w:val="20"/>
    <w:qFormat/>
    <w:rsid w:val="001934A7"/>
    <w:rPr>
      <w:i/>
      <w:iCs/>
    </w:rPr>
  </w:style>
  <w:style w:type="character" w:customStyle="1" w:styleId="author-meta">
    <w:name w:val="author-meta"/>
    <w:basedOn w:val="Policepardfaut"/>
    <w:rsid w:val="00B0188F"/>
  </w:style>
  <w:style w:type="character" w:customStyle="1" w:styleId="documentfirstua">
    <w:name w:val="documentfirstua"/>
    <w:basedOn w:val="Policepardfaut"/>
    <w:rsid w:val="00912F0F"/>
  </w:style>
  <w:style w:type="paragraph" w:styleId="En-tte">
    <w:name w:val="header"/>
    <w:basedOn w:val="Normal"/>
    <w:link w:val="En-tteCar"/>
    <w:uiPriority w:val="99"/>
    <w:unhideWhenUsed/>
    <w:rsid w:val="006A0E31"/>
    <w:pPr>
      <w:tabs>
        <w:tab w:val="center" w:pos="4536"/>
        <w:tab w:val="right" w:pos="9072"/>
      </w:tabs>
      <w:spacing w:after="0" w:line="240" w:lineRule="auto"/>
    </w:pPr>
  </w:style>
  <w:style w:type="character" w:customStyle="1" w:styleId="En-tteCar">
    <w:name w:val="En-tête Car"/>
    <w:basedOn w:val="Policepardfaut"/>
    <w:link w:val="En-tte"/>
    <w:uiPriority w:val="99"/>
    <w:rsid w:val="006A0E31"/>
  </w:style>
  <w:style w:type="paragraph" w:styleId="Pieddepage">
    <w:name w:val="footer"/>
    <w:basedOn w:val="Normal"/>
    <w:link w:val="PieddepageCar"/>
    <w:uiPriority w:val="99"/>
    <w:unhideWhenUsed/>
    <w:rsid w:val="006A0E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0E31"/>
  </w:style>
  <w:style w:type="character" w:customStyle="1" w:styleId="highlight-phrase">
    <w:name w:val="highlight-phrase"/>
    <w:basedOn w:val="Policepardfaut"/>
    <w:rsid w:val="00E24672"/>
  </w:style>
  <w:style w:type="character" w:customStyle="1" w:styleId="selected">
    <w:name w:val="selected"/>
    <w:basedOn w:val="Policepardfaut"/>
    <w:rsid w:val="00E24672"/>
  </w:style>
  <w:style w:type="character" w:customStyle="1" w:styleId="srvrlnk">
    <w:name w:val="srvrlnk"/>
    <w:basedOn w:val="Policepardfaut"/>
    <w:rsid w:val="001B207D"/>
  </w:style>
  <w:style w:type="character" w:styleId="Mentionnonrsolue">
    <w:name w:val="Unresolved Mention"/>
    <w:basedOn w:val="Policepardfaut"/>
    <w:uiPriority w:val="99"/>
    <w:semiHidden/>
    <w:unhideWhenUsed/>
    <w:rsid w:val="000E0148"/>
    <w:rPr>
      <w:color w:val="605E5C"/>
      <w:shd w:val="clear" w:color="auto" w:fill="E1DFDD"/>
    </w:rPr>
  </w:style>
  <w:style w:type="character" w:customStyle="1" w:styleId="serif">
    <w:name w:val="serif"/>
    <w:basedOn w:val="Policepardfaut"/>
    <w:rsid w:val="00B05D81"/>
  </w:style>
  <w:style w:type="paragraph" w:styleId="Listepuces">
    <w:name w:val="List Bullet"/>
    <w:basedOn w:val="Normal"/>
    <w:uiPriority w:val="99"/>
    <w:unhideWhenUsed/>
    <w:rsid w:val="002B7395"/>
    <w:pPr>
      <w:numPr>
        <w:numId w:val="9"/>
      </w:numPr>
      <w:contextualSpacing/>
    </w:pPr>
  </w:style>
  <w:style w:type="character" w:customStyle="1" w:styleId="margintop14">
    <w:name w:val="margintop14"/>
    <w:basedOn w:val="Policepardfaut"/>
    <w:rsid w:val="006835F6"/>
  </w:style>
  <w:style w:type="paragraph" w:customStyle="1" w:styleId="numerodeparagraphe">
    <w:name w:val="numero de paragraphe"/>
    <w:basedOn w:val="Normal"/>
    <w:link w:val="numerodeparagrapheCar"/>
    <w:qFormat/>
    <w:rsid w:val="00B14BB9"/>
    <w:pPr>
      <w:widowControl w:val="0"/>
      <w:numPr>
        <w:numId w:val="2"/>
      </w:numPr>
      <w:spacing w:before="120" w:after="0" w:line="240" w:lineRule="auto"/>
      <w:jc w:val="both"/>
    </w:pPr>
    <w:rPr>
      <w:rFonts w:ascii="Times New Roman" w:hAnsi="Times New Roman" w:cs="Times New Roman"/>
    </w:rPr>
  </w:style>
  <w:style w:type="character" w:customStyle="1" w:styleId="numerodeparagrapheCar">
    <w:name w:val="numero de paragraphe Car"/>
    <w:basedOn w:val="Policepardfaut"/>
    <w:link w:val="numerodeparagraphe"/>
    <w:rsid w:val="00B14BB9"/>
    <w:rPr>
      <w:rFonts w:ascii="Times New Roman" w:hAnsi="Times New Roman" w:cs="Times New Roman"/>
    </w:rPr>
  </w:style>
  <w:style w:type="character" w:customStyle="1" w:styleId="expandableitem">
    <w:name w:val="expandableitem"/>
    <w:basedOn w:val="Policepardfaut"/>
    <w:rsid w:val="007B27AE"/>
  </w:style>
  <w:style w:type="character" w:customStyle="1" w:styleId="srvrLnk0">
    <w:name w:val="srvrLnk"/>
    <w:basedOn w:val="Policepardfaut"/>
    <w:rsid w:val="00B22980"/>
  </w:style>
  <w:style w:type="character" w:customStyle="1" w:styleId="link">
    <w:name w:val="link"/>
    <w:basedOn w:val="Policepardfaut"/>
    <w:rsid w:val="00B22980"/>
  </w:style>
  <w:style w:type="character" w:customStyle="1" w:styleId="editable">
    <w:name w:val="editable"/>
    <w:basedOn w:val="Policepardfaut"/>
    <w:rsid w:val="00F56AD9"/>
  </w:style>
  <w:style w:type="paragraph" w:styleId="Notedefin">
    <w:name w:val="endnote text"/>
    <w:basedOn w:val="Normal"/>
    <w:link w:val="NotedefinCar"/>
    <w:uiPriority w:val="99"/>
    <w:semiHidden/>
    <w:unhideWhenUsed/>
    <w:rsid w:val="00056565"/>
    <w:pPr>
      <w:spacing w:after="0" w:line="240" w:lineRule="auto"/>
    </w:pPr>
    <w:rPr>
      <w:sz w:val="20"/>
      <w:szCs w:val="20"/>
    </w:rPr>
  </w:style>
  <w:style w:type="character" w:customStyle="1" w:styleId="NotedefinCar">
    <w:name w:val="Note de fin Car"/>
    <w:basedOn w:val="Policepardfaut"/>
    <w:link w:val="Notedefin"/>
    <w:uiPriority w:val="99"/>
    <w:semiHidden/>
    <w:rsid w:val="00056565"/>
    <w:rPr>
      <w:sz w:val="20"/>
      <w:szCs w:val="20"/>
    </w:rPr>
  </w:style>
  <w:style w:type="character" w:styleId="Appeldenotedefin">
    <w:name w:val="endnote reference"/>
    <w:basedOn w:val="Policepardfaut"/>
    <w:uiPriority w:val="99"/>
    <w:semiHidden/>
    <w:unhideWhenUsed/>
    <w:rsid w:val="000565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4044">
      <w:bodyDiv w:val="1"/>
      <w:marLeft w:val="0"/>
      <w:marRight w:val="0"/>
      <w:marTop w:val="0"/>
      <w:marBottom w:val="0"/>
      <w:divBdr>
        <w:top w:val="none" w:sz="0" w:space="0" w:color="auto"/>
        <w:left w:val="none" w:sz="0" w:space="0" w:color="auto"/>
        <w:bottom w:val="none" w:sz="0" w:space="0" w:color="auto"/>
        <w:right w:val="none" w:sz="0" w:space="0" w:color="auto"/>
      </w:divBdr>
    </w:div>
    <w:div w:id="351610307">
      <w:bodyDiv w:val="1"/>
      <w:marLeft w:val="0"/>
      <w:marRight w:val="0"/>
      <w:marTop w:val="0"/>
      <w:marBottom w:val="0"/>
      <w:divBdr>
        <w:top w:val="none" w:sz="0" w:space="0" w:color="auto"/>
        <w:left w:val="none" w:sz="0" w:space="0" w:color="auto"/>
        <w:bottom w:val="none" w:sz="0" w:space="0" w:color="auto"/>
        <w:right w:val="none" w:sz="0" w:space="0" w:color="auto"/>
      </w:divBdr>
    </w:div>
    <w:div w:id="457334318">
      <w:bodyDiv w:val="1"/>
      <w:marLeft w:val="0"/>
      <w:marRight w:val="0"/>
      <w:marTop w:val="0"/>
      <w:marBottom w:val="0"/>
      <w:divBdr>
        <w:top w:val="none" w:sz="0" w:space="0" w:color="auto"/>
        <w:left w:val="none" w:sz="0" w:space="0" w:color="auto"/>
        <w:bottom w:val="none" w:sz="0" w:space="0" w:color="auto"/>
        <w:right w:val="none" w:sz="0" w:space="0" w:color="auto"/>
      </w:divBdr>
    </w:div>
    <w:div w:id="778180427">
      <w:bodyDiv w:val="1"/>
      <w:marLeft w:val="0"/>
      <w:marRight w:val="0"/>
      <w:marTop w:val="0"/>
      <w:marBottom w:val="0"/>
      <w:divBdr>
        <w:top w:val="none" w:sz="0" w:space="0" w:color="auto"/>
        <w:left w:val="none" w:sz="0" w:space="0" w:color="auto"/>
        <w:bottom w:val="none" w:sz="0" w:space="0" w:color="auto"/>
        <w:right w:val="none" w:sz="0" w:space="0" w:color="auto"/>
      </w:divBdr>
      <w:divsChild>
        <w:div w:id="1116146124">
          <w:marLeft w:val="0"/>
          <w:marRight w:val="0"/>
          <w:marTop w:val="0"/>
          <w:marBottom w:val="0"/>
          <w:divBdr>
            <w:top w:val="none" w:sz="0" w:space="0" w:color="auto"/>
            <w:left w:val="none" w:sz="0" w:space="0" w:color="auto"/>
            <w:bottom w:val="none" w:sz="0" w:space="0" w:color="auto"/>
            <w:right w:val="none" w:sz="0" w:space="0" w:color="auto"/>
          </w:divBdr>
          <w:divsChild>
            <w:div w:id="1151286898">
              <w:marLeft w:val="0"/>
              <w:marRight w:val="0"/>
              <w:marTop w:val="0"/>
              <w:marBottom w:val="0"/>
              <w:divBdr>
                <w:top w:val="none" w:sz="0" w:space="0" w:color="auto"/>
                <w:left w:val="none" w:sz="0" w:space="0" w:color="auto"/>
                <w:bottom w:val="none" w:sz="0" w:space="0" w:color="auto"/>
                <w:right w:val="none" w:sz="0" w:space="0" w:color="auto"/>
              </w:divBdr>
            </w:div>
          </w:divsChild>
        </w:div>
        <w:div w:id="1314602862">
          <w:marLeft w:val="0"/>
          <w:marRight w:val="0"/>
          <w:marTop w:val="0"/>
          <w:marBottom w:val="0"/>
          <w:divBdr>
            <w:top w:val="none" w:sz="0" w:space="0" w:color="auto"/>
            <w:left w:val="none" w:sz="0" w:space="0" w:color="auto"/>
            <w:bottom w:val="none" w:sz="0" w:space="0" w:color="auto"/>
            <w:right w:val="none" w:sz="0" w:space="0" w:color="auto"/>
          </w:divBdr>
          <w:divsChild>
            <w:div w:id="1524782742">
              <w:marLeft w:val="0"/>
              <w:marRight w:val="0"/>
              <w:marTop w:val="0"/>
              <w:marBottom w:val="0"/>
              <w:divBdr>
                <w:top w:val="none" w:sz="0" w:space="0" w:color="auto"/>
                <w:left w:val="none" w:sz="0" w:space="0" w:color="auto"/>
                <w:bottom w:val="none" w:sz="0" w:space="0" w:color="auto"/>
                <w:right w:val="none" w:sz="0" w:space="0" w:color="auto"/>
              </w:divBdr>
            </w:div>
          </w:divsChild>
        </w:div>
        <w:div w:id="1672567749">
          <w:marLeft w:val="0"/>
          <w:marRight w:val="0"/>
          <w:marTop w:val="0"/>
          <w:marBottom w:val="0"/>
          <w:divBdr>
            <w:top w:val="none" w:sz="0" w:space="0" w:color="auto"/>
            <w:left w:val="none" w:sz="0" w:space="0" w:color="auto"/>
            <w:bottom w:val="none" w:sz="0" w:space="0" w:color="auto"/>
            <w:right w:val="none" w:sz="0" w:space="0" w:color="auto"/>
          </w:divBdr>
          <w:divsChild>
            <w:div w:id="17481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7058">
      <w:bodyDiv w:val="1"/>
      <w:marLeft w:val="0"/>
      <w:marRight w:val="0"/>
      <w:marTop w:val="0"/>
      <w:marBottom w:val="0"/>
      <w:divBdr>
        <w:top w:val="none" w:sz="0" w:space="0" w:color="auto"/>
        <w:left w:val="none" w:sz="0" w:space="0" w:color="auto"/>
        <w:bottom w:val="none" w:sz="0" w:space="0" w:color="auto"/>
        <w:right w:val="none" w:sz="0" w:space="0" w:color="auto"/>
      </w:divBdr>
    </w:div>
    <w:div w:id="1443380643">
      <w:bodyDiv w:val="1"/>
      <w:marLeft w:val="0"/>
      <w:marRight w:val="0"/>
      <w:marTop w:val="0"/>
      <w:marBottom w:val="0"/>
      <w:divBdr>
        <w:top w:val="none" w:sz="0" w:space="0" w:color="auto"/>
        <w:left w:val="none" w:sz="0" w:space="0" w:color="auto"/>
        <w:bottom w:val="none" w:sz="0" w:space="0" w:color="auto"/>
        <w:right w:val="none" w:sz="0" w:space="0" w:color="auto"/>
      </w:divBdr>
    </w:div>
    <w:div w:id="1474979284">
      <w:bodyDiv w:val="1"/>
      <w:marLeft w:val="0"/>
      <w:marRight w:val="0"/>
      <w:marTop w:val="0"/>
      <w:marBottom w:val="0"/>
      <w:divBdr>
        <w:top w:val="none" w:sz="0" w:space="0" w:color="auto"/>
        <w:left w:val="none" w:sz="0" w:space="0" w:color="auto"/>
        <w:bottom w:val="none" w:sz="0" w:space="0" w:color="auto"/>
        <w:right w:val="none" w:sz="0" w:space="0" w:color="auto"/>
      </w:divBdr>
    </w:div>
    <w:div w:id="1519469070">
      <w:bodyDiv w:val="1"/>
      <w:marLeft w:val="0"/>
      <w:marRight w:val="0"/>
      <w:marTop w:val="0"/>
      <w:marBottom w:val="0"/>
      <w:divBdr>
        <w:top w:val="none" w:sz="0" w:space="0" w:color="auto"/>
        <w:left w:val="none" w:sz="0" w:space="0" w:color="auto"/>
        <w:bottom w:val="none" w:sz="0" w:space="0" w:color="auto"/>
        <w:right w:val="none" w:sz="0" w:space="0" w:color="auto"/>
      </w:divBdr>
    </w:div>
    <w:div w:id="1699619701">
      <w:bodyDiv w:val="1"/>
      <w:marLeft w:val="0"/>
      <w:marRight w:val="0"/>
      <w:marTop w:val="0"/>
      <w:marBottom w:val="0"/>
      <w:divBdr>
        <w:top w:val="none" w:sz="0" w:space="0" w:color="auto"/>
        <w:left w:val="none" w:sz="0" w:space="0" w:color="auto"/>
        <w:bottom w:val="none" w:sz="0" w:space="0" w:color="auto"/>
        <w:right w:val="none" w:sz="0" w:space="0" w:color="auto"/>
      </w:divBdr>
    </w:div>
    <w:div w:id="1805389928">
      <w:bodyDiv w:val="1"/>
      <w:marLeft w:val="0"/>
      <w:marRight w:val="0"/>
      <w:marTop w:val="0"/>
      <w:marBottom w:val="0"/>
      <w:divBdr>
        <w:top w:val="none" w:sz="0" w:space="0" w:color="auto"/>
        <w:left w:val="none" w:sz="0" w:space="0" w:color="auto"/>
        <w:bottom w:val="none" w:sz="0" w:space="0" w:color="auto"/>
        <w:right w:val="none" w:sz="0" w:space="0" w:color="auto"/>
      </w:divBdr>
    </w:div>
    <w:div w:id="1852404178">
      <w:bodyDiv w:val="1"/>
      <w:marLeft w:val="0"/>
      <w:marRight w:val="0"/>
      <w:marTop w:val="0"/>
      <w:marBottom w:val="0"/>
      <w:divBdr>
        <w:top w:val="none" w:sz="0" w:space="0" w:color="auto"/>
        <w:left w:val="none" w:sz="0" w:space="0" w:color="auto"/>
        <w:bottom w:val="none" w:sz="0" w:space="0" w:color="auto"/>
        <w:right w:val="none" w:sz="0" w:space="0" w:color="auto"/>
      </w:divBdr>
    </w:div>
    <w:div w:id="1862476940">
      <w:bodyDiv w:val="1"/>
      <w:marLeft w:val="0"/>
      <w:marRight w:val="0"/>
      <w:marTop w:val="0"/>
      <w:marBottom w:val="0"/>
      <w:divBdr>
        <w:top w:val="none" w:sz="0" w:space="0" w:color="auto"/>
        <w:left w:val="none" w:sz="0" w:space="0" w:color="auto"/>
        <w:bottom w:val="none" w:sz="0" w:space="0" w:color="auto"/>
        <w:right w:val="none" w:sz="0" w:space="0" w:color="auto"/>
      </w:divBdr>
    </w:div>
    <w:div w:id="2143645187">
      <w:bodyDiv w:val="1"/>
      <w:marLeft w:val="0"/>
      <w:marRight w:val="0"/>
      <w:marTop w:val="0"/>
      <w:marBottom w:val="0"/>
      <w:divBdr>
        <w:top w:val="none" w:sz="0" w:space="0" w:color="auto"/>
        <w:left w:val="none" w:sz="0" w:space="0" w:color="auto"/>
        <w:bottom w:val="none" w:sz="0" w:space="0" w:color="auto"/>
        <w:right w:val="none" w:sz="0" w:space="0" w:color="auto"/>
      </w:divBdr>
      <w:divsChild>
        <w:div w:id="992947153">
          <w:marLeft w:val="0"/>
          <w:marRight w:val="0"/>
          <w:marTop w:val="0"/>
          <w:marBottom w:val="0"/>
          <w:divBdr>
            <w:top w:val="none" w:sz="0" w:space="0" w:color="auto"/>
            <w:left w:val="none" w:sz="0" w:space="0" w:color="auto"/>
            <w:bottom w:val="none" w:sz="0" w:space="0" w:color="auto"/>
            <w:right w:val="none" w:sz="0" w:space="0" w:color="auto"/>
          </w:divBdr>
          <w:divsChild>
            <w:div w:id="1647472789">
              <w:marLeft w:val="0"/>
              <w:marRight w:val="0"/>
              <w:marTop w:val="0"/>
              <w:marBottom w:val="0"/>
              <w:divBdr>
                <w:top w:val="none" w:sz="0" w:space="0" w:color="auto"/>
                <w:left w:val="none" w:sz="0" w:space="0" w:color="auto"/>
                <w:bottom w:val="none" w:sz="0" w:space="0" w:color="auto"/>
                <w:right w:val="none" w:sz="0" w:space="0" w:color="auto"/>
              </w:divBdr>
            </w:div>
          </w:divsChild>
        </w:div>
        <w:div w:id="1578052908">
          <w:marLeft w:val="0"/>
          <w:marRight w:val="0"/>
          <w:marTop w:val="0"/>
          <w:marBottom w:val="0"/>
          <w:divBdr>
            <w:top w:val="none" w:sz="0" w:space="0" w:color="auto"/>
            <w:left w:val="none" w:sz="0" w:space="0" w:color="auto"/>
            <w:bottom w:val="none" w:sz="0" w:space="0" w:color="auto"/>
            <w:right w:val="none" w:sz="0" w:space="0" w:color="auto"/>
          </w:divBdr>
          <w:divsChild>
            <w:div w:id="736316580">
              <w:marLeft w:val="0"/>
              <w:marRight w:val="0"/>
              <w:marTop w:val="0"/>
              <w:marBottom w:val="0"/>
              <w:divBdr>
                <w:top w:val="none" w:sz="0" w:space="0" w:color="auto"/>
                <w:left w:val="none" w:sz="0" w:space="0" w:color="auto"/>
                <w:bottom w:val="none" w:sz="0" w:space="0" w:color="auto"/>
                <w:right w:val="none" w:sz="0" w:space="0" w:color="auto"/>
              </w:divBdr>
            </w:div>
          </w:divsChild>
        </w:div>
        <w:div w:id="1998142541">
          <w:marLeft w:val="0"/>
          <w:marRight w:val="0"/>
          <w:marTop w:val="0"/>
          <w:marBottom w:val="0"/>
          <w:divBdr>
            <w:top w:val="none" w:sz="0" w:space="0" w:color="auto"/>
            <w:left w:val="none" w:sz="0" w:space="0" w:color="auto"/>
            <w:bottom w:val="none" w:sz="0" w:space="0" w:color="auto"/>
            <w:right w:val="none" w:sz="0" w:space="0" w:color="auto"/>
          </w:divBdr>
          <w:divsChild>
            <w:div w:id="3642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61F89-475E-4909-AF9E-4E3358B6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22</Pages>
  <Words>9748</Words>
  <Characters>53614</Characters>
  <Application>Microsoft Office Word</Application>
  <DocSecurity>0</DocSecurity>
  <Lines>446</Lines>
  <Paragraphs>126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Mainguy</dc:creator>
  <cp:keywords/>
  <dc:description/>
  <cp:lastModifiedBy>Dan Mainguy</cp:lastModifiedBy>
  <cp:revision>34</cp:revision>
  <cp:lastPrinted>2024-10-01T16:41:00Z</cp:lastPrinted>
  <dcterms:created xsi:type="dcterms:W3CDTF">2024-10-16T15:48:00Z</dcterms:created>
  <dcterms:modified xsi:type="dcterms:W3CDTF">2024-10-18T06:55:00Z</dcterms:modified>
</cp:coreProperties>
</file>