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4236" w14:textId="754E3DC7" w:rsidR="00C032FF" w:rsidRPr="00F10ADE" w:rsidRDefault="00F10ADE" w:rsidP="00F10ADE">
      <w:pPr>
        <w:jc w:val="both"/>
        <w:rPr>
          <w:rFonts w:ascii="Arial" w:hAnsi="Arial" w:cs="Arial"/>
          <w:sz w:val="24"/>
          <w:szCs w:val="24"/>
        </w:rPr>
      </w:pPr>
      <w:r w:rsidRPr="00F10ADE">
        <w:rPr>
          <w:rFonts w:ascii="Arial" w:hAnsi="Arial" w:cs="Arial"/>
          <w:sz w:val="24"/>
          <w:szCs w:val="24"/>
        </w:rPr>
        <w:t>Communiqué de presse</w:t>
      </w:r>
    </w:p>
    <w:p w14:paraId="33799E18" w14:textId="03A9C615" w:rsidR="00F10ADE" w:rsidRPr="006C06A2" w:rsidRDefault="006C06A2" w:rsidP="006C06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06A2">
        <w:rPr>
          <w:rFonts w:ascii="Arial" w:hAnsi="Arial" w:cs="Arial"/>
          <w:b/>
          <w:bCs/>
          <w:sz w:val="24"/>
          <w:szCs w:val="24"/>
        </w:rPr>
        <w:t>AFFAIRE AMADOU TALLA DAFF : D’ABORD UN GACHIS POUR LES MANTAIS</w:t>
      </w:r>
    </w:p>
    <w:p w14:paraId="60D5E566" w14:textId="459F4A79" w:rsidR="00F10ADE" w:rsidRDefault="00F10ADE" w:rsidP="00F10ADE">
      <w:pPr>
        <w:jc w:val="both"/>
        <w:rPr>
          <w:rFonts w:ascii="Arial" w:hAnsi="Arial" w:cs="Arial"/>
          <w:sz w:val="24"/>
          <w:szCs w:val="24"/>
        </w:rPr>
      </w:pPr>
      <w:r w:rsidRPr="00F10ADE">
        <w:rPr>
          <w:rFonts w:ascii="Arial" w:hAnsi="Arial" w:cs="Arial"/>
          <w:sz w:val="24"/>
          <w:szCs w:val="24"/>
        </w:rPr>
        <w:t>L’ancien maire-adjoint de Mantes-la-Jolie a été mis en examen pour détournement de fonds publics et blanchiment</w:t>
      </w:r>
      <w:r>
        <w:rPr>
          <w:rFonts w:ascii="Arial" w:hAnsi="Arial" w:cs="Arial"/>
          <w:sz w:val="24"/>
          <w:szCs w:val="24"/>
        </w:rPr>
        <w:t xml:space="preserve"> et comparaitra le 23 juin devant le tribunal judiciaire de Versailles.</w:t>
      </w:r>
    </w:p>
    <w:p w14:paraId="0AD73076" w14:textId="4B1CA1BD" w:rsidR="00F10ADE" w:rsidRDefault="00F10ADE" w:rsidP="00F10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question de sommes avoisinant les 500.000 euros et de plusieurs centaines de chèques encaissées sur son propre compte bancaire.</w:t>
      </w:r>
    </w:p>
    <w:p w14:paraId="4FA9D40B" w14:textId="0DA82412" w:rsidR="00F10ADE" w:rsidRPr="006C06A2" w:rsidRDefault="006C06A2" w:rsidP="00F10AD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C06A2">
        <w:rPr>
          <w:rFonts w:ascii="Arial" w:hAnsi="Arial" w:cs="Arial"/>
          <w:b/>
          <w:bCs/>
          <w:sz w:val="24"/>
          <w:szCs w:val="24"/>
          <w:u w:val="single"/>
        </w:rPr>
        <w:t>LES PREMIERS CONCERNES : LES MANTAIS !</w:t>
      </w:r>
    </w:p>
    <w:p w14:paraId="01FDBFE7" w14:textId="227B0D2C" w:rsidR="00F10ADE" w:rsidRDefault="00F10ADE" w:rsidP="00F10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Au-delà de la polémique politicienne que certains de ses soutiens organisent, ce qui compte c’est le préjudice qu’aurait subi les salariés de « l’entreprise sociale et solidaire » : le Collectif Mantais de Médiation et des besoins qu’il était </w:t>
      </w:r>
      <w:r w:rsidR="00662BC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ensé satisfaire – y compris par son dispositif agréé de « correspondants de nuit » au profit des locataires des bailleurs sociaux.</w:t>
      </w:r>
    </w:p>
    <w:p w14:paraId="73440693" w14:textId="6FEBE26D" w:rsidR="00F10ADE" w:rsidRPr="006C06A2" w:rsidRDefault="006C06A2" w:rsidP="00F10AD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C06A2">
        <w:rPr>
          <w:rFonts w:ascii="Arial" w:hAnsi="Arial" w:cs="Arial"/>
          <w:b/>
          <w:bCs/>
          <w:sz w:val="24"/>
          <w:szCs w:val="24"/>
          <w:u w:val="single"/>
        </w:rPr>
        <w:t>UN DEFAUT EVIDENT DE VIGILANCE</w:t>
      </w:r>
    </w:p>
    <w:p w14:paraId="3FE5336D" w14:textId="28DC9A1E" w:rsidR="00F10ADE" w:rsidRDefault="00F10ADE" w:rsidP="00F10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Avec des bilans annuels tournant</w:t>
      </w:r>
      <w:r w:rsidR="00186F9F">
        <w:rPr>
          <w:rFonts w:ascii="Arial" w:hAnsi="Arial" w:cs="Arial"/>
          <w:sz w:val="24"/>
          <w:szCs w:val="24"/>
        </w:rPr>
        <w:t xml:space="preserve"> autour de 500.000 euros, l’entreprise « solidaire » défunte (la dissolution a été prononcée légalement le 19 octobre 2023) ne se finançait que grâce à des subventions diverses.</w:t>
      </w:r>
    </w:p>
    <w:p w14:paraId="579BDDD0" w14:textId="6F786933" w:rsidR="00186F9F" w:rsidRDefault="00186F9F" w:rsidP="00F10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 bénéficiait pour cela de diverses conventions avec l’Etat comme avec les bailleurs sociaux.</w:t>
      </w:r>
    </w:p>
    <w:p w14:paraId="4146FCC1" w14:textId="2D768F40" w:rsidR="00186F9F" w:rsidRDefault="00186F9F" w:rsidP="00F10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ce qui concerne notre municipalité, l’association bénéficiait d’environ 150.000 euros annuels de subvention.</w:t>
      </w:r>
    </w:p>
    <w:p w14:paraId="308724F6" w14:textId="7001E55D" w:rsidR="00186F9F" w:rsidRDefault="00186F9F" w:rsidP="00F10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 la Ville y était représentée par un élu de la majorité municipale, en l’occurrence Marc </w:t>
      </w:r>
      <w:proofErr w:type="spellStart"/>
      <w:r>
        <w:rPr>
          <w:rFonts w:ascii="Arial" w:hAnsi="Arial" w:cs="Arial"/>
          <w:sz w:val="24"/>
          <w:szCs w:val="24"/>
        </w:rPr>
        <w:t>Dolinsky</w:t>
      </w:r>
      <w:proofErr w:type="spellEnd"/>
      <w:r>
        <w:rPr>
          <w:rFonts w:ascii="Arial" w:hAnsi="Arial" w:cs="Arial"/>
          <w:sz w:val="24"/>
          <w:szCs w:val="24"/>
        </w:rPr>
        <w:t xml:space="preserve">, actuellement conseiller municipal </w:t>
      </w:r>
      <w:proofErr w:type="gramStart"/>
      <w:r>
        <w:rPr>
          <w:rFonts w:ascii="Arial" w:hAnsi="Arial" w:cs="Arial"/>
          <w:sz w:val="24"/>
          <w:szCs w:val="24"/>
        </w:rPr>
        <w:t>dél</w:t>
      </w:r>
      <w:r w:rsidR="006C06A2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gué</w:t>
      </w:r>
      <w:proofErr w:type="gramEnd"/>
      <w:r>
        <w:rPr>
          <w:rFonts w:ascii="Arial" w:hAnsi="Arial" w:cs="Arial"/>
          <w:sz w:val="24"/>
          <w:szCs w:val="24"/>
        </w:rPr>
        <w:t xml:space="preserve"> en charge de la Prévention.</w:t>
      </w:r>
    </w:p>
    <w:p w14:paraId="15FD3C8B" w14:textId="0EFEEB74" w:rsidR="00186F9F" w:rsidRPr="006C06A2" w:rsidRDefault="00186F9F" w:rsidP="00F10AD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C06A2">
        <w:rPr>
          <w:rFonts w:ascii="Arial" w:hAnsi="Arial" w:cs="Arial"/>
          <w:b/>
          <w:bCs/>
          <w:sz w:val="24"/>
          <w:szCs w:val="24"/>
        </w:rPr>
        <w:t xml:space="preserve">Je ne peux que m’interroger sur les salaires d’une bonne dizaine de médiateurs (dont certains travaillaient de nuit) exploités au SMIC horaire alors que le salaire alloué au Directeur général qu’était Monsieur </w:t>
      </w:r>
      <w:proofErr w:type="spellStart"/>
      <w:r w:rsidRPr="006C06A2">
        <w:rPr>
          <w:rFonts w:ascii="Arial" w:hAnsi="Arial" w:cs="Arial"/>
          <w:b/>
          <w:bCs/>
          <w:sz w:val="24"/>
          <w:szCs w:val="24"/>
        </w:rPr>
        <w:t>Daff</w:t>
      </w:r>
      <w:proofErr w:type="spellEnd"/>
      <w:r w:rsidRPr="006C06A2">
        <w:rPr>
          <w:rFonts w:ascii="Arial" w:hAnsi="Arial" w:cs="Arial"/>
          <w:b/>
          <w:bCs/>
          <w:sz w:val="24"/>
          <w:szCs w:val="24"/>
        </w:rPr>
        <w:t xml:space="preserve"> se montait, lui, à 58.000 euros en 2021.</w:t>
      </w:r>
    </w:p>
    <w:p w14:paraId="39855234" w14:textId="498AF851" w:rsidR="00186F9F" w:rsidRDefault="00186F9F" w:rsidP="00F10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je dois dire que la justification du maire estimant que l’association était « libre de payer ce qu’elle voulait au Directeur général » - soit un tiers de la subvention municipale – me laisse perplexe.</w:t>
      </w:r>
    </w:p>
    <w:p w14:paraId="08E7B821" w14:textId="1E22D4C0" w:rsidR="00186F9F" w:rsidRDefault="00186F9F" w:rsidP="00F10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ne partage pas cet argument : j’estime que la Ville avait le devoir de relever (pour le moins) cette anomalie et d’imposer d’autres exigences !</w:t>
      </w:r>
    </w:p>
    <w:p w14:paraId="2D2129EF" w14:textId="251E49E7" w:rsidR="00186F9F" w:rsidRDefault="00186F9F" w:rsidP="00F10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m’étonne également que de 2014 à 2022, aucune communication sérieuse et étayée n’ait été faite au Conseil municipal.</w:t>
      </w:r>
    </w:p>
    <w:p w14:paraId="7D5FBFEC" w14:textId="48D78DAB" w:rsidR="00186F9F" w:rsidRPr="006C06A2" w:rsidRDefault="006C06A2" w:rsidP="00F10AD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C06A2">
        <w:rPr>
          <w:rFonts w:ascii="Arial" w:hAnsi="Arial" w:cs="Arial"/>
          <w:b/>
          <w:bCs/>
          <w:sz w:val="24"/>
          <w:szCs w:val="24"/>
        </w:rPr>
        <w:t>LA JUSTICE DOIT PASSER.</w:t>
      </w:r>
    </w:p>
    <w:p w14:paraId="014F156C" w14:textId="359237E0" w:rsidR="00186F9F" w:rsidRDefault="006C06A2" w:rsidP="00F10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Monsieur </w:t>
      </w:r>
      <w:proofErr w:type="spellStart"/>
      <w:r>
        <w:rPr>
          <w:rFonts w:ascii="Arial" w:hAnsi="Arial" w:cs="Arial"/>
          <w:sz w:val="24"/>
          <w:szCs w:val="24"/>
        </w:rPr>
        <w:t>Daff</w:t>
      </w:r>
      <w:proofErr w:type="spellEnd"/>
      <w:r>
        <w:rPr>
          <w:rFonts w:ascii="Arial" w:hAnsi="Arial" w:cs="Arial"/>
          <w:sz w:val="24"/>
          <w:szCs w:val="24"/>
        </w:rPr>
        <w:t xml:space="preserve"> est présumé innocent, il n’en demeure pas moins que le préjudice est, lui, constaté.</w:t>
      </w:r>
    </w:p>
    <w:p w14:paraId="0617B4E1" w14:textId="05DA1775" w:rsidR="006C06A2" w:rsidRPr="006C06A2" w:rsidRDefault="006C06A2" w:rsidP="00F10AD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C06A2">
        <w:rPr>
          <w:rFonts w:ascii="Arial" w:hAnsi="Arial" w:cs="Arial"/>
          <w:b/>
          <w:bCs/>
          <w:sz w:val="24"/>
          <w:szCs w:val="24"/>
        </w:rPr>
        <w:lastRenderedPageBreak/>
        <w:t>Et malgré l’annonce d’un changement de pratiques annoncé en 2022, il y a bien un problème de transparence qui persiste quant à l’utilisation des fonds publics.</w:t>
      </w:r>
    </w:p>
    <w:p w14:paraId="38CA6E77" w14:textId="1E8411B7" w:rsidR="006C06A2" w:rsidRDefault="006C06A2" w:rsidP="00F10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problème de transparence qui est d’autant plus prégnant à Mantes-la-Jolie, l’une des communes classées parmi les plus pauvres du département.</w:t>
      </w:r>
    </w:p>
    <w:p w14:paraId="3C18CD2D" w14:textId="7CC196A0" w:rsidR="006C06A2" w:rsidRDefault="006C06A2" w:rsidP="00F10A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Justice doit maintenant faire son œuvre, toute son œuvre, en toute indépendance.</w:t>
      </w:r>
    </w:p>
    <w:p w14:paraId="3F04D8D1" w14:textId="7F0FA7C3" w:rsidR="006C06A2" w:rsidRPr="006C06A2" w:rsidRDefault="006C06A2" w:rsidP="006C06A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C06A2">
        <w:rPr>
          <w:rFonts w:ascii="Arial" w:hAnsi="Arial" w:cs="Arial"/>
          <w:b/>
          <w:bCs/>
          <w:sz w:val="24"/>
          <w:szCs w:val="24"/>
        </w:rPr>
        <w:t>Le 28 avril 2025</w:t>
      </w:r>
    </w:p>
    <w:p w14:paraId="28B548A4" w14:textId="5483A5A1" w:rsidR="006C06A2" w:rsidRPr="006C06A2" w:rsidRDefault="006C06A2" w:rsidP="006C06A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C06A2">
        <w:rPr>
          <w:rFonts w:ascii="Arial" w:hAnsi="Arial" w:cs="Arial"/>
          <w:b/>
          <w:bCs/>
          <w:sz w:val="24"/>
          <w:szCs w:val="24"/>
        </w:rPr>
        <w:t>Marc Jammet, conseiller municipal de 2002 à 2022</w:t>
      </w:r>
    </w:p>
    <w:sectPr w:rsidR="006C06A2" w:rsidRPr="006C0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DE"/>
    <w:rsid w:val="00186F9F"/>
    <w:rsid w:val="00662BCF"/>
    <w:rsid w:val="006C06A2"/>
    <w:rsid w:val="00784E93"/>
    <w:rsid w:val="00A12174"/>
    <w:rsid w:val="00C032FF"/>
    <w:rsid w:val="00F1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ECB0"/>
  <w15:chartTrackingRefBased/>
  <w15:docId w15:val="{B4A3CA2D-DA58-4027-8B9A-CB9E9A60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0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0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0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0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0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0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0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0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0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0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0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0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0A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0A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0A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0A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0A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0A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0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0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0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0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0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0A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0A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0A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0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0A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0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Jammet</dc:creator>
  <cp:keywords/>
  <dc:description/>
  <cp:lastModifiedBy>Marc Jammet</cp:lastModifiedBy>
  <cp:revision>3</cp:revision>
  <cp:lastPrinted>2025-04-28T14:05:00Z</cp:lastPrinted>
  <dcterms:created xsi:type="dcterms:W3CDTF">2025-04-28T13:35:00Z</dcterms:created>
  <dcterms:modified xsi:type="dcterms:W3CDTF">2025-04-28T14:06:00Z</dcterms:modified>
</cp:coreProperties>
</file>