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01" w:rsidRDefault="00AC088F" w:rsidP="006D2A01">
      <w:pPr>
        <w:shd w:val="clear" w:color="auto" w:fill="EA2525"/>
        <w:spacing w:after="0" w:line="240" w:lineRule="auto"/>
        <w:jc w:val="center"/>
        <w:outlineLvl w:val="1"/>
        <w:rPr>
          <w:rFonts w:ascii="Arial" w:eastAsia="Times New Roman" w:hAnsi="Arial" w:cs="Arial"/>
          <w:b/>
          <w:bCs/>
          <w:caps/>
          <w:color w:val="FFFFCC"/>
          <w:sz w:val="34"/>
          <w:szCs w:val="34"/>
          <w:u w:val="single"/>
          <w:lang w:eastAsia="fr-FR"/>
        </w:rPr>
      </w:pPr>
      <w:r>
        <w:fldChar w:fldCharType="begin"/>
      </w:r>
      <w:r>
        <w:instrText xml:space="preserve"> HYPERLINK "http://cgtcg29.fr/index.php?option=com_content&amp;view=article&amp;id=118:role-et-fonctionnement&amp;catid=12&amp;Itemid=106" </w:instrText>
      </w:r>
      <w:r>
        <w:fldChar w:fldCharType="separate"/>
      </w:r>
      <w:r w:rsidR="006D2A01" w:rsidRPr="006D2A01">
        <w:rPr>
          <w:rFonts w:ascii="Arial" w:eastAsia="Times New Roman" w:hAnsi="Arial" w:cs="Arial"/>
          <w:b/>
          <w:bCs/>
          <w:caps/>
          <w:color w:val="FFFFCC"/>
          <w:sz w:val="34"/>
          <w:szCs w:val="34"/>
          <w:u w:val="single"/>
          <w:lang w:eastAsia="fr-FR"/>
        </w:rPr>
        <w:t>RÔLE ET FONCTIONNEMENT</w:t>
      </w:r>
      <w:r>
        <w:rPr>
          <w:rFonts w:ascii="Arial" w:eastAsia="Times New Roman" w:hAnsi="Arial" w:cs="Arial"/>
          <w:b/>
          <w:bCs/>
          <w:caps/>
          <w:color w:val="FFFFCC"/>
          <w:sz w:val="34"/>
          <w:szCs w:val="34"/>
          <w:u w:val="single"/>
          <w:lang w:eastAsia="fr-FR"/>
        </w:rPr>
        <w:fldChar w:fldCharType="end"/>
      </w:r>
      <w:r w:rsidR="0020468F">
        <w:rPr>
          <w:rFonts w:ascii="Arial" w:eastAsia="Times New Roman" w:hAnsi="Arial" w:cs="Arial"/>
          <w:b/>
          <w:bCs/>
          <w:caps/>
          <w:color w:val="FFFFCC"/>
          <w:sz w:val="34"/>
          <w:szCs w:val="34"/>
          <w:u w:val="single"/>
          <w:lang w:eastAsia="fr-FR"/>
        </w:rPr>
        <w:t xml:space="preserve"> DE LA COMMISSION DE REFORME</w:t>
      </w:r>
    </w:p>
    <w:p w:rsidR="00AC088F" w:rsidRDefault="00AC088F" w:rsidP="006D2A01">
      <w:pPr>
        <w:shd w:val="clear" w:color="auto" w:fill="EA2525"/>
        <w:spacing w:after="0" w:line="240" w:lineRule="auto"/>
        <w:jc w:val="center"/>
        <w:outlineLvl w:val="1"/>
        <w:rPr>
          <w:rFonts w:ascii="Arial" w:eastAsia="Times New Roman" w:hAnsi="Arial" w:cs="Arial"/>
          <w:b/>
          <w:bCs/>
          <w:caps/>
          <w:color w:val="FFFFCC"/>
          <w:sz w:val="34"/>
          <w:szCs w:val="34"/>
          <w:u w:val="single"/>
          <w:lang w:eastAsia="fr-FR"/>
        </w:rPr>
      </w:pPr>
    </w:p>
    <w:p w:rsidR="00AC088F" w:rsidRDefault="00AC088F" w:rsidP="006D2A01">
      <w:pPr>
        <w:shd w:val="clear" w:color="auto" w:fill="EA2525"/>
        <w:spacing w:after="0" w:line="240" w:lineRule="auto"/>
        <w:jc w:val="center"/>
        <w:outlineLvl w:val="1"/>
        <w:rPr>
          <w:rFonts w:ascii="Arial" w:eastAsia="Times New Roman" w:hAnsi="Arial" w:cs="Arial"/>
          <w:b/>
          <w:bCs/>
          <w:caps/>
          <w:color w:val="FFFFCC"/>
          <w:sz w:val="34"/>
          <w:szCs w:val="34"/>
          <w:u w:val="single"/>
          <w:lang w:eastAsia="fr-FR"/>
        </w:rPr>
      </w:pPr>
    </w:p>
    <w:p w:rsidR="00AC088F" w:rsidRPr="006D2A01" w:rsidRDefault="00AC088F" w:rsidP="006D2A01">
      <w:pPr>
        <w:shd w:val="clear" w:color="auto" w:fill="EA2525"/>
        <w:spacing w:after="0" w:line="240" w:lineRule="auto"/>
        <w:jc w:val="center"/>
        <w:outlineLvl w:val="1"/>
        <w:rPr>
          <w:rFonts w:ascii="Arial" w:eastAsia="Times New Roman" w:hAnsi="Arial" w:cs="Arial"/>
          <w:b/>
          <w:bCs/>
          <w:caps/>
          <w:color w:val="FFFFCC"/>
          <w:sz w:val="34"/>
          <w:szCs w:val="34"/>
          <w:lang w:eastAsia="fr-FR"/>
        </w:rPr>
      </w:pPr>
    </w:p>
    <w:p w:rsidR="006D2A01" w:rsidRPr="006D2A01" w:rsidRDefault="006D2A01" w:rsidP="006D2A01">
      <w:pPr>
        <w:shd w:val="clear" w:color="auto" w:fill="FFFFCC"/>
        <w:spacing w:after="0" w:line="336" w:lineRule="atLeast"/>
        <w:ind w:left="720"/>
        <w:rPr>
          <w:rFonts w:ascii="Arial" w:eastAsia="Times New Roman" w:hAnsi="Arial" w:cs="Arial"/>
          <w:color w:val="A0A0A0"/>
          <w:sz w:val="17"/>
          <w:szCs w:val="17"/>
          <w:lang w:eastAsia="fr-FR"/>
        </w:rPr>
      </w:pPr>
      <w:r>
        <w:rPr>
          <w:rFonts w:ascii="Arial" w:eastAsia="Times New Roman" w:hAnsi="Arial" w:cs="Arial"/>
          <w:color w:val="000000"/>
          <w:sz w:val="19"/>
          <w:szCs w:val="19"/>
          <w:lang w:eastAsia="fr-FR"/>
        </w:rPr>
        <w:t xml:space="preserve"> </w:t>
      </w:r>
    </w:p>
    <w:p w:rsidR="006D2A01" w:rsidRPr="006D2A01" w:rsidRDefault="006D2A01" w:rsidP="006D2A01">
      <w:pPr>
        <w:shd w:val="clear" w:color="auto" w:fill="FFFFCC"/>
        <w:spacing w:after="0" w:line="336" w:lineRule="atLeast"/>
        <w:ind w:left="720"/>
        <w:rPr>
          <w:rFonts w:ascii="Arial" w:eastAsia="Times New Roman" w:hAnsi="Arial" w:cs="Arial"/>
          <w:color w:val="A0A0A0"/>
          <w:sz w:val="32"/>
          <w:szCs w:val="32"/>
          <w:lang w:eastAsia="fr-FR"/>
        </w:rPr>
      </w:pPr>
      <w:r w:rsidRPr="006D2A01">
        <w:rPr>
          <w:rFonts w:ascii="Arial" w:eastAsia="Times New Roman" w:hAnsi="Arial" w:cs="Arial"/>
          <w:color w:val="A0A0A0"/>
          <w:sz w:val="32"/>
          <w:szCs w:val="32"/>
          <w:lang w:eastAsia="fr-FR"/>
        </w:rPr>
        <w:t xml:space="preserve"> </w:t>
      </w:r>
    </w:p>
    <w:p w:rsidR="006D2A01" w:rsidRPr="006D2A01" w:rsidRDefault="006D2A01" w:rsidP="006D2A01">
      <w:pPr>
        <w:shd w:val="clear" w:color="auto" w:fill="FFFFCC"/>
        <w:spacing w:after="0" w:line="336" w:lineRule="atLeast"/>
        <w:rPr>
          <w:rFonts w:ascii="Arial" w:eastAsia="Times New Roman" w:hAnsi="Arial" w:cs="Arial"/>
          <w:color w:val="000000"/>
          <w:sz w:val="28"/>
          <w:szCs w:val="28"/>
          <w:lang w:eastAsia="fr-FR"/>
        </w:rPr>
      </w:pPr>
      <w:r w:rsidRPr="006D2A01">
        <w:rPr>
          <w:rFonts w:ascii="Arial" w:eastAsia="Times New Roman" w:hAnsi="Arial" w:cs="Arial"/>
          <w:noProof/>
          <w:color w:val="000000"/>
          <w:sz w:val="28"/>
          <w:szCs w:val="28"/>
          <w:lang w:eastAsia="fr-FR"/>
        </w:rPr>
        <w:drawing>
          <wp:inline distT="0" distB="0" distL="0" distR="0" wp14:anchorId="76AF9FEC" wp14:editId="17733DDD">
            <wp:extent cx="1819275" cy="1250251"/>
            <wp:effectExtent l="0" t="0" r="0" b="7620"/>
            <wp:docPr id="1" name="Image 1" descr="arret de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et de trav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303" cy="1259204"/>
                    </a:xfrm>
                    <a:prstGeom prst="rect">
                      <a:avLst/>
                    </a:prstGeom>
                    <a:noFill/>
                    <a:ln>
                      <a:noFill/>
                    </a:ln>
                  </pic:spPr>
                </pic:pic>
              </a:graphicData>
            </a:graphic>
          </wp:inline>
        </w:drawing>
      </w:r>
      <w:proofErr w:type="gramStart"/>
      <w:r w:rsidRPr="0020468F">
        <w:rPr>
          <w:rFonts w:ascii="Arial" w:eastAsia="Times New Roman" w:hAnsi="Arial" w:cs="Arial"/>
          <w:b/>
          <w:bCs/>
          <w:color w:val="000000"/>
          <w:sz w:val="40"/>
          <w:szCs w:val="40"/>
          <w:lang w:eastAsia="fr-FR"/>
        </w:rPr>
        <w:t>la</w:t>
      </w:r>
      <w:proofErr w:type="gramEnd"/>
      <w:r w:rsidRPr="0020468F">
        <w:rPr>
          <w:rFonts w:ascii="Arial" w:eastAsia="Times New Roman" w:hAnsi="Arial" w:cs="Arial"/>
          <w:b/>
          <w:bCs/>
          <w:color w:val="000000"/>
          <w:sz w:val="40"/>
          <w:szCs w:val="40"/>
          <w:lang w:eastAsia="fr-FR"/>
        </w:rPr>
        <w:t xml:space="preserve"> commission de réforme</w:t>
      </w:r>
      <w:r w:rsidRPr="006D2A01">
        <w:rPr>
          <w:rFonts w:ascii="Arial" w:eastAsia="Times New Roman" w:hAnsi="Arial" w:cs="Arial"/>
          <w:color w:val="000000"/>
          <w:sz w:val="28"/>
          <w:szCs w:val="28"/>
          <w:lang w:eastAsia="fr-FR"/>
        </w:rPr>
        <w:t> est une instance consultative médicale et paritaire composée des médecins du comité médical, des représentants de l'administration et de représentants du personnel.</w:t>
      </w:r>
    </w:p>
    <w:p w:rsidR="006D2A01" w:rsidRPr="006D2A01" w:rsidRDefault="00AC088F" w:rsidP="006D2A01">
      <w:pPr>
        <w:shd w:val="clear" w:color="auto" w:fill="FFFFCC"/>
        <w:spacing w:after="0" w:line="336" w:lineRule="atLeast"/>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xml:space="preserve"> </w:t>
      </w:r>
    </w:p>
    <w:p w:rsidR="006D2A01" w:rsidRPr="006D2A01" w:rsidRDefault="006D2A01" w:rsidP="006D2A01">
      <w:pPr>
        <w:shd w:val="clear" w:color="auto" w:fill="FFFFCC"/>
        <w:spacing w:after="0" w:line="336" w:lineRule="atLeast"/>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 </w:t>
      </w:r>
    </w:p>
    <w:p w:rsidR="006D2A01" w:rsidRPr="006D2A01" w:rsidRDefault="006D2A01" w:rsidP="006D2A01">
      <w:pPr>
        <w:shd w:val="clear" w:color="auto" w:fill="FFFFCC"/>
        <w:spacing w:after="0" w:line="336" w:lineRule="atLeast"/>
        <w:rPr>
          <w:rFonts w:ascii="Arial" w:eastAsia="Times New Roman" w:hAnsi="Arial" w:cs="Arial"/>
          <w:color w:val="000000"/>
          <w:sz w:val="28"/>
          <w:szCs w:val="28"/>
          <w:lang w:eastAsia="fr-FR"/>
        </w:rPr>
      </w:pPr>
    </w:p>
    <w:p w:rsidR="006D2A01" w:rsidRPr="006D2A01" w:rsidRDefault="006D2A01" w:rsidP="006D2A01">
      <w:pPr>
        <w:shd w:val="clear" w:color="auto" w:fill="FFFFCC"/>
        <w:spacing w:after="0" w:line="336" w:lineRule="atLeast"/>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 </w:t>
      </w:r>
    </w:p>
    <w:p w:rsidR="006D2A01" w:rsidRPr="006D2A01" w:rsidRDefault="006D2A01" w:rsidP="006D2A01">
      <w:pPr>
        <w:shd w:val="clear" w:color="auto" w:fill="FFFFCC"/>
        <w:spacing w:after="0" w:line="336" w:lineRule="atLeast"/>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Cette commission doit être obligatoirement consultée et son avis est transmis à l'employeur, qui donne sa décision à l'agent de prise en charge ou non pour :</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L'imputation au service d'un accident ou d'une maladie contractée en service( quand l'employeur ne reconnait pas l'imputabilité).</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Le taux d'invalidité permanente ou partielle (IPP)(révision quinquennale).</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Détermine l'attribution d'une allocation temporaire d'invalidité (ATI).</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Les prolongations d'arrêt, prise en charge des soins, l'attribution d'une aide ménagère.</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Les expertises et contre expertises demandées.</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L'aménagement d'un poste de travail.</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L'attribution d'un temps partiel thérapeutique.</w:t>
      </w:r>
    </w:p>
    <w:p w:rsidR="006D2A01" w:rsidRPr="006D2A01" w:rsidRDefault="006D2A01" w:rsidP="006D2A01">
      <w:pPr>
        <w:numPr>
          <w:ilvl w:val="0"/>
          <w:numId w:val="2"/>
        </w:numPr>
        <w:shd w:val="clear" w:color="auto" w:fill="FFFFCC"/>
        <w:spacing w:after="0" w:line="336" w:lineRule="atLeast"/>
        <w:ind w:left="0"/>
        <w:rPr>
          <w:rFonts w:ascii="Arial" w:eastAsia="Times New Roman" w:hAnsi="Arial" w:cs="Arial"/>
          <w:color w:val="000000"/>
          <w:sz w:val="28"/>
          <w:szCs w:val="28"/>
          <w:lang w:eastAsia="fr-FR"/>
        </w:rPr>
      </w:pPr>
      <w:r w:rsidRPr="006D2A01">
        <w:rPr>
          <w:rFonts w:ascii="Arial" w:eastAsia="Times New Roman" w:hAnsi="Arial" w:cs="Arial"/>
          <w:color w:val="000000"/>
          <w:sz w:val="28"/>
          <w:szCs w:val="28"/>
          <w:lang w:eastAsia="fr-FR"/>
        </w:rPr>
        <w:t>La mise à la retraite pour invalidité.</w:t>
      </w:r>
    </w:p>
    <w:p w:rsidR="0020468F" w:rsidRDefault="006D2A01" w:rsidP="006D2A01">
      <w:pPr>
        <w:shd w:val="clear" w:color="auto" w:fill="FFFFCC"/>
        <w:spacing w:after="0" w:line="336" w:lineRule="atLeast"/>
        <w:rPr>
          <w:rFonts w:ascii="Arial" w:eastAsia="Times New Roman" w:hAnsi="Arial" w:cs="Arial"/>
          <w:b/>
          <w:bCs/>
          <w:color w:val="000000"/>
          <w:sz w:val="28"/>
          <w:szCs w:val="28"/>
          <w:lang w:eastAsia="fr-FR"/>
        </w:rPr>
      </w:pPr>
      <w:r w:rsidRPr="006D2A01">
        <w:rPr>
          <w:rFonts w:ascii="Arial" w:eastAsia="Times New Roman" w:hAnsi="Arial" w:cs="Arial"/>
          <w:b/>
          <w:bCs/>
          <w:color w:val="000000"/>
          <w:sz w:val="28"/>
          <w:szCs w:val="28"/>
          <w:lang w:eastAsia="fr-FR"/>
        </w:rPr>
        <w:t>L'avis de la commission de réf</w:t>
      </w:r>
      <w:r w:rsidR="00D9271B">
        <w:rPr>
          <w:rFonts w:ascii="Arial" w:eastAsia="Times New Roman" w:hAnsi="Arial" w:cs="Arial"/>
          <w:b/>
          <w:bCs/>
          <w:color w:val="000000"/>
          <w:sz w:val="28"/>
          <w:szCs w:val="28"/>
          <w:lang w:eastAsia="fr-FR"/>
        </w:rPr>
        <w:t>orme ne lie pas l'administration</w:t>
      </w:r>
    </w:p>
    <w:p w:rsidR="0020468F" w:rsidRDefault="0020468F" w:rsidP="006D2A01">
      <w:pPr>
        <w:shd w:val="clear" w:color="auto" w:fill="FFFFCC"/>
        <w:spacing w:after="0" w:line="336" w:lineRule="atLeast"/>
        <w:rPr>
          <w:rFonts w:ascii="Arial" w:eastAsia="Times New Roman" w:hAnsi="Arial" w:cs="Arial"/>
          <w:b/>
          <w:bCs/>
          <w:color w:val="000000"/>
          <w:sz w:val="28"/>
          <w:szCs w:val="28"/>
          <w:lang w:eastAsia="fr-FR"/>
        </w:rPr>
      </w:pPr>
    </w:p>
    <w:p w:rsidR="0020468F" w:rsidRDefault="0020468F" w:rsidP="006D2A01">
      <w:pPr>
        <w:shd w:val="clear" w:color="auto" w:fill="FFFFCC"/>
        <w:spacing w:after="0" w:line="336" w:lineRule="atLeast"/>
        <w:rPr>
          <w:rFonts w:ascii="Arial" w:eastAsia="Times New Roman" w:hAnsi="Arial" w:cs="Arial"/>
          <w:b/>
          <w:bCs/>
          <w:color w:val="000000"/>
          <w:sz w:val="28"/>
          <w:szCs w:val="28"/>
          <w:lang w:eastAsia="fr-FR"/>
        </w:rPr>
      </w:pPr>
    </w:p>
    <w:p w:rsidR="0020468F" w:rsidRDefault="0020468F" w:rsidP="006D2A01">
      <w:pPr>
        <w:shd w:val="clear" w:color="auto" w:fill="FFFFCC"/>
        <w:spacing w:after="0" w:line="336" w:lineRule="atLeast"/>
        <w:rPr>
          <w:rFonts w:ascii="Arial" w:eastAsia="Times New Roman" w:hAnsi="Arial" w:cs="Arial"/>
          <w:b/>
          <w:bCs/>
          <w:color w:val="000000"/>
          <w:sz w:val="28"/>
          <w:szCs w:val="28"/>
          <w:lang w:eastAsia="fr-FR"/>
        </w:rPr>
      </w:pPr>
    </w:p>
    <w:p w:rsidR="0020468F" w:rsidRDefault="0020468F" w:rsidP="006D2A01">
      <w:pPr>
        <w:shd w:val="clear" w:color="auto" w:fill="FFFFCC"/>
        <w:spacing w:after="0" w:line="336" w:lineRule="atLeast"/>
        <w:rPr>
          <w:rFonts w:ascii="Arial" w:eastAsia="Times New Roman" w:hAnsi="Arial" w:cs="Arial"/>
          <w:b/>
          <w:bCs/>
          <w:color w:val="000000"/>
          <w:sz w:val="28"/>
          <w:szCs w:val="28"/>
          <w:lang w:eastAsia="fr-FR"/>
        </w:rPr>
      </w:pPr>
    </w:p>
    <w:p w:rsidR="00D9271B" w:rsidRDefault="00D9271B" w:rsidP="0020468F">
      <w:pPr>
        <w:pStyle w:val="NormalWeb"/>
        <w:shd w:val="clear" w:color="auto" w:fill="FFFFCC"/>
        <w:spacing w:before="0" w:beforeAutospacing="0" w:after="0" w:afterAutospacing="0" w:line="336" w:lineRule="atLeast"/>
        <w:rPr>
          <w:rFonts w:ascii="Arial" w:hAnsi="Arial" w:cs="Arial"/>
          <w:b/>
          <w:bCs/>
          <w:color w:val="000000"/>
          <w:sz w:val="28"/>
          <w:szCs w:val="28"/>
        </w:rPr>
      </w:pPr>
    </w:p>
    <w:p w:rsidR="00D9271B" w:rsidRDefault="00D9271B" w:rsidP="0020468F">
      <w:pPr>
        <w:pStyle w:val="NormalWeb"/>
        <w:shd w:val="clear" w:color="auto" w:fill="FFFFCC"/>
        <w:spacing w:before="0" w:beforeAutospacing="0" w:after="0" w:afterAutospacing="0" w:line="336" w:lineRule="atLeast"/>
        <w:rPr>
          <w:rFonts w:ascii="Arial" w:hAnsi="Arial" w:cs="Arial"/>
          <w:b/>
          <w:bCs/>
          <w:color w:val="000000"/>
          <w:sz w:val="28"/>
          <w:szCs w:val="28"/>
        </w:rPr>
      </w:pPr>
    </w:p>
    <w:p w:rsidR="00D9271B" w:rsidRDefault="00D9271B" w:rsidP="0020468F">
      <w:pPr>
        <w:pStyle w:val="NormalWeb"/>
        <w:shd w:val="clear" w:color="auto" w:fill="FFFFCC"/>
        <w:spacing w:before="0" w:beforeAutospacing="0" w:after="0" w:afterAutospacing="0" w:line="336" w:lineRule="atLeast"/>
        <w:rPr>
          <w:rFonts w:ascii="Arial" w:hAnsi="Arial" w:cs="Arial"/>
          <w:b/>
          <w:bCs/>
          <w:color w:val="000000"/>
          <w:sz w:val="28"/>
          <w:szCs w:val="28"/>
        </w:rPr>
      </w:pP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Fonts w:ascii="Arial" w:hAnsi="Arial" w:cs="Arial"/>
          <w:color w:val="000000"/>
          <w:sz w:val="36"/>
          <w:szCs w:val="36"/>
        </w:rPr>
        <w:lastRenderedPageBreak/>
        <w:t>Les agents sont informés par la DRH du passage de leur situation en commission de réforme.</w:t>
      </w: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Fonts w:ascii="Arial" w:hAnsi="Arial" w:cs="Arial"/>
          <w:color w:val="000000"/>
          <w:sz w:val="36"/>
          <w:szCs w:val="36"/>
        </w:rPr>
        <w:t>Ils peuvent alors contacter les représentants du personnel, consulter leur dossier au Centre de Gestion, apporter tout élément qui serait utile à leur situation, notamment en cas d'imputabilité au service.</w:t>
      </w: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Style w:val="lev"/>
          <w:rFonts w:ascii="Arial" w:hAnsi="Arial" w:cs="Arial"/>
          <w:color w:val="000000"/>
          <w:sz w:val="36"/>
          <w:szCs w:val="36"/>
        </w:rPr>
        <w:t>Lorsque l'autorité territoriale rend sa décision (arrêté), l'agent a un délai de deux mois à la date de réception du courrier pour contester la décision.</w:t>
      </w: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Fonts w:ascii="Arial" w:hAnsi="Arial" w:cs="Arial"/>
          <w:color w:val="000000"/>
          <w:sz w:val="36"/>
          <w:szCs w:val="36"/>
        </w:rPr>
        <w:t>Quand une expertise est demandée par l'employeur, l'agent peut choisir l'expert(liste composée de généralistes et de spécialistes). Il est recommandé dans tous les cas d'être vu par un expert spécialiste dans le domaine de la pathologie. Une contre expertise peut-être demandée deux fois, à l'initiative de l'employeur ou de l'agent.</w:t>
      </w: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Fonts w:ascii="Arial" w:hAnsi="Arial" w:cs="Arial"/>
          <w:color w:val="000000"/>
          <w:sz w:val="36"/>
          <w:szCs w:val="36"/>
        </w:rPr>
        <w:t>Les agents ont le droit de demander le rapport de l'expert à la commission de réforme .</w:t>
      </w: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Fonts w:ascii="Arial" w:hAnsi="Arial" w:cs="Arial"/>
          <w:color w:val="000000"/>
          <w:sz w:val="36"/>
          <w:szCs w:val="36"/>
        </w:rPr>
        <w:t>Les agents ont le droit de demander à la DRH le procès verbal de l'avis rendu par  la commission de commission de réforme, dès que celle-ci a siégé.</w:t>
      </w:r>
    </w:p>
    <w:p w:rsidR="0020468F" w:rsidRPr="00FE268A" w:rsidRDefault="0020468F" w:rsidP="0020468F">
      <w:pPr>
        <w:pStyle w:val="NormalWeb"/>
        <w:shd w:val="clear" w:color="auto" w:fill="FFFFCC"/>
        <w:spacing w:before="0" w:beforeAutospacing="0" w:after="0" w:afterAutospacing="0" w:line="336" w:lineRule="atLeast"/>
        <w:rPr>
          <w:rFonts w:ascii="Arial" w:hAnsi="Arial" w:cs="Arial"/>
          <w:color w:val="000000"/>
          <w:sz w:val="36"/>
          <w:szCs w:val="36"/>
        </w:rPr>
      </w:pPr>
      <w:r w:rsidRPr="00FE268A">
        <w:rPr>
          <w:rFonts w:ascii="Arial" w:hAnsi="Arial" w:cs="Arial"/>
          <w:color w:val="000000"/>
          <w:sz w:val="36"/>
          <w:szCs w:val="36"/>
        </w:rPr>
        <w:t> </w:t>
      </w:r>
    </w:p>
    <w:p w:rsidR="0020468F" w:rsidRDefault="0020468F" w:rsidP="0020468F">
      <w:pPr>
        <w:pStyle w:val="NormalWeb"/>
        <w:shd w:val="clear" w:color="auto" w:fill="FFFFCC"/>
        <w:spacing w:before="0" w:beforeAutospacing="0" w:after="0" w:afterAutospacing="0" w:line="336" w:lineRule="atLeast"/>
        <w:rPr>
          <w:rStyle w:val="lev"/>
          <w:rFonts w:ascii="Arial" w:hAnsi="Arial" w:cs="Arial"/>
          <w:color w:val="000000"/>
          <w:sz w:val="36"/>
          <w:szCs w:val="36"/>
        </w:rPr>
      </w:pPr>
      <w:r w:rsidRPr="00FE268A">
        <w:rPr>
          <w:rStyle w:val="lev"/>
          <w:rFonts w:ascii="Arial" w:hAnsi="Arial" w:cs="Arial"/>
          <w:color w:val="000000"/>
          <w:sz w:val="36"/>
          <w:szCs w:val="36"/>
        </w:rPr>
        <w:t>Les représentants CGT qui siègent en commission de réforme peuvent vous accompagner et vous défendre dans toutes ces étapes</w:t>
      </w:r>
    </w:p>
    <w:p w:rsidR="0020468F" w:rsidRDefault="0020468F" w:rsidP="0020468F">
      <w:pPr>
        <w:pStyle w:val="NormalWeb"/>
        <w:shd w:val="clear" w:color="auto" w:fill="FFFFCC"/>
        <w:spacing w:before="0" w:beforeAutospacing="0" w:after="0" w:afterAutospacing="0" w:line="336" w:lineRule="atLeast"/>
        <w:rPr>
          <w:rStyle w:val="lev"/>
          <w:rFonts w:ascii="Arial" w:hAnsi="Arial" w:cs="Arial"/>
          <w:color w:val="000000"/>
          <w:sz w:val="36"/>
          <w:szCs w:val="36"/>
        </w:rPr>
      </w:pPr>
    </w:p>
    <w:p w:rsidR="0020468F" w:rsidRDefault="0020468F" w:rsidP="0020468F">
      <w:pPr>
        <w:pStyle w:val="NormalWeb"/>
        <w:shd w:val="clear" w:color="auto" w:fill="FFFFCC"/>
        <w:spacing w:before="0" w:beforeAutospacing="0" w:after="0" w:afterAutospacing="0" w:line="336" w:lineRule="atLeast"/>
        <w:rPr>
          <w:rStyle w:val="lev"/>
          <w:rFonts w:ascii="Arial" w:hAnsi="Arial" w:cs="Arial"/>
          <w:color w:val="000000"/>
          <w:sz w:val="36"/>
          <w:szCs w:val="36"/>
        </w:rPr>
      </w:pPr>
    </w:p>
    <w:p w:rsidR="0020468F" w:rsidRDefault="0020468F" w:rsidP="0020468F">
      <w:pPr>
        <w:pStyle w:val="NormalWeb"/>
        <w:shd w:val="clear" w:color="auto" w:fill="FFFFCC"/>
        <w:spacing w:before="0" w:beforeAutospacing="0" w:after="0" w:afterAutospacing="0" w:line="336" w:lineRule="atLeast"/>
        <w:rPr>
          <w:rStyle w:val="lev"/>
          <w:rFonts w:ascii="Arial" w:hAnsi="Arial" w:cs="Arial"/>
          <w:color w:val="000000"/>
          <w:sz w:val="36"/>
          <w:szCs w:val="36"/>
        </w:rPr>
      </w:pPr>
      <w:bookmarkStart w:id="0" w:name="_GoBack"/>
      <w:bookmarkEnd w:id="0"/>
    </w:p>
    <w:p w:rsidR="0020468F" w:rsidRDefault="0020468F" w:rsidP="0020468F">
      <w:pPr>
        <w:pStyle w:val="NormalWeb"/>
        <w:shd w:val="clear" w:color="auto" w:fill="FFFFCC"/>
        <w:spacing w:before="0" w:beforeAutospacing="0" w:after="0" w:afterAutospacing="0" w:line="336" w:lineRule="atLeast"/>
        <w:rPr>
          <w:rStyle w:val="lev"/>
          <w:rFonts w:ascii="Arial" w:hAnsi="Arial" w:cs="Arial"/>
          <w:color w:val="000000"/>
          <w:sz w:val="36"/>
          <w:szCs w:val="36"/>
        </w:rPr>
      </w:pPr>
    </w:p>
    <w:p w:rsidR="004264C8" w:rsidRDefault="0020468F">
      <w:r>
        <w:t xml:space="preserve">                                               </w:t>
      </w:r>
      <w:r w:rsidR="00F35D1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24.5pt">
            <v:imagedata r:id="rId6" o:title="logo_horizontal-élections-décembre-2018-1"/>
          </v:shape>
        </w:pict>
      </w:r>
    </w:p>
    <w:sectPr w:rsidR="004264C8" w:rsidSect="0020468F">
      <w:pgSz w:w="11906" w:h="16838"/>
      <w:pgMar w:top="1418"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1D2"/>
    <w:multiLevelType w:val="multilevel"/>
    <w:tmpl w:val="3ED4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11C67"/>
    <w:multiLevelType w:val="multilevel"/>
    <w:tmpl w:val="9B4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01"/>
    <w:rsid w:val="0020468F"/>
    <w:rsid w:val="004264C8"/>
    <w:rsid w:val="006D2A01"/>
    <w:rsid w:val="00AC088F"/>
    <w:rsid w:val="00D9271B"/>
    <w:rsid w:val="00F35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DFDD"/>
  <w15:chartTrackingRefBased/>
  <w15:docId w15:val="{4A3FB057-F4C6-45CE-BB75-62924E0C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46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4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462">
      <w:bodyDiv w:val="1"/>
      <w:marLeft w:val="0"/>
      <w:marRight w:val="0"/>
      <w:marTop w:val="0"/>
      <w:marBottom w:val="0"/>
      <w:divBdr>
        <w:top w:val="none" w:sz="0" w:space="0" w:color="auto"/>
        <w:left w:val="none" w:sz="0" w:space="0" w:color="auto"/>
        <w:bottom w:val="none" w:sz="0" w:space="0" w:color="auto"/>
        <w:right w:val="none" w:sz="0" w:space="0" w:color="auto"/>
      </w:divBdr>
      <w:divsChild>
        <w:div w:id="199113523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10</cp:revision>
  <dcterms:created xsi:type="dcterms:W3CDTF">2018-05-25T19:02:00Z</dcterms:created>
  <dcterms:modified xsi:type="dcterms:W3CDTF">2018-06-04T17:36:00Z</dcterms:modified>
</cp:coreProperties>
</file>