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21C0" w:rsidRDefault="00A64328">
      <w:pPr>
        <w:rPr>
          <w:rFonts w:ascii="Arial Black" w:hAnsi="Arial Black"/>
          <w:b/>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1pt;height:73.65pt">
            <v:imagedata r:id="rId4" o:title="téléchargement"/>
          </v:shape>
        </w:pict>
      </w:r>
      <w:r w:rsidR="00FD21C0">
        <w:t xml:space="preserve"> </w:t>
      </w:r>
      <w:r w:rsidR="00AB7C74">
        <w:rPr>
          <w:rFonts w:ascii="Arial Black" w:hAnsi="Arial Black"/>
          <w:b/>
        </w:rPr>
        <w:t xml:space="preserve"> </w:t>
      </w:r>
    </w:p>
    <w:p w:rsidR="00FD21C0" w:rsidRDefault="00A64328">
      <w:pPr>
        <w:rPr>
          <w:rFonts w:ascii="Arial Black" w:hAnsi="Arial Black"/>
          <w:b/>
        </w:rPr>
      </w:pPr>
      <w:r>
        <w:rPr>
          <w:rFonts w:ascii="Arial Black" w:hAnsi="Arial Black"/>
          <w:b/>
          <w:noProof/>
          <w:lang w:eastAsia="fr-FR"/>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6" type="#_x0000_t176" style="position:absolute;margin-left:155.45pt;margin-top:3.85pt;width:214.95pt;height:48pt;flip:y;z-index:251658240">
            <v:textbox>
              <w:txbxContent>
                <w:p w:rsidR="00FD21C0" w:rsidRPr="00FD21C0" w:rsidRDefault="00FD21C0">
                  <w:pPr>
                    <w:rPr>
                      <w:rFonts w:ascii="Arial Black" w:hAnsi="Arial Black"/>
                      <w:color w:val="FF0000"/>
                      <w:sz w:val="36"/>
                      <w:szCs w:val="36"/>
                      <w:u w:val="single"/>
                    </w:rPr>
                  </w:pPr>
                  <w:r>
                    <w:t xml:space="preserve">               </w:t>
                  </w:r>
                  <w:r w:rsidRPr="00FD21C0">
                    <w:rPr>
                      <w:rFonts w:ascii="Arial Black" w:hAnsi="Arial Black"/>
                      <w:color w:val="FF0000"/>
                      <w:sz w:val="36"/>
                      <w:szCs w:val="36"/>
                      <w:u w:val="single"/>
                    </w:rPr>
                    <w:t>LE C.H.S.C.T</w:t>
                  </w:r>
                </w:p>
                <w:p w:rsidR="00FD21C0" w:rsidRDefault="00FD21C0"/>
                <w:p w:rsidR="00FD21C0" w:rsidRDefault="00FD21C0"/>
              </w:txbxContent>
            </v:textbox>
          </v:shape>
        </w:pict>
      </w:r>
    </w:p>
    <w:p w:rsidR="00973D4F" w:rsidRDefault="00973D4F" w:rsidP="00FD21C0">
      <w:pPr>
        <w:pStyle w:val="Titre1"/>
        <w:shd w:val="clear" w:color="auto" w:fill="FFFFFF"/>
        <w:spacing w:before="0" w:beforeAutospacing="0" w:after="65" w:afterAutospacing="0"/>
        <w:ind w:right="109"/>
        <w:rPr>
          <w:rFonts w:ascii="Trebuchet MS" w:hAnsi="Trebuchet MS"/>
          <w:b w:val="0"/>
          <w:bCs w:val="0"/>
          <w:caps/>
          <w:color w:val="FC5C00"/>
          <w:sz w:val="36"/>
          <w:szCs w:val="36"/>
        </w:rPr>
      </w:pPr>
    </w:p>
    <w:p w:rsidR="00973D4F" w:rsidRDefault="00973D4F" w:rsidP="00FD21C0">
      <w:pPr>
        <w:pStyle w:val="Titre1"/>
        <w:shd w:val="clear" w:color="auto" w:fill="FFFFFF"/>
        <w:spacing w:before="0" w:beforeAutospacing="0" w:after="65" w:afterAutospacing="0"/>
        <w:ind w:right="109"/>
        <w:rPr>
          <w:rFonts w:ascii="Trebuchet MS" w:hAnsi="Trebuchet MS"/>
          <w:b w:val="0"/>
          <w:bCs w:val="0"/>
          <w:caps/>
          <w:color w:val="FC5C00"/>
          <w:sz w:val="36"/>
          <w:szCs w:val="36"/>
        </w:rPr>
      </w:pPr>
    </w:p>
    <w:p w:rsidR="00973D4F" w:rsidRPr="00973D4F" w:rsidRDefault="00973D4F" w:rsidP="00973D4F">
      <w:pPr>
        <w:pStyle w:val="Titre1"/>
        <w:shd w:val="clear" w:color="auto" w:fill="FFFFFF"/>
        <w:spacing w:before="0" w:beforeAutospacing="0" w:after="65" w:afterAutospacing="0"/>
        <w:ind w:right="109"/>
        <w:rPr>
          <w:rFonts w:ascii="Trebuchet MS" w:hAnsi="Trebuchet MS"/>
          <w:b w:val="0"/>
          <w:bCs w:val="0"/>
          <w:caps/>
          <w:color w:val="FC5C00"/>
          <w:sz w:val="28"/>
          <w:szCs w:val="28"/>
        </w:rPr>
      </w:pPr>
      <w:r>
        <w:rPr>
          <w:rFonts w:ascii="Trebuchet MS" w:hAnsi="Trebuchet MS"/>
          <w:b w:val="0"/>
          <w:bCs w:val="0"/>
          <w:caps/>
          <w:color w:val="FC5C00"/>
          <w:sz w:val="28"/>
          <w:szCs w:val="28"/>
        </w:rPr>
        <w:t xml:space="preserve">             </w:t>
      </w:r>
      <w:r w:rsidRPr="00973D4F">
        <w:rPr>
          <w:rFonts w:ascii="Trebuchet MS" w:hAnsi="Trebuchet MS"/>
          <w:b w:val="0"/>
          <w:bCs w:val="0"/>
          <w:caps/>
          <w:color w:val="FC5C00"/>
          <w:sz w:val="28"/>
          <w:szCs w:val="28"/>
        </w:rPr>
        <w:t>LE COMITÉ D'HYGIÈNE, DE SÉCURITÉ ET DES CONDITIONS DE TRAVAIL</w:t>
      </w:r>
    </w:p>
    <w:p w:rsidR="00973D4F" w:rsidRDefault="00973D4F">
      <w:pPr>
        <w:rPr>
          <w:rFonts w:ascii="Trebuchet MS" w:hAnsi="Trebuchet MS"/>
          <w:color w:val="333333"/>
          <w:sz w:val="14"/>
          <w:szCs w:val="14"/>
          <w:shd w:val="clear" w:color="auto" w:fill="FFFFFF"/>
        </w:rPr>
      </w:pPr>
    </w:p>
    <w:p w:rsidR="00973D4F" w:rsidRPr="00973D4F" w:rsidRDefault="00973D4F">
      <w:pPr>
        <w:rPr>
          <w:rFonts w:ascii="Arial Black" w:hAnsi="Arial Black"/>
          <w:color w:val="333333"/>
          <w:sz w:val="20"/>
          <w:szCs w:val="20"/>
          <w:shd w:val="clear" w:color="auto" w:fill="FFFFFF"/>
        </w:rPr>
      </w:pPr>
      <w:r w:rsidRPr="00973D4F">
        <w:rPr>
          <w:rFonts w:ascii="Arial Black" w:hAnsi="Arial Black"/>
          <w:color w:val="333333"/>
          <w:sz w:val="20"/>
          <w:szCs w:val="20"/>
          <w:shd w:val="clear" w:color="auto" w:fill="FFFFFF"/>
        </w:rPr>
        <w:t xml:space="preserve">Le Comité d'Hygiène, de Sécurité et des Conditions de Travail, ou le Comité Technique en son absence, a pour mission de contribuer à l'amélioration des conditions de travail ainsi qu'à la protection de la santé physique et mentale et la sécurité des agents au travail. Organisme consultatif, son avis sera sollicité sur toutes les questions relatives à la prévention des risques professionnels. </w:t>
      </w:r>
    </w:p>
    <w:p w:rsidR="00973D4F" w:rsidRPr="00266883" w:rsidRDefault="00973D4F" w:rsidP="00973D4F">
      <w:pPr>
        <w:pStyle w:val="Titre2"/>
        <w:spacing w:before="273" w:after="109"/>
        <w:ind w:left="-218"/>
        <w:rPr>
          <w:rFonts w:ascii="Trebuchet MS" w:hAnsi="Trebuchet MS"/>
          <w:b w:val="0"/>
          <w:bCs w:val="0"/>
          <w:caps/>
          <w:color w:val="787896"/>
          <w:sz w:val="30"/>
          <w:szCs w:val="30"/>
          <w:u w:val="single"/>
        </w:rPr>
      </w:pPr>
      <w:r w:rsidRPr="00266883">
        <w:rPr>
          <w:rFonts w:ascii="Trebuchet MS" w:hAnsi="Trebuchet MS"/>
          <w:b w:val="0"/>
          <w:bCs w:val="0"/>
          <w:caps/>
          <w:color w:val="787896"/>
          <w:sz w:val="30"/>
          <w:szCs w:val="30"/>
          <w:u w:val="single"/>
        </w:rPr>
        <w:t>SA COMPOSITION</w:t>
      </w:r>
    </w:p>
    <w:p w:rsidR="00973D4F" w:rsidRPr="00973D4F" w:rsidRDefault="00973D4F" w:rsidP="00973D4F">
      <w:pPr>
        <w:pStyle w:val="NormalWeb"/>
        <w:shd w:val="clear" w:color="auto" w:fill="FFFFFF"/>
        <w:spacing w:before="87" w:beforeAutospacing="0" w:after="87" w:afterAutospacing="0"/>
        <w:jc w:val="both"/>
        <w:rPr>
          <w:rFonts w:ascii="Arial Black" w:hAnsi="Arial Black" w:cs="Arial"/>
          <w:color w:val="4C4C4C"/>
          <w:sz w:val="20"/>
          <w:szCs w:val="20"/>
        </w:rPr>
      </w:pPr>
      <w:r w:rsidRPr="00973D4F">
        <w:rPr>
          <w:rFonts w:ascii="Arial Black" w:hAnsi="Arial Black" w:cs="Arial"/>
          <w:color w:val="4C4C4C"/>
          <w:sz w:val="20"/>
          <w:szCs w:val="20"/>
        </w:rPr>
        <w:t>Les collectivités et établissements sont tenus de créer un Comité d'Hygiène, de Sécurité et des Conditions de Travail (CHSCT), dès que le seuil de 50 agents est atteint.</w:t>
      </w:r>
      <w:r w:rsidRPr="00973D4F">
        <w:rPr>
          <w:rFonts w:ascii="Arial Black" w:hAnsi="Arial Black" w:cs="Arial"/>
          <w:color w:val="4C4C4C"/>
          <w:sz w:val="20"/>
          <w:szCs w:val="20"/>
        </w:rPr>
        <w:br/>
      </w:r>
      <w:r w:rsidRPr="00973D4F">
        <w:rPr>
          <w:rFonts w:ascii="Arial Black" w:hAnsi="Arial Black" w:cs="Arial"/>
          <w:color w:val="4C4C4C"/>
          <w:sz w:val="20"/>
          <w:szCs w:val="20"/>
        </w:rPr>
        <w:br/>
        <w:t>Le CHSCT comprend des représentants de la collectivité désignés par l'autorité territoriale et des représentants du personnel désignés par les organisations syndicales.</w:t>
      </w:r>
    </w:p>
    <w:p w:rsidR="00973D4F" w:rsidRPr="00266883" w:rsidRDefault="00973D4F" w:rsidP="00973D4F">
      <w:pPr>
        <w:pStyle w:val="Titre2"/>
        <w:spacing w:before="273" w:after="109"/>
        <w:ind w:left="-218"/>
        <w:rPr>
          <w:rFonts w:ascii="Trebuchet MS" w:hAnsi="Trebuchet MS" w:cs="Times New Roman"/>
          <w:b w:val="0"/>
          <w:bCs w:val="0"/>
          <w:caps/>
          <w:color w:val="787896"/>
          <w:sz w:val="30"/>
          <w:szCs w:val="30"/>
          <w:u w:val="single"/>
        </w:rPr>
      </w:pPr>
      <w:r w:rsidRPr="00266883">
        <w:rPr>
          <w:rFonts w:ascii="Trebuchet MS" w:hAnsi="Trebuchet MS"/>
          <w:b w:val="0"/>
          <w:bCs w:val="0"/>
          <w:caps/>
          <w:color w:val="787896"/>
          <w:sz w:val="30"/>
          <w:szCs w:val="30"/>
          <w:u w:val="single"/>
        </w:rPr>
        <w:t>SES MISSIONS</w:t>
      </w:r>
    </w:p>
    <w:p w:rsidR="00973D4F" w:rsidRPr="00973D4F" w:rsidRDefault="00973D4F" w:rsidP="00973D4F">
      <w:pPr>
        <w:pStyle w:val="NormalWeb"/>
        <w:shd w:val="clear" w:color="auto" w:fill="FFFFFF"/>
        <w:spacing w:before="87" w:beforeAutospacing="0" w:after="87" w:afterAutospacing="0"/>
        <w:jc w:val="both"/>
        <w:rPr>
          <w:rFonts w:ascii="Arial Black" w:hAnsi="Arial Black" w:cs="Arial"/>
          <w:color w:val="4C4C4C"/>
          <w:sz w:val="20"/>
          <w:szCs w:val="20"/>
        </w:rPr>
      </w:pPr>
      <w:r w:rsidRPr="00973D4F">
        <w:rPr>
          <w:rFonts w:ascii="Arial Black" w:hAnsi="Arial Black" w:cs="Arial"/>
          <w:color w:val="4C4C4C"/>
          <w:sz w:val="20"/>
          <w:szCs w:val="20"/>
        </w:rPr>
        <w:t>Le Comité d'Hygiène, de Sécurité et des Conditions de Travail veille à l'amélioration des conditions de travail des agents, contribue à la promotion de la prévention des risques professionnels et prend toutes mesures de nature à améliorer l'hygiène et la sécurité au travail. Il procède à l'analyse des risques professionnels et donne un avis sur le programme annuel de prévention de ces risques.</w:t>
      </w:r>
    </w:p>
    <w:p w:rsidR="00973D4F" w:rsidRPr="00973D4F" w:rsidRDefault="00973D4F" w:rsidP="00973D4F"/>
    <w:p w:rsidR="00973D4F" w:rsidRPr="00266883" w:rsidRDefault="00973D4F" w:rsidP="00973D4F">
      <w:pPr>
        <w:pStyle w:val="Titre2"/>
        <w:spacing w:before="273" w:after="109"/>
        <w:ind w:left="-218"/>
        <w:rPr>
          <w:rFonts w:ascii="Arial Black" w:hAnsi="Arial Black"/>
          <w:b w:val="0"/>
          <w:bCs w:val="0"/>
          <w:caps/>
          <w:color w:val="787896"/>
          <w:sz w:val="20"/>
          <w:szCs w:val="20"/>
          <w:u w:val="single"/>
        </w:rPr>
      </w:pPr>
      <w:r w:rsidRPr="00266883">
        <w:rPr>
          <w:rFonts w:ascii="Arial Black" w:hAnsi="Arial Black"/>
          <w:b w:val="0"/>
          <w:bCs w:val="0"/>
          <w:caps/>
          <w:color w:val="787896"/>
          <w:sz w:val="20"/>
          <w:szCs w:val="20"/>
          <w:u w:val="single"/>
        </w:rPr>
        <w:t>SON FONCTIONNEMENT</w:t>
      </w:r>
    </w:p>
    <w:p w:rsidR="00973D4F" w:rsidRDefault="00973D4F" w:rsidP="00973D4F">
      <w:pPr>
        <w:pStyle w:val="NormalWeb"/>
        <w:shd w:val="clear" w:color="auto" w:fill="FFFFFF"/>
        <w:spacing w:before="87" w:beforeAutospacing="0" w:after="87" w:afterAutospacing="0"/>
        <w:jc w:val="both"/>
        <w:rPr>
          <w:rFonts w:ascii="Arial Black" w:hAnsi="Arial Black" w:cs="Arial"/>
          <w:color w:val="4C4C4C"/>
          <w:sz w:val="20"/>
          <w:szCs w:val="20"/>
        </w:rPr>
      </w:pPr>
      <w:r w:rsidRPr="00973D4F">
        <w:rPr>
          <w:rFonts w:ascii="Arial Black" w:hAnsi="Arial Black" w:cs="Arial"/>
          <w:color w:val="4C4C4C"/>
          <w:sz w:val="20"/>
          <w:szCs w:val="20"/>
        </w:rPr>
        <w:t>- Le CHSCT se réunit au moins trois fois par an sur</w:t>
      </w:r>
      <w:r>
        <w:rPr>
          <w:rFonts w:ascii="Arial Black" w:hAnsi="Arial Black" w:cs="Arial"/>
          <w:color w:val="4C4C4C"/>
          <w:sz w:val="20"/>
          <w:szCs w:val="20"/>
        </w:rPr>
        <w:t xml:space="preserve"> convocation de son président.</w:t>
      </w:r>
      <w:r w:rsidRPr="00973D4F">
        <w:rPr>
          <w:rFonts w:ascii="Arial Black" w:hAnsi="Arial Black" w:cs="Arial"/>
          <w:color w:val="4C4C4C"/>
          <w:sz w:val="20"/>
          <w:szCs w:val="20"/>
        </w:rPr>
        <w:br/>
        <w:t>- Les propositions et avis sont portés à la connaissance des agents dans un délai d'un mois.</w:t>
      </w:r>
    </w:p>
    <w:p w:rsidR="00973D4F" w:rsidRPr="00973D4F" w:rsidRDefault="00973D4F" w:rsidP="00973D4F">
      <w:pPr>
        <w:pStyle w:val="NormalWeb"/>
        <w:shd w:val="clear" w:color="auto" w:fill="FFFFFF"/>
        <w:spacing w:before="87" w:beforeAutospacing="0" w:after="87" w:afterAutospacing="0"/>
        <w:jc w:val="both"/>
        <w:rPr>
          <w:rFonts w:ascii="Arial Black" w:hAnsi="Arial Black" w:cs="Arial"/>
          <w:color w:val="4C4C4C"/>
          <w:sz w:val="20"/>
          <w:szCs w:val="20"/>
        </w:rPr>
      </w:pPr>
      <w:r>
        <w:rPr>
          <w:rFonts w:ascii="Arial Black" w:hAnsi="Arial Black" w:cs="Arial"/>
          <w:color w:val="4C4C4C"/>
          <w:sz w:val="20"/>
          <w:szCs w:val="20"/>
        </w:rPr>
        <w:t>-  Le planning des séances</w:t>
      </w:r>
      <w:r w:rsidR="00266883">
        <w:rPr>
          <w:rFonts w:ascii="Arial Black" w:hAnsi="Arial Black" w:cs="Arial"/>
          <w:color w:val="4C4C4C"/>
          <w:sz w:val="20"/>
          <w:szCs w:val="20"/>
        </w:rPr>
        <w:t xml:space="preserve"> peut être établi annuellement.</w:t>
      </w:r>
    </w:p>
    <w:p w:rsidR="00973D4F" w:rsidRPr="00266883" w:rsidRDefault="00266883" w:rsidP="00973D4F">
      <w:pPr>
        <w:pStyle w:val="Titre2"/>
        <w:spacing w:before="273" w:after="109"/>
        <w:ind w:left="-218"/>
        <w:rPr>
          <w:rFonts w:ascii="Arial Black" w:hAnsi="Arial Black" w:cs="Times New Roman"/>
          <w:b w:val="0"/>
          <w:bCs w:val="0"/>
          <w:caps/>
          <w:color w:val="787896"/>
          <w:sz w:val="20"/>
          <w:szCs w:val="20"/>
          <w:u w:val="single"/>
        </w:rPr>
      </w:pPr>
      <w:r>
        <w:rPr>
          <w:rFonts w:ascii="Arial Black" w:hAnsi="Arial Black"/>
          <w:b w:val="0"/>
          <w:bCs w:val="0"/>
          <w:caps/>
          <w:color w:val="787896"/>
          <w:sz w:val="20"/>
          <w:szCs w:val="20"/>
          <w:u w:val="single"/>
        </w:rPr>
        <w:t>LES TEXTES DE LOI</w:t>
      </w:r>
    </w:p>
    <w:p w:rsidR="00973D4F" w:rsidRPr="00973D4F" w:rsidRDefault="00A64328" w:rsidP="00973D4F">
      <w:pPr>
        <w:pStyle w:val="NormalWeb"/>
        <w:shd w:val="clear" w:color="auto" w:fill="FFFFFF"/>
        <w:spacing w:before="0" w:beforeAutospacing="0" w:after="0" w:afterAutospacing="0"/>
        <w:jc w:val="both"/>
        <w:rPr>
          <w:rFonts w:ascii="Arial Black" w:hAnsi="Arial Black" w:cs="Arial"/>
          <w:color w:val="4C4C4C"/>
          <w:sz w:val="20"/>
          <w:szCs w:val="20"/>
        </w:rPr>
      </w:pPr>
      <w:hyperlink r:id="rId5" w:tgtFrame="_blank" w:history="1">
        <w:r w:rsidR="00973D4F" w:rsidRPr="00973D4F">
          <w:rPr>
            <w:rStyle w:val="Lienhypertexte"/>
            <w:rFonts w:ascii="Arial Black" w:eastAsiaTheme="majorEastAsia" w:hAnsi="Arial Black" w:cs="Arial"/>
            <w:color w:val="FC5C00"/>
            <w:sz w:val="20"/>
            <w:szCs w:val="20"/>
            <w:bdr w:val="none" w:sz="0" w:space="0" w:color="auto" w:frame="1"/>
          </w:rPr>
          <w:t>&gt; Décret n° 85-603 du 10 juin 1985</w:t>
        </w:r>
      </w:hyperlink>
    </w:p>
    <w:p w:rsidR="00973D4F" w:rsidRPr="00973D4F" w:rsidRDefault="00A64328" w:rsidP="00973D4F">
      <w:pPr>
        <w:pStyle w:val="NormalWeb"/>
        <w:shd w:val="clear" w:color="auto" w:fill="FFFFFF"/>
        <w:spacing w:before="0" w:beforeAutospacing="0" w:after="0" w:afterAutospacing="0"/>
        <w:jc w:val="both"/>
        <w:rPr>
          <w:rFonts w:ascii="Arial Black" w:hAnsi="Arial Black" w:cs="Arial"/>
          <w:color w:val="4C4C4C"/>
          <w:sz w:val="20"/>
          <w:szCs w:val="20"/>
        </w:rPr>
      </w:pPr>
      <w:hyperlink r:id="rId6" w:tgtFrame="_blank" w:history="1">
        <w:r w:rsidR="00973D4F" w:rsidRPr="00973D4F">
          <w:rPr>
            <w:rStyle w:val="Lienhypertexte"/>
            <w:rFonts w:ascii="Arial Black" w:eastAsiaTheme="majorEastAsia" w:hAnsi="Arial Black" w:cs="Arial"/>
            <w:color w:val="FC5C00"/>
            <w:sz w:val="20"/>
            <w:szCs w:val="20"/>
            <w:bdr w:val="none" w:sz="0" w:space="0" w:color="auto" w:frame="1"/>
          </w:rPr>
          <w:t>&gt; Décret n° 85-565 du 30 mai 1985</w:t>
        </w:r>
      </w:hyperlink>
    </w:p>
    <w:p w:rsidR="00973D4F" w:rsidRDefault="00A64328" w:rsidP="00973D4F">
      <w:pPr>
        <w:pStyle w:val="NormalWeb"/>
        <w:shd w:val="clear" w:color="auto" w:fill="FFFFFF"/>
        <w:spacing w:before="0" w:beforeAutospacing="0" w:after="0" w:afterAutospacing="0"/>
        <w:jc w:val="both"/>
        <w:rPr>
          <w:rFonts w:ascii="Arial Black" w:hAnsi="Arial Black" w:cs="Arial"/>
          <w:color w:val="4C4C4C"/>
          <w:sz w:val="20"/>
          <w:szCs w:val="20"/>
        </w:rPr>
      </w:pPr>
      <w:hyperlink r:id="rId7" w:tgtFrame="_blank" w:history="1">
        <w:r w:rsidR="00973D4F" w:rsidRPr="00973D4F">
          <w:rPr>
            <w:rStyle w:val="Lienhypertexte"/>
            <w:rFonts w:ascii="Arial Black" w:eastAsiaTheme="majorEastAsia" w:hAnsi="Arial Black" w:cs="Arial"/>
            <w:color w:val="FC5C00"/>
            <w:sz w:val="20"/>
            <w:szCs w:val="20"/>
            <w:bdr w:val="none" w:sz="0" w:space="0" w:color="auto" w:frame="1"/>
          </w:rPr>
          <w:t>&gt; Circulaire du 12 octobre 2012</w:t>
        </w:r>
      </w:hyperlink>
      <w:r w:rsidR="00266883">
        <w:rPr>
          <w:rFonts w:ascii="Arial Black" w:hAnsi="Arial Black" w:cs="Arial"/>
          <w:color w:val="4C4C4C"/>
          <w:sz w:val="20"/>
          <w:szCs w:val="20"/>
        </w:rPr>
        <w:t xml:space="preserve">                                                           POUR VOTRE INFO</w:t>
      </w:r>
    </w:p>
    <w:p w:rsidR="00266883" w:rsidRPr="00266883" w:rsidRDefault="00266883" w:rsidP="00973D4F">
      <w:pPr>
        <w:pStyle w:val="NormalWeb"/>
        <w:shd w:val="clear" w:color="auto" w:fill="FFFFFF"/>
        <w:spacing w:before="0" w:beforeAutospacing="0" w:after="0" w:afterAutospacing="0"/>
        <w:jc w:val="both"/>
        <w:rPr>
          <w:rFonts w:ascii="Arial Black" w:hAnsi="Arial Black" w:cs="Arial"/>
          <w:color w:val="4C4C4C"/>
          <w:sz w:val="20"/>
          <w:szCs w:val="20"/>
          <w:u w:val="single"/>
        </w:rPr>
      </w:pPr>
      <w:r>
        <w:rPr>
          <w:rFonts w:ascii="Arial Black" w:hAnsi="Arial Black" w:cs="Arial"/>
          <w:color w:val="4C4C4C"/>
          <w:sz w:val="20"/>
          <w:szCs w:val="20"/>
        </w:rPr>
        <w:t xml:space="preserve">                                                                                                               </w:t>
      </w:r>
      <w:r w:rsidRPr="00266883">
        <w:rPr>
          <w:rFonts w:ascii="Arial Black" w:hAnsi="Arial Black" w:cs="Arial"/>
          <w:color w:val="4C4C4C"/>
          <w:sz w:val="20"/>
          <w:szCs w:val="20"/>
          <w:u w:val="single"/>
        </w:rPr>
        <w:t>LA CGT .</w:t>
      </w:r>
    </w:p>
    <w:p w:rsidR="00973D4F" w:rsidRDefault="00973D4F">
      <w:pPr>
        <w:rPr>
          <w:rFonts w:ascii="Arial Black" w:hAnsi="Arial Black"/>
          <w:b/>
        </w:rPr>
      </w:pPr>
    </w:p>
    <w:p w:rsidR="00266883" w:rsidRPr="00FD21C0" w:rsidRDefault="00266883">
      <w:pPr>
        <w:rPr>
          <w:rFonts w:ascii="Arial Black" w:hAnsi="Arial Black"/>
          <w:b/>
        </w:rPr>
      </w:pPr>
      <w:r>
        <w:rPr>
          <w:rFonts w:ascii="Arial Black" w:hAnsi="Arial Black"/>
          <w:b/>
        </w:rPr>
        <w:t xml:space="preserve"> </w:t>
      </w:r>
    </w:p>
    <w:sectPr w:rsidR="00266883" w:rsidRPr="00FD21C0" w:rsidSect="00FD21C0">
      <w:pgSz w:w="11906" w:h="16838"/>
      <w:pgMar w:top="340" w:right="1418" w:bottom="1418"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compat/>
  <w:rsids>
    <w:rsidRoot w:val="00FD21C0"/>
    <w:rsid w:val="00143C96"/>
    <w:rsid w:val="00266883"/>
    <w:rsid w:val="002F121C"/>
    <w:rsid w:val="003A10CA"/>
    <w:rsid w:val="004007C7"/>
    <w:rsid w:val="006A7EB0"/>
    <w:rsid w:val="00973D4F"/>
    <w:rsid w:val="00A64328"/>
    <w:rsid w:val="00AB7C74"/>
    <w:rsid w:val="00B9204F"/>
    <w:rsid w:val="00FD21C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204F"/>
  </w:style>
  <w:style w:type="paragraph" w:styleId="Titre1">
    <w:name w:val="heading 1"/>
    <w:basedOn w:val="Normal"/>
    <w:link w:val="Titre1Car"/>
    <w:uiPriority w:val="9"/>
    <w:qFormat/>
    <w:rsid w:val="00FD21C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973D4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D21C0"/>
    <w:rPr>
      <w:rFonts w:ascii="Times New Roman" w:eastAsia="Times New Roman" w:hAnsi="Times New Roman" w:cs="Times New Roman"/>
      <w:b/>
      <w:bCs/>
      <w:kern w:val="36"/>
      <w:sz w:val="48"/>
      <w:szCs w:val="48"/>
      <w:lang w:eastAsia="fr-FR"/>
    </w:rPr>
  </w:style>
  <w:style w:type="character" w:customStyle="1" w:styleId="apple-converted-space">
    <w:name w:val="apple-converted-space"/>
    <w:basedOn w:val="Policepardfaut"/>
    <w:rsid w:val="00973D4F"/>
  </w:style>
  <w:style w:type="character" w:customStyle="1" w:styleId="Titre2Car">
    <w:name w:val="Titre 2 Car"/>
    <w:basedOn w:val="Policepardfaut"/>
    <w:link w:val="Titre2"/>
    <w:uiPriority w:val="9"/>
    <w:semiHidden/>
    <w:rsid w:val="00973D4F"/>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973D4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973D4F"/>
    <w:rPr>
      <w:color w:val="0000FF"/>
      <w:u w:val="single"/>
    </w:rPr>
  </w:style>
</w:styles>
</file>

<file path=word/webSettings.xml><?xml version="1.0" encoding="utf-8"?>
<w:webSettings xmlns:r="http://schemas.openxmlformats.org/officeDocument/2006/relationships" xmlns:w="http://schemas.openxmlformats.org/wordprocessingml/2006/main">
  <w:divs>
    <w:div w:id="7560854">
      <w:bodyDiv w:val="1"/>
      <w:marLeft w:val="0"/>
      <w:marRight w:val="0"/>
      <w:marTop w:val="0"/>
      <w:marBottom w:val="0"/>
      <w:divBdr>
        <w:top w:val="none" w:sz="0" w:space="0" w:color="auto"/>
        <w:left w:val="none" w:sz="0" w:space="0" w:color="auto"/>
        <w:bottom w:val="none" w:sz="0" w:space="0" w:color="auto"/>
        <w:right w:val="none" w:sz="0" w:space="0" w:color="auto"/>
      </w:divBdr>
    </w:div>
    <w:div w:id="318071927">
      <w:bodyDiv w:val="1"/>
      <w:marLeft w:val="0"/>
      <w:marRight w:val="0"/>
      <w:marTop w:val="0"/>
      <w:marBottom w:val="0"/>
      <w:divBdr>
        <w:top w:val="none" w:sz="0" w:space="0" w:color="auto"/>
        <w:left w:val="none" w:sz="0" w:space="0" w:color="auto"/>
        <w:bottom w:val="none" w:sz="0" w:space="0" w:color="auto"/>
        <w:right w:val="none" w:sz="0" w:space="0" w:color="auto"/>
      </w:divBdr>
    </w:div>
    <w:div w:id="584846658">
      <w:bodyDiv w:val="1"/>
      <w:marLeft w:val="0"/>
      <w:marRight w:val="0"/>
      <w:marTop w:val="0"/>
      <w:marBottom w:val="0"/>
      <w:divBdr>
        <w:top w:val="none" w:sz="0" w:space="0" w:color="auto"/>
        <w:left w:val="none" w:sz="0" w:space="0" w:color="auto"/>
        <w:bottom w:val="none" w:sz="0" w:space="0" w:color="auto"/>
        <w:right w:val="none" w:sz="0" w:space="0" w:color="auto"/>
      </w:divBdr>
      <w:divsChild>
        <w:div w:id="70932958">
          <w:marLeft w:val="0"/>
          <w:marRight w:val="0"/>
          <w:marTop w:val="0"/>
          <w:marBottom w:val="0"/>
          <w:divBdr>
            <w:top w:val="none" w:sz="0" w:space="0" w:color="auto"/>
            <w:left w:val="none" w:sz="0" w:space="0" w:color="auto"/>
            <w:bottom w:val="none" w:sz="0" w:space="0" w:color="auto"/>
            <w:right w:val="none" w:sz="0" w:space="0" w:color="auto"/>
          </w:divBdr>
        </w:div>
        <w:div w:id="946306134">
          <w:marLeft w:val="0"/>
          <w:marRight w:val="0"/>
          <w:marTop w:val="0"/>
          <w:marBottom w:val="0"/>
          <w:divBdr>
            <w:top w:val="none" w:sz="0" w:space="0" w:color="auto"/>
            <w:left w:val="none" w:sz="0" w:space="0" w:color="auto"/>
            <w:bottom w:val="none" w:sz="0" w:space="0" w:color="auto"/>
            <w:right w:val="none" w:sz="0" w:space="0" w:color="auto"/>
          </w:divBdr>
          <w:divsChild>
            <w:div w:id="52508100">
              <w:marLeft w:val="0"/>
              <w:marRight w:val="0"/>
              <w:marTop w:val="164"/>
              <w:marBottom w:val="109"/>
              <w:divBdr>
                <w:top w:val="none" w:sz="0" w:space="0" w:color="auto"/>
                <w:left w:val="none" w:sz="0" w:space="0" w:color="auto"/>
                <w:bottom w:val="none" w:sz="0" w:space="0" w:color="auto"/>
                <w:right w:val="none" w:sz="0" w:space="0" w:color="auto"/>
              </w:divBdr>
              <w:divsChild>
                <w:div w:id="74954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843541">
      <w:bodyDiv w:val="1"/>
      <w:marLeft w:val="0"/>
      <w:marRight w:val="0"/>
      <w:marTop w:val="0"/>
      <w:marBottom w:val="0"/>
      <w:divBdr>
        <w:top w:val="none" w:sz="0" w:space="0" w:color="auto"/>
        <w:left w:val="none" w:sz="0" w:space="0" w:color="auto"/>
        <w:bottom w:val="none" w:sz="0" w:space="0" w:color="auto"/>
        <w:right w:val="none" w:sz="0" w:space="0" w:color="auto"/>
      </w:divBdr>
    </w:div>
    <w:div w:id="1016730835">
      <w:bodyDiv w:val="1"/>
      <w:marLeft w:val="0"/>
      <w:marRight w:val="0"/>
      <w:marTop w:val="0"/>
      <w:marBottom w:val="0"/>
      <w:divBdr>
        <w:top w:val="none" w:sz="0" w:space="0" w:color="auto"/>
        <w:left w:val="none" w:sz="0" w:space="0" w:color="auto"/>
        <w:bottom w:val="none" w:sz="0" w:space="0" w:color="auto"/>
        <w:right w:val="none" w:sz="0" w:space="0" w:color="auto"/>
      </w:divBdr>
    </w:div>
    <w:div w:id="1248467228">
      <w:bodyDiv w:val="1"/>
      <w:marLeft w:val="0"/>
      <w:marRight w:val="0"/>
      <w:marTop w:val="0"/>
      <w:marBottom w:val="0"/>
      <w:divBdr>
        <w:top w:val="none" w:sz="0" w:space="0" w:color="auto"/>
        <w:left w:val="none" w:sz="0" w:space="0" w:color="auto"/>
        <w:bottom w:val="none" w:sz="0" w:space="0" w:color="auto"/>
        <w:right w:val="none" w:sz="0" w:space="0" w:color="auto"/>
      </w:divBdr>
    </w:div>
    <w:div w:id="1259145465">
      <w:bodyDiv w:val="1"/>
      <w:marLeft w:val="0"/>
      <w:marRight w:val="0"/>
      <w:marTop w:val="0"/>
      <w:marBottom w:val="0"/>
      <w:divBdr>
        <w:top w:val="none" w:sz="0" w:space="0" w:color="auto"/>
        <w:left w:val="none" w:sz="0" w:space="0" w:color="auto"/>
        <w:bottom w:val="none" w:sz="0" w:space="0" w:color="auto"/>
        <w:right w:val="none" w:sz="0" w:space="0" w:color="auto"/>
      </w:divBdr>
    </w:div>
    <w:div w:id="1974944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dg60.com/document-standard/circulaire-du-12-octobre-2012-hygiene-securite-dans-la-ft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egifrance.gouv.fr/affichTexte.do?cidTexte=LEGITEXT000025083236" TargetMode="External"/><Relationship Id="rId5" Type="http://schemas.openxmlformats.org/officeDocument/2006/relationships/hyperlink" Target="http://www.legifrance.gouv.fr/affichTexte.do?cidTexte=LEGITEXT000006065048&amp;dateTexte=20100422"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331</Words>
  <Characters>1824</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gaudeau teddy</dc:creator>
  <cp:lastModifiedBy>gaudeau teddy</cp:lastModifiedBy>
  <cp:revision>6</cp:revision>
  <dcterms:created xsi:type="dcterms:W3CDTF">2016-10-17T14:00:00Z</dcterms:created>
  <dcterms:modified xsi:type="dcterms:W3CDTF">2016-11-24T18:11:00Z</dcterms:modified>
</cp:coreProperties>
</file>