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bookmarkStart w:id="0" w:name="_GoBack"/>
      <w:bookmarkEnd w:id="0"/>
      <w:r>
        <w:rPr>
          <w:b/>
          <w:sz w:val="32"/>
          <w:szCs w:val="32"/>
          <w:u w:val="single"/>
        </w:rPr>
        <w:t>Conditions générales de vente</w:t>
      </w:r>
    </w:p>
    <w:p>
      <w:pPr>
        <w:pStyle w:val="Normal"/>
        <w:jc w:val="center"/>
        <w:rPr>
          <w:sz w:val="32"/>
          <w:szCs w:val="32"/>
        </w:rPr>
      </w:pPr>
      <w:r>
        <w:rPr>
          <w:b/>
          <w:sz w:val="32"/>
          <w:szCs w:val="32"/>
          <w:u w:val="single"/>
        </w:rPr>
        <w:t>Informations destinées aux voyageurs</w:t>
      </w:r>
    </w:p>
    <w:p>
      <w:pPr>
        <w:pStyle w:val="Normal"/>
        <w:jc w:val="center"/>
        <w:rPr>
          <w:sz w:val="28"/>
          <w:szCs w:val="28"/>
        </w:rPr>
      </w:pPr>
      <w:r>
        <w:rPr>
          <w:sz w:val="28"/>
          <w:szCs w:val="28"/>
        </w:rPr>
      </w:r>
    </w:p>
    <w:p>
      <w:pPr>
        <w:pStyle w:val="Normal"/>
        <w:jc w:val="both"/>
        <w:rPr>
          <w:b/>
          <w:b/>
        </w:rPr>
      </w:pPr>
      <w:r>
        <w:rPr/>
        <w:t>●</w:t>
      </w:r>
      <w:r>
        <w:rPr>
          <w:b/>
        </w:rPr>
        <w:t>Coordonnées de l’organisateur du séjour :</w:t>
      </w:r>
    </w:p>
    <w:p>
      <w:pPr>
        <w:pStyle w:val="Normal"/>
        <w:jc w:val="both"/>
        <w:rPr>
          <w:b/>
          <w:b/>
        </w:rPr>
      </w:pPr>
      <w:r>
        <w:rPr>
          <w:b/>
        </w:rPr>
      </w:r>
    </w:p>
    <w:p>
      <w:pPr>
        <w:pStyle w:val="Normal"/>
        <w:jc w:val="center"/>
        <w:rPr>
          <w:b/>
          <w:b/>
        </w:rPr>
      </w:pPr>
      <w:r>
        <w:rPr>
          <w:b/>
        </w:rPr>
        <w:t>Association ASSM Randonnées Pédestres sentiers et montagne représentée par son président</w:t>
      </w:r>
    </w:p>
    <w:p>
      <w:pPr>
        <w:pStyle w:val="Normal"/>
        <w:jc w:val="center"/>
        <w:rPr>
          <w:b/>
          <w:b/>
        </w:rPr>
      </w:pPr>
      <w:r>
        <w:rPr>
          <w:b/>
        </w:rPr>
        <w:t>M Gabriel Parra - 30 rue Henri Rol Tanguy - 33160 Saint Médard en Jalles,</w:t>
      </w:r>
    </w:p>
    <w:p>
      <w:pPr>
        <w:pStyle w:val="Normal"/>
        <w:jc w:val="both"/>
        <w:rPr>
          <w:b/>
          <w:b/>
        </w:rPr>
      </w:pPr>
      <w:r>
        <w:rPr>
          <w:b/>
        </w:rPr>
      </w:r>
    </w:p>
    <w:p>
      <w:pPr>
        <w:pStyle w:val="Normal"/>
        <w:jc w:val="both"/>
        <w:rPr>
          <w:b/>
          <w:b/>
        </w:rPr>
      </w:pPr>
      <w:r>
        <w:rPr>
          <w:b/>
        </w:rPr>
      </w:r>
    </w:p>
    <w:p>
      <w:pPr>
        <w:pStyle w:val="Normal"/>
        <w:jc w:val="both"/>
        <w:rPr>
          <w:b/>
          <w:b/>
          <w:color w:val="FF0000"/>
        </w:rPr>
      </w:pPr>
      <w:r>
        <w:rPr>
          <w:b/>
        </w:rPr>
        <w:t xml:space="preserve">Responsable du séjour : </w:t>
      </w:r>
      <w:r>
        <w:rPr>
          <w:b/>
          <w:color w:val="FF0000"/>
        </w:rPr>
        <w:t>Voir notice d’information du séjour concerné</w:t>
      </w:r>
    </w:p>
    <w:p>
      <w:pPr>
        <w:pStyle w:val="Normal"/>
        <w:jc w:val="both"/>
        <w:rPr>
          <w:b/>
          <w:b/>
        </w:rPr>
      </w:pPr>
      <w:r>
        <w:rPr>
          <w:b/>
        </w:rPr>
      </w:r>
    </w:p>
    <w:p>
      <w:pPr>
        <w:pStyle w:val="Normal"/>
        <w:jc w:val="both"/>
        <w:rPr/>
      </w:pPr>
      <w:r>
        <w:rPr/>
        <w:t xml:space="preserve">● </w:t>
      </w:r>
      <w:r>
        <w:rPr/>
        <w:t>L’organisateur est responsable de la bonne exécution de tous les services de voyage conformément à l’article L211-16 du code du tourisme et, il est tenu d’apporter une aide au voyageur qui est en difficulté conformément à l’article L211-17-1 du code du tourisme.</w:t>
      </w:r>
    </w:p>
    <w:p>
      <w:pPr>
        <w:pStyle w:val="Normal"/>
        <w:jc w:val="both"/>
        <w:rPr/>
      </w:pPr>
      <w:r>
        <w:rPr/>
      </w:r>
    </w:p>
    <w:p>
      <w:pPr>
        <w:pStyle w:val="Normal"/>
        <w:jc w:val="both"/>
        <w:rPr/>
      </w:pPr>
      <w:r>
        <w:rPr/>
      </w:r>
    </w:p>
    <w:p>
      <w:pPr>
        <w:pStyle w:val="Normal"/>
        <w:jc w:val="both"/>
        <w:rPr/>
      </w:pPr>
      <w:r>
        <w:rPr/>
        <w:t xml:space="preserve">● </w:t>
      </w:r>
      <w:r>
        <w:rPr>
          <w:b/>
        </w:rPr>
        <w:t>Cession du contrat</w:t>
      </w:r>
      <w:r>
        <w:rPr/>
        <w:t> :</w:t>
      </w:r>
    </w:p>
    <w:p>
      <w:pPr>
        <w:pStyle w:val="Normal"/>
        <w:jc w:val="both"/>
        <w:rPr/>
      </w:pPr>
      <w:r>
        <w:rPr/>
        <w:t>Le voyageur peut céder son contrat à une autre personne moyennant des frais réels et raisonnables justifiables par l’organisateur, dernier délai : 7 jours avant le départ du séjour.</w:t>
      </w:r>
    </w:p>
    <w:p>
      <w:pPr>
        <w:pStyle w:val="Normal"/>
        <w:jc w:val="both"/>
        <w:rPr/>
      </w:pPr>
      <w:r>
        <w:rPr/>
      </w:r>
    </w:p>
    <w:p>
      <w:pPr>
        <w:pStyle w:val="Normal"/>
        <w:jc w:val="both"/>
        <w:rPr/>
      </w:pPr>
      <w:r>
        <w:rPr/>
      </w:r>
    </w:p>
    <w:p>
      <w:pPr>
        <w:pStyle w:val="Normal"/>
        <w:jc w:val="both"/>
        <w:rPr/>
      </w:pPr>
      <w:r>
        <w:rPr/>
        <w:t xml:space="preserve">● </w:t>
      </w:r>
      <w:r>
        <w:rPr>
          <w:b/>
        </w:rPr>
        <w:t>Augmentation du prix du voyage</w:t>
      </w:r>
      <w:r>
        <w:rPr/>
        <w:t xml:space="preserve"> : </w:t>
      </w:r>
    </w:p>
    <w:p>
      <w:pPr>
        <w:pStyle w:val="Normal"/>
        <w:jc w:val="both"/>
        <w:rPr/>
      </w:pPr>
      <w:r>
        <w:rPr/>
        <w:t>Le prix du voyage ne peut être augmenté que si les coûts spécifiques augmentent (prix des carburants, taxes aéroportuaires, portuaires, touristiques, taux de changes, etc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pPr>
        <w:pStyle w:val="Normal"/>
        <w:jc w:val="both"/>
        <w:rPr/>
      </w:pPr>
      <w:r>
        <w:rPr/>
      </w:r>
    </w:p>
    <w:p>
      <w:pPr>
        <w:pStyle w:val="Normal"/>
        <w:jc w:val="both"/>
        <w:rPr/>
      </w:pPr>
      <w:r>
        <w:rPr/>
      </w:r>
    </w:p>
    <w:p>
      <w:pPr>
        <w:pStyle w:val="Normal"/>
        <w:jc w:val="both"/>
        <w:rPr/>
      </w:pPr>
      <w:r>
        <w:rPr/>
        <w:t xml:space="preserve">● </w:t>
      </w:r>
      <w:r>
        <w:rPr>
          <w:b/>
        </w:rPr>
        <w:t>Modification du contenu du séjour</w:t>
      </w:r>
      <w:r>
        <w:rPr/>
        <w:t> :</w:t>
      </w:r>
    </w:p>
    <w:p>
      <w:pPr>
        <w:pStyle w:val="Normal"/>
        <w:jc w:val="both"/>
        <w:rPr/>
      </w:pPr>
      <w:r>
        <w:rPr/>
        <w:t>Les voyageurs peuvent résoudre le contrat sans payer de frais de résolution et être intégralement remboursés si l’un des éléments essentiels du séjour, autre que le prix, subit une modification importante.</w:t>
      </w:r>
    </w:p>
    <w:p>
      <w:pPr>
        <w:pStyle w:val="Normal"/>
        <w:jc w:val="both"/>
        <w:rPr/>
      </w:pPr>
      <w:r>
        <w:rPr/>
      </w:r>
    </w:p>
    <w:p>
      <w:pPr>
        <w:pStyle w:val="Normal"/>
        <w:jc w:val="both"/>
        <w:rPr/>
      </w:pPr>
      <w:r>
        <w:rPr/>
      </w:r>
    </w:p>
    <w:p>
      <w:pPr>
        <w:pStyle w:val="Normal"/>
        <w:jc w:val="both"/>
        <w:rPr/>
      </w:pPr>
      <w:r>
        <w:rPr/>
        <w:t xml:space="preserve">● </w:t>
      </w:r>
      <w:r>
        <w:rPr>
          <w:b/>
        </w:rPr>
        <w:t>Annulation du séjour par l’organisateur</w:t>
      </w:r>
      <w:r>
        <w:rPr/>
        <w:t> :</w:t>
      </w:r>
    </w:p>
    <w:p>
      <w:pPr>
        <w:pStyle w:val="Normal"/>
        <w:jc w:val="both"/>
        <w:rPr>
          <w:b/>
          <w:b/>
          <w:color w:val="FF0000"/>
          <w:u w:val="single"/>
        </w:rPr>
      </w:pPr>
      <w:r>
        <w:rPr/>
        <w:t xml:space="preserve">Si avant le début du séjour, l’organisateur annule celui-ci, les voyageurs peuvent obtenir le remboursement et un dédommagement s’il y a lieu </w:t>
      </w:r>
      <w:r>
        <w:rPr>
          <w:b/>
          <w:color w:val="FF0000"/>
          <w:u w:val="single"/>
        </w:rPr>
        <w:t>dans les conditions stipulées sur la notice d’information.</w:t>
      </w:r>
    </w:p>
    <w:p>
      <w:pPr>
        <w:pStyle w:val="Normal"/>
        <w:jc w:val="both"/>
        <w:rPr>
          <w:u w:val="single"/>
        </w:rPr>
      </w:pPr>
      <w:r>
        <w:rPr>
          <w:u w:val="single"/>
        </w:rPr>
      </w:r>
    </w:p>
    <w:p>
      <w:pPr>
        <w:pStyle w:val="Normal"/>
        <w:jc w:val="both"/>
        <w:rPr>
          <w:u w:val="single"/>
        </w:rPr>
      </w:pPr>
      <w:r>
        <w:rPr>
          <w:u w:val="single"/>
        </w:rPr>
      </w:r>
    </w:p>
    <w:p>
      <w:pPr>
        <w:pStyle w:val="Normal"/>
        <w:jc w:val="both"/>
        <w:rPr/>
      </w:pPr>
      <w:r>
        <w:rPr/>
        <w:t xml:space="preserve">● </w:t>
      </w:r>
      <w:r>
        <w:rPr>
          <w:b/>
        </w:rPr>
        <w:t>Annulation du séjour par le voyageur en cas de circonstances exceptionnelles</w:t>
      </w:r>
      <w:r>
        <w:rPr/>
        <w:t> (ex.: problèmes de sécurité):</w:t>
      </w:r>
    </w:p>
    <w:p>
      <w:pPr>
        <w:pStyle w:val="Normal"/>
        <w:jc w:val="both"/>
        <w:rPr>
          <w:u w:val="single"/>
        </w:rPr>
      </w:pPr>
      <w:r>
        <w:rPr/>
        <w:t xml:space="preserve">Les voyageurs peuvent résoudre le contrat sans payer de frais de résolution avant le début du séjour en cas de circonstances exceptionnelles et inévitables surviennent au lieu de destination ou à proximité immédiate </w:t>
      </w:r>
      <w:r>
        <w:rPr>
          <w:b/>
          <w:color w:val="FF0000"/>
          <w:u w:val="single"/>
        </w:rPr>
        <w:t>dans les conditions stipulées sur la notice d’information.</w:t>
      </w:r>
    </w:p>
    <w:p>
      <w:pPr>
        <w:pStyle w:val="Normal"/>
        <w:jc w:val="both"/>
        <w:rPr/>
      </w:pPr>
      <w:r>
        <w:rPr/>
      </w:r>
    </w:p>
    <w:p>
      <w:pPr>
        <w:pStyle w:val="Normal"/>
        <w:jc w:val="both"/>
        <w:rPr/>
      </w:pPr>
      <w:r>
        <w:rPr/>
      </w:r>
    </w:p>
    <w:p>
      <w:pPr>
        <w:pStyle w:val="Normal"/>
        <w:jc w:val="both"/>
        <w:rPr/>
      </w:pPr>
      <w:r>
        <w:rPr/>
        <w:t xml:space="preserve">● </w:t>
      </w:r>
      <w:r>
        <w:rPr>
          <w:b/>
        </w:rPr>
        <w:t>Elément important ne pouvant être fourni au cours du séjour par l’organisateur :</w:t>
      </w:r>
      <w:r>
        <w:rPr/>
        <w:t xml:space="preserve"> </w:t>
      </w:r>
    </w:p>
    <w:p>
      <w:pPr>
        <w:pStyle w:val="Normal"/>
        <w:jc w:val="both"/>
        <w:rPr/>
      </w:pPr>
      <w:r>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séjour et que l’organisateur ne remédie pas au problème</w:t>
      </w:r>
    </w:p>
    <w:p>
      <w:pPr>
        <w:pStyle w:val="Normal"/>
        <w:jc w:val="both"/>
        <w:rPr>
          <w:b/>
          <w:b/>
          <w:color w:val="FF0000"/>
        </w:rPr>
      </w:pPr>
      <w:r>
        <w:rPr/>
        <w:t xml:space="preserve">Les voyageurs ont aussi le droit à une réduction de prix et/ou à un dédommagement en cas d’inexécution ou de mauvaise exécution des services de voyages </w:t>
      </w:r>
      <w:r>
        <w:rPr>
          <w:b/>
          <w:color w:val="FF0000"/>
          <w:u w:val="single"/>
        </w:rPr>
        <w:t>dans les conditions stipulées sur la notice d’information.</w:t>
      </w:r>
    </w:p>
    <w:p>
      <w:pPr>
        <w:pStyle w:val="Normal"/>
        <w:jc w:val="both"/>
        <w:rPr/>
      </w:pPr>
      <w:r>
        <w:rPr/>
      </w:r>
    </w:p>
    <w:p>
      <w:pPr>
        <w:pStyle w:val="Normal"/>
        <w:jc w:val="both"/>
        <w:rPr/>
      </w:pPr>
      <w:r>
        <w:rPr/>
      </w:r>
    </w:p>
    <w:p>
      <w:pPr>
        <w:pStyle w:val="Normal"/>
        <w:jc w:val="both"/>
        <w:rPr/>
      </w:pPr>
      <w:r>
        <w:rPr/>
        <w:t xml:space="preserve">● </w:t>
      </w:r>
      <w:r>
        <w:rPr/>
        <w:t>Le voyageur est tenu de communiquer toute non-conformité qu’il constate lors de l’exécution du voyage conformément au II de l’article L211-16.du code du tourisme.</w:t>
      </w:r>
    </w:p>
    <w:p>
      <w:pPr>
        <w:pStyle w:val="Normal"/>
        <w:jc w:val="both"/>
        <w:rPr/>
      </w:pPr>
      <w:r>
        <w:rPr/>
      </w:r>
    </w:p>
    <w:p>
      <w:pPr>
        <w:pStyle w:val="Normal"/>
        <w:jc w:val="both"/>
        <w:rPr/>
      </w:pPr>
      <w:r>
        <w:rPr/>
      </w:r>
    </w:p>
    <w:p>
      <w:pPr>
        <w:pStyle w:val="Normal"/>
        <w:jc w:val="both"/>
        <w:rPr/>
      </w:pPr>
      <w:r>
        <w:rPr/>
        <w:t xml:space="preserve">● </w:t>
      </w:r>
      <w:r>
        <w:rPr>
          <w:b/>
        </w:rPr>
        <w:t>Réclamations des voyageurs :</w:t>
      </w:r>
    </w:p>
    <w:p>
      <w:pPr>
        <w:pStyle w:val="Normal"/>
        <w:jc w:val="both"/>
        <w:rPr/>
      </w:pPr>
      <w:r>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2">
        <w:r>
          <w:rPr>
            <w:rStyle w:val="LienInternet"/>
          </w:rPr>
          <w:t>www.mtv.travel</w:t>
        </w:r>
      </w:hyperlink>
      <w:r>
        <w:rPr/>
        <w:t>".</w:t>
      </w:r>
    </w:p>
    <w:p>
      <w:pPr>
        <w:pStyle w:val="Normal"/>
        <w:jc w:val="both"/>
        <w:rPr/>
      </w:pPr>
      <w:r>
        <w:rPr/>
      </w:r>
    </w:p>
    <w:p>
      <w:pPr>
        <w:pStyle w:val="Normal"/>
        <w:jc w:val="both"/>
        <w:rPr/>
      </w:pPr>
      <w:r>
        <w:rPr/>
      </w:r>
    </w:p>
    <w:p>
      <w:pPr>
        <w:pStyle w:val="Normal"/>
        <w:jc w:val="both"/>
        <w:rPr/>
      </w:pPr>
      <w:r>
        <w:rPr/>
        <w:t xml:space="preserve">● </w:t>
      </w:r>
      <w:r>
        <w:rPr>
          <w:b/>
        </w:rPr>
        <w:t>Protection contre l’insolvabilité de l’organisateur</w:t>
      </w:r>
      <w:r>
        <w:rPr/>
        <w:t> : </w:t>
      </w:r>
    </w:p>
    <w:p>
      <w:pPr>
        <w:pStyle w:val="Normal"/>
        <w:jc w:val="both"/>
        <w:rPr/>
      </w:pPr>
      <w:r>
        <w:rPr/>
        <w:t>La FFRandonnée a souscrit pour le compte de l’association organisatrice une garantie Financière auprès de GROUPAMA assurance –crédit &amp; caution : 132 rue des Trois Fontanot - 92000 Nanterre</w:t>
      </w:r>
    </w:p>
    <w:p>
      <w:pPr>
        <w:pStyle w:val="Normal"/>
        <w:jc w:val="both"/>
        <w:rPr/>
      </w:pPr>
      <w:r>
        <w:rPr/>
        <w:t>Tel 33(0)149313131. N° de contrat 4000716162 /0.</w:t>
      </w:r>
    </w:p>
    <w:p>
      <w:pPr>
        <w:pStyle w:val="Normal"/>
        <w:jc w:val="both"/>
        <w:rPr/>
      </w:pPr>
      <w:r>
        <w:rPr/>
        <w:t xml:space="preserve">Si l’organisateur devient insolvable avant le départ du séjour, les montants versés seront remboursés. </w:t>
      </w:r>
    </w:p>
    <w:p>
      <w:pPr>
        <w:pStyle w:val="Normal"/>
        <w:jc w:val="both"/>
        <w:rPr/>
      </w:pPr>
      <w:r>
        <w:rPr/>
        <w:t xml:space="preserve">Si l’organisateur devient insolvable après le début du séjour et si le transport est compris dans le prix du séjour, le rapatriement sera pris en charge par GROUPAMA. </w:t>
      </w:r>
    </w:p>
    <w:p>
      <w:pPr>
        <w:pStyle w:val="Normal"/>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i/>
        <w:i/>
        <w:sz w:val="18"/>
        <w:szCs w:val="18"/>
      </w:rPr>
    </w:pPr>
    <w:r>
      <w:rPr>
        <w:b/>
        <w:bCs/>
        <w:i/>
        <w:sz w:val="18"/>
        <w:szCs w:val="18"/>
      </w:rPr>
      <w:t xml:space="preserve">ASSM Randonnée Pédestre –Sentiers &amp; Montagne - </w:t>
    </w:r>
    <w:r>
      <w:rPr>
        <w:i/>
        <w:sz w:val="18"/>
        <w:szCs w:val="18"/>
      </w:rPr>
      <w:t>Complexe sportif Robert Monceau</w:t>
    </w:r>
  </w:p>
  <w:p>
    <w:pPr>
      <w:pStyle w:val="Entte"/>
      <w:jc w:val="center"/>
      <w:rPr>
        <w:bCs/>
        <w:i/>
        <w:i/>
        <w:iCs/>
        <w:sz w:val="18"/>
        <w:szCs w:val="18"/>
      </w:rPr>
    </w:pPr>
    <w:r>
      <w:rPr>
        <w:i/>
        <w:sz w:val="18"/>
        <w:szCs w:val="18"/>
      </w:rPr>
      <w:t>Gabriel Parra30 rue Henri ROLTanguy 33160 Saint Médard en Jalles</w:t>
    </w:r>
  </w:p>
  <w:p>
    <w:pPr>
      <w:pStyle w:val="Normal"/>
      <w:jc w:val="center"/>
      <w:rPr>
        <w:bCs/>
        <w:i/>
        <w:i/>
        <w:iCs/>
        <w:sz w:val="18"/>
        <w:szCs w:val="18"/>
      </w:rPr>
    </w:pPr>
    <w:r>
      <w:rPr>
        <w:b/>
        <w:bCs/>
        <w:i/>
        <w:iCs/>
        <w:sz w:val="18"/>
        <w:szCs w:val="18"/>
      </w:rPr>
      <w:t>Association bénéficiaire de l'Immatriculation Tourisme</w:t>
    </w:r>
    <w:r>
      <w:rPr>
        <w:bCs/>
        <w:i/>
        <w:iCs/>
        <w:sz w:val="18"/>
        <w:szCs w:val="18"/>
      </w:rPr>
      <w:t xml:space="preserve"> de la Fédération Française de la Randonnée Pédestre</w:t>
    </w:r>
  </w:p>
  <w:p>
    <w:pPr>
      <w:pStyle w:val="Normal"/>
      <w:jc w:val="center"/>
      <w:rPr>
        <w:b/>
        <w:b/>
        <w:bCs/>
        <w:i/>
        <w:i/>
        <w:iCs/>
        <w:sz w:val="18"/>
        <w:szCs w:val="18"/>
      </w:rPr>
    </w:pPr>
    <w:r>
      <w:rPr>
        <w:bCs/>
        <w:i/>
        <w:iCs/>
        <w:sz w:val="18"/>
        <w:szCs w:val="18"/>
      </w:rPr>
      <w:t xml:space="preserve">64 Rue du Dessous des Berges 75013 Paris - N° </w:t>
    </w:r>
    <w:r>
      <w:rPr>
        <w:b/>
        <w:bCs/>
        <w:i/>
        <w:iCs/>
        <w:sz w:val="18"/>
        <w:szCs w:val="18"/>
      </w:rPr>
      <w:t>IM075100382</w:t>
    </w:r>
  </w:p>
  <w:p>
    <w:pPr>
      <w:pStyle w:val="Normal"/>
      <w:ind w:firstLine="708"/>
      <w:jc w:val="right"/>
      <w:rPr>
        <w:sz w:val="16"/>
        <w:szCs w:val="16"/>
      </w:rPr>
    </w:pPr>
    <w:r>
      <w:rPr>
        <w:sz w:val="16"/>
        <w:szCs w:val="16"/>
      </w:rPr>
      <w:t>Version 2020-02-24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0" distT="0" distB="0" distL="114300" distR="114300" simplePos="0" locked="0" layoutInCell="1" allowOverlap="1" relativeHeight="4">
          <wp:simplePos x="0" y="0"/>
          <wp:positionH relativeFrom="page">
            <wp:posOffset>285750</wp:posOffset>
          </wp:positionH>
          <wp:positionV relativeFrom="paragraph">
            <wp:posOffset>-40005</wp:posOffset>
          </wp:positionV>
          <wp:extent cx="7105650" cy="1028700"/>
          <wp:effectExtent l="0" t="0" r="0" b="0"/>
          <wp:wrapTight wrapText="bothSides">
            <wp:wrapPolygon edited="0">
              <wp:start x="-9" y="0"/>
              <wp:lineTo x="-9" y="21163"/>
              <wp:lineTo x="21534" y="21163"/>
              <wp:lineTo x="21534" y="0"/>
              <wp:lineTo x="-9" y="0"/>
            </wp:wrapPolygon>
          </wp:wrapTight>
          <wp:docPr id="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
                  <pic:cNvPicPr>
                    <a:picLocks noChangeAspect="1" noChangeArrowheads="1"/>
                  </pic:cNvPicPr>
                </pic:nvPicPr>
                <pic:blipFill>
                  <a:blip r:embed="rId1"/>
                  <a:stretch>
                    <a:fillRect/>
                  </a:stretch>
                </pic:blipFill>
                <pic:spPr bwMode="auto">
                  <a:xfrm>
                    <a:off x="0" y="0"/>
                    <a:ext cx="7105650" cy="102870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758a"/>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7758a"/>
    <w:rPr>
      <w:color w:val="0000FF"/>
      <w:u w:val="single"/>
    </w:rPr>
  </w:style>
  <w:style w:type="character" w:styleId="FollowedHyperlink">
    <w:name w:val="FollowedHyperlink"/>
    <w:basedOn w:val="DefaultParagraphFont"/>
    <w:uiPriority w:val="99"/>
    <w:semiHidden/>
    <w:unhideWhenUsed/>
    <w:qFormat/>
    <w:rsid w:val="00f7758a"/>
    <w:rPr>
      <w:color w:val="800080" w:themeColor="followedHyperlink"/>
      <w:u w:val="single"/>
    </w:rPr>
  </w:style>
  <w:style w:type="character" w:styleId="EntteCar" w:customStyle="1">
    <w:name w:val="En-tête Car"/>
    <w:basedOn w:val="DefaultParagraphFont"/>
    <w:link w:val="En-tte"/>
    <w:qFormat/>
    <w:rsid w:val="00861f0c"/>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861f0c"/>
    <w:rPr>
      <w:rFonts w:ascii="Times New Roman" w:hAnsi="Times New Roman" w:eastAsia="Times New Roman" w:cs="Times New Roman"/>
      <w:sz w:val="24"/>
      <w:szCs w:val="24"/>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nhideWhenUsed/>
    <w:rsid w:val="00861f0c"/>
    <w:pPr>
      <w:tabs>
        <w:tab w:val="center" w:pos="4536" w:leader="none"/>
        <w:tab w:val="right" w:pos="9072" w:leader="none"/>
      </w:tabs>
    </w:pPr>
    <w:rPr/>
  </w:style>
  <w:style w:type="paragraph" w:styleId="Pieddepage">
    <w:name w:val="Footer"/>
    <w:basedOn w:val="Normal"/>
    <w:link w:val="PieddepageCar"/>
    <w:uiPriority w:val="99"/>
    <w:unhideWhenUsed/>
    <w:rsid w:val="00861f0c"/>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tv.trave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LibreOffice/5.4.2.2$Windows_x86 LibreOffice_project/22b09f6418e8c2d508a9eaf86b2399209b0990f4</Application>
  <Pages>3</Pages>
  <Words>683</Words>
  <Characters>3719</Characters>
  <CharactersWithSpaces>4375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2019-11-23T16:33:00Z</dcterms:created>
  <dc:creator>Christian</dc:creator>
  <dc:description/>
  <dc:language>fr-FR</dc:language>
  <cp:lastModifiedBy>Christian</cp:lastModifiedBy>
  <dcterms:modified xsi:type="dcterms:W3CDTF">2020-02-24T19:11:00Z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