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120D8F59" w14:textId="77777777" w:rsidR="00327774" w:rsidRDefault="00327774" w:rsidP="00327774">
      <w:pPr>
        <w:ind w:left="2832"/>
        <w:jc w:val="both"/>
        <w:rPr>
          <w:rFonts w:ascii="Times New Roman" w:hAnsi="Times New Roman" w:cs="Times New Roman"/>
          <w:b/>
          <w:bCs/>
          <w:sz w:val="36"/>
          <w:szCs w:val="36"/>
        </w:rPr>
      </w:pPr>
    </w:p>
    <w:p w14:paraId="0BC3F7DB" w14:textId="78AC7EA3" w:rsidR="00DD6239" w:rsidRDefault="00040289" w:rsidP="00327774">
      <w:pPr>
        <w:ind w:left="2832"/>
        <w:jc w:val="both"/>
        <w:rPr>
          <w:rFonts w:ascii="Times New Roman" w:hAnsi="Times New Roman" w:cs="Times New Roman"/>
          <w:b/>
          <w:bCs/>
          <w:sz w:val="36"/>
          <w:szCs w:val="36"/>
        </w:rPr>
      </w:pPr>
      <w:r>
        <w:rPr>
          <w:rFonts w:ascii="Times New Roman" w:hAnsi="Times New Roman" w:cs="Times New Roman"/>
          <w:b/>
          <w:bCs/>
          <w:sz w:val="36"/>
          <w:szCs w:val="36"/>
        </w:rPr>
        <w:t>Document</w:t>
      </w:r>
      <w:r w:rsidR="00791D53">
        <w:rPr>
          <w:rFonts w:ascii="Times New Roman" w:hAnsi="Times New Roman" w:cs="Times New Roman"/>
          <w:b/>
          <w:bCs/>
          <w:sz w:val="36"/>
          <w:szCs w:val="36"/>
        </w:rPr>
        <w:t xml:space="preserve"> </w:t>
      </w:r>
      <w:r w:rsidR="00327774">
        <w:rPr>
          <w:rFonts w:ascii="Times New Roman" w:hAnsi="Times New Roman" w:cs="Times New Roman"/>
          <w:b/>
          <w:bCs/>
          <w:sz w:val="36"/>
          <w:szCs w:val="36"/>
        </w:rPr>
        <w:t xml:space="preserve">support </w:t>
      </w:r>
      <w:r w:rsidR="00791D53">
        <w:rPr>
          <w:rFonts w:ascii="Times New Roman" w:hAnsi="Times New Roman" w:cs="Times New Roman"/>
          <w:b/>
          <w:bCs/>
          <w:sz w:val="36"/>
          <w:szCs w:val="36"/>
        </w:rPr>
        <w:t xml:space="preserve">de travail </w:t>
      </w:r>
      <w:r w:rsidR="00327774">
        <w:rPr>
          <w:rFonts w:ascii="Times New Roman" w:hAnsi="Times New Roman" w:cs="Times New Roman"/>
          <w:b/>
          <w:bCs/>
          <w:sz w:val="36"/>
          <w:szCs w:val="36"/>
        </w:rPr>
        <w:t xml:space="preserve">pour </w:t>
      </w:r>
      <w:r>
        <w:rPr>
          <w:rFonts w:ascii="Times New Roman" w:hAnsi="Times New Roman" w:cs="Times New Roman"/>
          <w:b/>
          <w:bCs/>
          <w:sz w:val="36"/>
          <w:szCs w:val="36"/>
        </w:rPr>
        <w:t xml:space="preserve">la conférence </w:t>
      </w:r>
      <w:r w:rsidR="00791D53">
        <w:rPr>
          <w:rFonts w:ascii="Times New Roman" w:hAnsi="Times New Roman" w:cs="Times New Roman"/>
          <w:b/>
          <w:bCs/>
          <w:sz w:val="36"/>
          <w:szCs w:val="36"/>
        </w:rPr>
        <w:t xml:space="preserve">donnée </w:t>
      </w:r>
      <w:r w:rsidR="00854B09">
        <w:rPr>
          <w:rFonts w:ascii="Times New Roman" w:hAnsi="Times New Roman" w:cs="Times New Roman"/>
          <w:b/>
          <w:bCs/>
          <w:sz w:val="36"/>
          <w:szCs w:val="36"/>
        </w:rPr>
        <w:t xml:space="preserve">à </w:t>
      </w:r>
      <w:r w:rsidR="00425B0A">
        <w:rPr>
          <w:rFonts w:ascii="Times New Roman" w:hAnsi="Times New Roman" w:cs="Times New Roman"/>
          <w:b/>
          <w:bCs/>
          <w:sz w:val="36"/>
          <w:szCs w:val="36"/>
        </w:rPr>
        <w:t>Millau le 7 mars 2024</w:t>
      </w:r>
    </w:p>
    <w:p w14:paraId="1272E1CE" w14:textId="77777777" w:rsidR="000903F6" w:rsidRPr="008C65E3" w:rsidRDefault="000903F6" w:rsidP="00AE7889">
      <w:pPr>
        <w:jc w:val="both"/>
        <w:rPr>
          <w:rFonts w:ascii="Times New Roman" w:hAnsi="Times New Roman" w:cs="Times New Roman"/>
          <w:sz w:val="36"/>
          <w:szCs w:val="36"/>
        </w:rPr>
      </w:pPr>
    </w:p>
    <w:p w14:paraId="4C47CD4C" w14:textId="1953188C"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J</w:t>
      </w:r>
      <w:r w:rsidR="002C4B73">
        <w:rPr>
          <w:rFonts w:ascii="Times New Roman" w:hAnsi="Times New Roman" w:cs="Times New Roman"/>
          <w:sz w:val="36"/>
          <w:szCs w:val="36"/>
        </w:rPr>
        <w:t>e remercie</w:t>
      </w:r>
      <w:r w:rsidR="00671971">
        <w:rPr>
          <w:rFonts w:ascii="Times New Roman" w:hAnsi="Times New Roman" w:cs="Times New Roman"/>
          <w:sz w:val="36"/>
          <w:szCs w:val="36"/>
        </w:rPr>
        <w:t xml:space="preserve"> en premier lieu</w:t>
      </w:r>
      <w:r w:rsidR="002C4B73">
        <w:rPr>
          <w:rFonts w:ascii="Times New Roman" w:hAnsi="Times New Roman" w:cs="Times New Roman"/>
          <w:sz w:val="36"/>
          <w:szCs w:val="36"/>
        </w:rPr>
        <w:t xml:space="preserve"> </w:t>
      </w:r>
      <w:r w:rsidR="00904088">
        <w:rPr>
          <w:rFonts w:ascii="Times New Roman" w:hAnsi="Times New Roman" w:cs="Times New Roman"/>
          <w:sz w:val="36"/>
          <w:szCs w:val="36"/>
        </w:rPr>
        <w:t xml:space="preserve">l’Association </w:t>
      </w:r>
      <w:r w:rsidR="00AB6C7B">
        <w:rPr>
          <w:rFonts w:ascii="Times New Roman" w:hAnsi="Times New Roman" w:cs="Times New Roman"/>
          <w:sz w:val="36"/>
          <w:szCs w:val="36"/>
        </w:rPr>
        <w:t>C</w:t>
      </w:r>
      <w:r w:rsidR="00904088">
        <w:rPr>
          <w:rFonts w:ascii="Times New Roman" w:hAnsi="Times New Roman" w:cs="Times New Roman"/>
          <w:sz w:val="36"/>
          <w:szCs w:val="36"/>
        </w:rPr>
        <w:t xml:space="preserve">ulturelle du Sud Aveyron de nous accueillir ici. J’ai une pensée particulière pour mon arrière </w:t>
      </w:r>
      <w:r w:rsidR="00897987">
        <w:rPr>
          <w:rFonts w:ascii="Times New Roman" w:hAnsi="Times New Roman" w:cs="Times New Roman"/>
          <w:sz w:val="36"/>
          <w:szCs w:val="36"/>
        </w:rPr>
        <w:t xml:space="preserve">arrière </w:t>
      </w:r>
      <w:r w:rsidR="00904088">
        <w:rPr>
          <w:rFonts w:ascii="Times New Roman" w:hAnsi="Times New Roman" w:cs="Times New Roman"/>
          <w:sz w:val="36"/>
          <w:szCs w:val="36"/>
        </w:rPr>
        <w:t xml:space="preserve">Grand Pére </w:t>
      </w:r>
      <w:r w:rsidR="00897987">
        <w:rPr>
          <w:rFonts w:ascii="Times New Roman" w:hAnsi="Times New Roman" w:cs="Times New Roman"/>
          <w:sz w:val="36"/>
          <w:szCs w:val="36"/>
        </w:rPr>
        <w:t xml:space="preserve">Charles </w:t>
      </w:r>
      <w:r w:rsidR="00904088">
        <w:rPr>
          <w:rFonts w:ascii="Times New Roman" w:hAnsi="Times New Roman" w:cs="Times New Roman"/>
          <w:sz w:val="36"/>
          <w:szCs w:val="36"/>
        </w:rPr>
        <w:t xml:space="preserve">Durand qui était tanneur </w:t>
      </w:r>
      <w:r w:rsidR="00897987">
        <w:rPr>
          <w:rFonts w:ascii="Times New Roman" w:hAnsi="Times New Roman" w:cs="Times New Roman"/>
          <w:sz w:val="36"/>
          <w:szCs w:val="36"/>
        </w:rPr>
        <w:t>à Sévérac le Château</w:t>
      </w:r>
      <w:r w:rsidR="00904088">
        <w:rPr>
          <w:rFonts w:ascii="Times New Roman" w:hAnsi="Times New Roman" w:cs="Times New Roman"/>
          <w:sz w:val="36"/>
          <w:szCs w:val="36"/>
        </w:rPr>
        <w:t xml:space="preserve">. </w:t>
      </w:r>
    </w:p>
    <w:p w14:paraId="4CE9E50E" w14:textId="2B9FA8E4"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Après 40 années de vie professionnelle au sein d’EDF en tant qu’ingénieur puis de cadre dirigeant, </w:t>
      </w:r>
      <w:r w:rsidR="00BF6465">
        <w:rPr>
          <w:rFonts w:ascii="Times New Roman" w:hAnsi="Times New Roman" w:cs="Times New Roman"/>
          <w:sz w:val="36"/>
          <w:szCs w:val="36"/>
        </w:rPr>
        <w:t xml:space="preserve">notamment en Bretagne où j’ai exercé la responsabilité de Délégué Régional du Groupe EDF de 2003 à 2008, </w:t>
      </w:r>
      <w:r>
        <w:rPr>
          <w:rFonts w:ascii="Times New Roman" w:hAnsi="Times New Roman" w:cs="Times New Roman"/>
          <w:sz w:val="36"/>
          <w:szCs w:val="36"/>
        </w:rPr>
        <w:t>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En tant que simple citoyen</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53BE27CD"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w:t>
      </w:r>
      <w:r w:rsidR="00EF3EDD">
        <w:rPr>
          <w:rFonts w:ascii="Times New Roman" w:hAnsi="Times New Roman" w:cs="Times New Roman"/>
          <w:sz w:val="36"/>
          <w:szCs w:val="36"/>
        </w:rPr>
        <w:t>quarantaine</w:t>
      </w:r>
      <w:r w:rsidRPr="008C65E3">
        <w:rPr>
          <w:rFonts w:ascii="Times New Roman" w:hAnsi="Times New Roman" w:cs="Times New Roman"/>
          <w:sz w:val="36"/>
          <w:szCs w:val="36"/>
        </w:rPr>
        <w:t xml:space="preserv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2C6306BD" w14:textId="2AE06C6E" w:rsidR="00EF3EDD" w:rsidRPr="008C65E3" w:rsidRDefault="00EF3EDD" w:rsidP="00AE7889">
      <w:pPr>
        <w:ind w:firstLine="708"/>
        <w:jc w:val="both"/>
        <w:rPr>
          <w:rFonts w:ascii="Times New Roman" w:hAnsi="Times New Roman" w:cs="Times New Roman"/>
          <w:sz w:val="36"/>
          <w:szCs w:val="36"/>
        </w:rPr>
      </w:pPr>
      <w:r>
        <w:rPr>
          <w:rFonts w:ascii="Times New Roman" w:hAnsi="Times New Roman" w:cs="Times New Roman"/>
          <w:sz w:val="36"/>
          <w:szCs w:val="36"/>
        </w:rPr>
        <w:t xml:space="preserve">La demande, ce sont des rubans et des dentelles.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1255ADC3" w:rsidR="007A4E30" w:rsidRDefault="00E11295"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BF7D01A" wp14:editId="24AC4B7F">
            <wp:extent cx="5760720" cy="2883535"/>
            <wp:effectExtent l="0" t="0" r="0" b="0"/>
            <wp:docPr id="355154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54826"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8353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en 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La surface bleue correspond ainsi à toute l’énergie consommée  en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0F205771"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w:t>
      </w:r>
      <w:r w:rsidR="005D63C3">
        <w:rPr>
          <w:rFonts w:ascii="Times New Roman" w:hAnsi="Times New Roman" w:cs="Times New Roman"/>
          <w:sz w:val="36"/>
          <w:szCs w:val="36"/>
        </w:rPr>
        <w:t xml:space="preserve">cette après-midi, </w:t>
      </w:r>
      <w:r w:rsidR="00BA4D40">
        <w:rPr>
          <w:rFonts w:ascii="Times New Roman" w:hAnsi="Times New Roman" w:cs="Times New Roman"/>
          <w:sz w:val="36"/>
          <w:szCs w:val="36"/>
        </w:rPr>
        <w:t xml:space="preserve">la pointe </w:t>
      </w:r>
      <w:r w:rsidR="009D7F2E">
        <w:rPr>
          <w:rFonts w:ascii="Times New Roman" w:hAnsi="Times New Roman" w:cs="Times New Roman"/>
          <w:sz w:val="36"/>
          <w:szCs w:val="36"/>
        </w:rPr>
        <w:t xml:space="preserve">du </w:t>
      </w:r>
      <w:r w:rsidR="005D63C3">
        <w:rPr>
          <w:rFonts w:ascii="Times New Roman" w:hAnsi="Times New Roman" w:cs="Times New Roman"/>
          <w:sz w:val="36"/>
          <w:szCs w:val="36"/>
        </w:rPr>
        <w:t xml:space="preserve">matin vient d’être </w:t>
      </w:r>
      <w:r w:rsidR="00BA4D40">
        <w:rPr>
          <w:rFonts w:ascii="Times New Roman" w:hAnsi="Times New Roman" w:cs="Times New Roman"/>
          <w:sz w:val="36"/>
          <w:szCs w:val="36"/>
        </w:rPr>
        <w:t>passée</w:t>
      </w:r>
      <w:r>
        <w:rPr>
          <w:rFonts w:ascii="Times New Roman" w:hAnsi="Times New Roman" w:cs="Times New Roman"/>
          <w:sz w:val="36"/>
          <w:szCs w:val="36"/>
        </w:rPr>
        <w:t xml:space="preserve">. </w:t>
      </w:r>
      <w:r w:rsidR="007D01A5">
        <w:rPr>
          <w:rFonts w:ascii="Times New Roman" w:hAnsi="Times New Roman" w:cs="Times New Roman"/>
          <w:sz w:val="36"/>
          <w:szCs w:val="36"/>
        </w:rPr>
        <w:t>Le</w:t>
      </w:r>
      <w:r w:rsidR="005D63C3">
        <w:rPr>
          <w:rFonts w:ascii="Times New Roman" w:hAnsi="Times New Roman" w:cs="Times New Roman"/>
          <w:sz w:val="36"/>
          <w:szCs w:val="36"/>
        </w:rPr>
        <w:t xml:space="preserve"> positionnement des </w:t>
      </w:r>
      <w:r w:rsidR="007D01A5">
        <w:rPr>
          <w:rFonts w:ascii="Times New Roman" w:hAnsi="Times New Roman" w:cs="Times New Roman"/>
          <w:sz w:val="36"/>
          <w:szCs w:val="36"/>
        </w:rPr>
        <w:t xml:space="preserve">pointes </w:t>
      </w:r>
      <w:r w:rsidR="005D63C3">
        <w:rPr>
          <w:rFonts w:ascii="Times New Roman" w:hAnsi="Times New Roman" w:cs="Times New Roman"/>
          <w:sz w:val="36"/>
          <w:szCs w:val="36"/>
        </w:rPr>
        <w:t>varient en fonction des saisons</w:t>
      </w:r>
      <w:r w:rsidR="007D01A5">
        <w:rPr>
          <w:rFonts w:ascii="Times New Roman" w:hAnsi="Times New Roman" w:cs="Times New Roman"/>
          <w:sz w:val="36"/>
          <w:szCs w:val="36"/>
        </w:rPr>
        <w:t xml:space="preserve">. </w:t>
      </w:r>
      <w:r w:rsidR="005D63C3">
        <w:rPr>
          <w:rFonts w:ascii="Times New Roman" w:hAnsi="Times New Roman" w:cs="Times New Roman"/>
          <w:sz w:val="36"/>
          <w:szCs w:val="36"/>
        </w:rPr>
        <w:t xml:space="preserve">Ainsi, en hiver, nous avons deux pointes, l’une le matin à la fraiche, autour de 8h, et l’autre le soir autour de 19h. En été la pointe a lieu autour de midi – 13h. </w:t>
      </w:r>
    </w:p>
    <w:p w14:paraId="0A13BFF3" w14:textId="1E954E94"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w:t>
      </w:r>
      <w:r w:rsidR="005D63C3">
        <w:rPr>
          <w:rFonts w:ascii="Times New Roman" w:hAnsi="Times New Roman" w:cs="Times New Roman"/>
          <w:sz w:val="36"/>
          <w:szCs w:val="36"/>
        </w:rPr>
        <w:t xml:space="preserve">de la demande en électricité en France </w:t>
      </w:r>
      <w:r>
        <w:rPr>
          <w:rFonts w:ascii="Times New Roman" w:hAnsi="Times New Roman" w:cs="Times New Roman"/>
          <w:sz w:val="36"/>
          <w:szCs w:val="36"/>
        </w:rPr>
        <w:t xml:space="preserve">se constitue </w:t>
      </w:r>
      <w:r w:rsidR="005D63C3">
        <w:rPr>
          <w:rFonts w:ascii="Times New Roman" w:hAnsi="Times New Roman" w:cs="Times New Roman"/>
          <w:sz w:val="36"/>
          <w:szCs w:val="36"/>
        </w:rPr>
        <w:t xml:space="preserve">ainsi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w:t>
      </w:r>
      <w:r w:rsidR="00090ED6">
        <w:rPr>
          <w:rFonts w:ascii="Times New Roman" w:hAnsi="Times New Roman" w:cs="Times New Roman"/>
          <w:sz w:val="36"/>
          <w:szCs w:val="36"/>
        </w:rPr>
        <w:t xml:space="preserve">la variation en demande appelée se situe autour de 30%, inférieure de 1 à 2 </w:t>
      </w:r>
      <w:r w:rsidR="00090ED6">
        <w:rPr>
          <w:rFonts w:ascii="Times New Roman" w:hAnsi="Times New Roman" w:cs="Times New Roman"/>
          <w:sz w:val="36"/>
          <w:szCs w:val="36"/>
        </w:rPr>
        <w:lastRenderedPageBreak/>
        <w:t xml:space="preserve">sur une semaine.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1A7C320B"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Ce</w:t>
      </w:r>
      <w:r w:rsidR="002118D5">
        <w:rPr>
          <w:rFonts w:ascii="Times New Roman" w:hAnsi="Times New Roman" w:cs="Times New Roman"/>
          <w:sz w:val="36"/>
          <w:szCs w:val="36"/>
        </w:rPr>
        <w:t>tte demande complémentaire représente l’équivalent de la demande en électricité de la Ville de Paris. Ce</w:t>
      </w:r>
      <w:r w:rsidR="00A10B6B">
        <w:rPr>
          <w:rFonts w:ascii="Times New Roman" w:hAnsi="Times New Roman" w:cs="Times New Roman"/>
          <w:sz w:val="36"/>
          <w:szCs w:val="36"/>
        </w:rPr>
        <w:t xml:space="preserv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d’éoliennes de 2</w:t>
      </w:r>
      <w:r w:rsidR="00090ED6">
        <w:rPr>
          <w:rFonts w:ascii="Times New Roman" w:hAnsi="Times New Roman" w:cs="Times New Roman"/>
          <w:sz w:val="36"/>
          <w:szCs w:val="36"/>
        </w:rPr>
        <w:t>,4</w:t>
      </w:r>
      <w:r w:rsidR="00CC57E7">
        <w:rPr>
          <w:rFonts w:ascii="Times New Roman" w:hAnsi="Times New Roman" w:cs="Times New Roman"/>
          <w:sz w:val="36"/>
          <w:szCs w:val="36"/>
        </w:rPr>
        <w:t xml:space="preserve">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w:t>
      </w:r>
      <w:r w:rsidR="00090ED6">
        <w:rPr>
          <w:rFonts w:ascii="Times New Roman" w:hAnsi="Times New Roman" w:cs="Times New Roman"/>
          <w:sz w:val="36"/>
          <w:szCs w:val="36"/>
        </w:rPr>
        <w:t>4</w:t>
      </w:r>
      <w:r w:rsidR="00CC57E7">
        <w:rPr>
          <w:rFonts w:ascii="Times New Roman" w:hAnsi="Times New Roman" w:cs="Times New Roman"/>
          <w:sz w:val="36"/>
          <w:szCs w:val="36"/>
        </w:rPr>
        <w:t>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5E43702F" w14:textId="77777777" w:rsidR="00090ED6" w:rsidRDefault="008E494F" w:rsidP="00090ED6">
      <w:pPr>
        <w:jc w:val="both"/>
        <w:rPr>
          <w:rFonts w:ascii="Times New Roman" w:hAnsi="Times New Roman" w:cs="Times New Roman"/>
          <w:sz w:val="36"/>
          <w:szCs w:val="36"/>
        </w:rPr>
      </w:pPr>
      <w:r w:rsidRPr="004D1EA7">
        <w:rPr>
          <w:rFonts w:ascii="Times New Roman" w:hAnsi="Times New Roman" w:cs="Times New Roman"/>
          <w:sz w:val="36"/>
          <w:szCs w:val="36"/>
        </w:rPr>
        <w:lastRenderedPageBreak/>
        <w:t>L</w:t>
      </w:r>
      <w:r w:rsidR="00BB207D" w:rsidRPr="004D1EA7">
        <w:rPr>
          <w:rFonts w:ascii="Times New Roman" w:hAnsi="Times New Roman" w:cs="Times New Roman"/>
          <w:sz w:val="36"/>
          <w:szCs w:val="36"/>
        </w:rPr>
        <w:t xml:space="preserve">es points rouges sont alignés suivant une pente qui illustre la </w:t>
      </w:r>
      <w:r w:rsidRPr="004D1EA7">
        <w:rPr>
          <w:rFonts w:ascii="Times New Roman" w:hAnsi="Times New Roman" w:cs="Times New Roman"/>
          <w:sz w:val="36"/>
          <w:szCs w:val="36"/>
        </w:rPr>
        <w:t xml:space="preserve"> forte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46FA7A45" w14:textId="2EC54F07" w:rsidR="00090ED6" w:rsidRPr="00090ED6" w:rsidRDefault="00934974" w:rsidP="00090ED6">
      <w:pPr>
        <w:jc w:val="both"/>
        <w:rPr>
          <w:rFonts w:ascii="Times New Roman" w:hAnsi="Times New Roman" w:cs="Times New Roman"/>
          <w:sz w:val="36"/>
          <w:szCs w:val="36"/>
        </w:rPr>
      </w:pPr>
      <w:r>
        <w:rPr>
          <w:rFonts w:ascii="Times New Roman" w:hAnsi="Times New Roman" w:cs="Times New Roman"/>
          <w:sz w:val="36"/>
          <w:szCs w:val="36"/>
        </w:rPr>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r w:rsidR="00090ED6">
        <w:rPr>
          <w:rFonts w:ascii="Times New Roman" w:hAnsi="Times New Roman" w:cs="Times New Roman"/>
          <w:sz w:val="36"/>
          <w:szCs w:val="36"/>
        </w:rPr>
        <w:t>En 2023, le m</w:t>
      </w:r>
      <w:r w:rsidR="00090ED6" w:rsidRPr="00090ED6">
        <w:rPr>
          <w:rFonts w:ascii="Times New Roman" w:hAnsi="Times New Roman" w:cs="Times New Roman"/>
          <w:sz w:val="36"/>
          <w:szCs w:val="36"/>
        </w:rPr>
        <w:t xml:space="preserve">inimum </w:t>
      </w:r>
      <w:r w:rsidR="00090ED6">
        <w:rPr>
          <w:rFonts w:ascii="Times New Roman" w:hAnsi="Times New Roman" w:cs="Times New Roman"/>
          <w:sz w:val="36"/>
          <w:szCs w:val="36"/>
        </w:rPr>
        <w:t xml:space="preserve">a été </w:t>
      </w:r>
      <w:r w:rsidR="00090ED6" w:rsidRPr="00090ED6">
        <w:rPr>
          <w:rFonts w:ascii="Times New Roman" w:hAnsi="Times New Roman" w:cs="Times New Roman"/>
          <w:sz w:val="36"/>
          <w:szCs w:val="36"/>
        </w:rPr>
        <w:t xml:space="preserve">de 28 530 MW en été et </w:t>
      </w:r>
      <w:r w:rsidR="00090ED6">
        <w:rPr>
          <w:rFonts w:ascii="Times New Roman" w:hAnsi="Times New Roman" w:cs="Times New Roman"/>
          <w:sz w:val="36"/>
          <w:szCs w:val="36"/>
        </w:rPr>
        <w:t xml:space="preserve">le </w:t>
      </w:r>
      <w:r w:rsidR="00090ED6" w:rsidRPr="00090ED6">
        <w:rPr>
          <w:rFonts w:ascii="Times New Roman" w:hAnsi="Times New Roman" w:cs="Times New Roman"/>
          <w:sz w:val="36"/>
          <w:szCs w:val="36"/>
        </w:rPr>
        <w:t>maximum de 82 586 MW en hiver</w:t>
      </w:r>
      <w:r w:rsidR="00090ED6">
        <w:rPr>
          <w:rFonts w:ascii="Times New Roman" w:hAnsi="Times New Roman" w:cs="Times New Roman"/>
          <w:sz w:val="36"/>
          <w:szCs w:val="36"/>
        </w:rPr>
        <w:t xml:space="preserve">. En 2024, le maximum à ce stade a été </w:t>
      </w:r>
      <w:r w:rsidR="00090ED6" w:rsidRPr="00090ED6">
        <w:rPr>
          <w:rFonts w:ascii="Times New Roman" w:hAnsi="Times New Roman" w:cs="Times New Roman"/>
          <w:sz w:val="36"/>
          <w:szCs w:val="36"/>
        </w:rPr>
        <w:t>de 83781 MW le 10 janvier 2024</w:t>
      </w:r>
    </w:p>
    <w:p w14:paraId="206FCDF0" w14:textId="123171FA" w:rsidR="00934974" w:rsidRDefault="00934974" w:rsidP="00AE7889">
      <w:pPr>
        <w:jc w:val="both"/>
        <w:rPr>
          <w:rFonts w:ascii="Times New Roman" w:hAnsi="Times New Roman" w:cs="Times New Roman"/>
          <w:sz w:val="36"/>
          <w:szCs w:val="36"/>
        </w:rPr>
      </w:pPr>
    </w:p>
    <w:p w14:paraId="6E1246A7" w14:textId="5ECCFE51"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dans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1263DC4A"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2118D5">
        <w:rPr>
          <w:rFonts w:ascii="Times New Roman" w:hAnsi="Times New Roman" w:cs="Times New Roman"/>
          <w:sz w:val="36"/>
          <w:szCs w:val="36"/>
        </w:rPr>
        <w:t>douze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1"/>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6919737" wp14:editId="6A952C0E">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6688B375" w14:textId="77777777" w:rsidR="00162D11" w:rsidRDefault="00162D11" w:rsidP="00AE7889">
      <w:pPr>
        <w:jc w:val="both"/>
        <w:rPr>
          <w:rFonts w:ascii="Times New Roman" w:hAnsi="Times New Roman" w:cs="Times New Roman"/>
          <w:sz w:val="36"/>
          <w:szCs w:val="36"/>
        </w:rPr>
      </w:pPr>
    </w:p>
    <w:p w14:paraId="73D7735E" w14:textId="2CF35A10" w:rsidR="00162D11" w:rsidRDefault="00162D11" w:rsidP="00AE7889">
      <w:pPr>
        <w:jc w:val="both"/>
        <w:rPr>
          <w:rFonts w:ascii="Times New Roman" w:hAnsi="Times New Roman" w:cs="Times New Roman"/>
          <w:sz w:val="36"/>
          <w:szCs w:val="36"/>
        </w:rPr>
      </w:pPr>
      <w:r>
        <w:rPr>
          <w:rFonts w:ascii="Times New Roman" w:hAnsi="Times New Roman" w:cs="Times New Roman"/>
          <w:sz w:val="36"/>
          <w:szCs w:val="36"/>
        </w:rPr>
        <w:t>Courbes publiées en 2023 puis en 2024 par RTE</w:t>
      </w:r>
    </w:p>
    <w:p w14:paraId="79CD0D63" w14:textId="4C3625AF" w:rsidR="00162D11" w:rsidRDefault="00162D11"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4507BA5" wp14:editId="0614A125">
            <wp:extent cx="5760720" cy="3082290"/>
            <wp:effectExtent l="0" t="0" r="0" b="3810"/>
            <wp:docPr id="237961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61146" name="Image 237961146"/>
                    <pic:cNvPicPr/>
                  </pic:nvPicPr>
                  <pic:blipFill>
                    <a:blip r:embed="rId12">
                      <a:extLst>
                        <a:ext uri="{28A0092B-C50C-407E-A947-70E740481C1C}">
                          <a14:useLocalDpi xmlns:a14="http://schemas.microsoft.com/office/drawing/2010/main" val="0"/>
                        </a:ext>
                      </a:extLst>
                    </a:blip>
                    <a:stretch>
                      <a:fillRect/>
                    </a:stretch>
                  </pic:blipFill>
                  <pic:spPr>
                    <a:xfrm>
                      <a:off x="0" y="0"/>
                      <a:ext cx="5760720" cy="3082290"/>
                    </a:xfrm>
                    <a:prstGeom prst="rect">
                      <a:avLst/>
                    </a:prstGeom>
                  </pic:spPr>
                </pic:pic>
              </a:graphicData>
            </a:graphic>
          </wp:inline>
        </w:drawing>
      </w:r>
    </w:p>
    <w:p w14:paraId="311D50D0" w14:textId="1AA23CFD"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a été particulièrement faible, 4</w:t>
      </w:r>
      <w:r w:rsidR="00162D11">
        <w:rPr>
          <w:rFonts w:ascii="Times New Roman" w:hAnsi="Times New Roman" w:cs="Times New Roman"/>
          <w:sz w:val="36"/>
          <w:szCs w:val="36"/>
        </w:rPr>
        <w:t>60</w:t>
      </w:r>
      <w:r>
        <w:rPr>
          <w:rFonts w:ascii="Times New Roman" w:hAnsi="Times New Roman" w:cs="Times New Roman"/>
          <w:sz w:val="36"/>
          <w:szCs w:val="36"/>
        </w:rPr>
        <w:t xml:space="preserve">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r w:rsidR="002118D5">
        <w:rPr>
          <w:rFonts w:ascii="Times New Roman" w:hAnsi="Times New Roman" w:cs="Times New Roman"/>
          <w:sz w:val="36"/>
          <w:szCs w:val="36"/>
        </w:rPr>
        <w:t>La consommation moyenne par habitant est de 6,</w:t>
      </w:r>
      <w:r w:rsidR="00074FDC">
        <w:rPr>
          <w:rFonts w:ascii="Times New Roman" w:hAnsi="Times New Roman" w:cs="Times New Roman"/>
          <w:sz w:val="36"/>
          <w:szCs w:val="36"/>
        </w:rPr>
        <w:t>7</w:t>
      </w:r>
      <w:r w:rsidR="002118D5">
        <w:rPr>
          <w:rFonts w:ascii="Times New Roman" w:hAnsi="Times New Roman" w:cs="Times New Roman"/>
          <w:sz w:val="36"/>
          <w:szCs w:val="36"/>
        </w:rPr>
        <w:t xml:space="preserve"> MWh par an</w:t>
      </w:r>
      <w:r w:rsidR="00074FDC">
        <w:rPr>
          <w:rFonts w:ascii="Times New Roman" w:hAnsi="Times New Roman" w:cs="Times New Roman"/>
          <w:sz w:val="36"/>
          <w:szCs w:val="36"/>
        </w:rPr>
        <w:t xml:space="preserve"> pour 67,9 millions d’h</w:t>
      </w:r>
      <w:r w:rsidR="00162D11">
        <w:rPr>
          <w:rFonts w:ascii="Times New Roman" w:hAnsi="Times New Roman" w:cs="Times New Roman"/>
          <w:sz w:val="36"/>
          <w:szCs w:val="36"/>
        </w:rPr>
        <w:t>ab</w:t>
      </w:r>
      <w:r w:rsidR="00074FDC">
        <w:rPr>
          <w:rFonts w:ascii="Times New Roman" w:hAnsi="Times New Roman" w:cs="Times New Roman"/>
          <w:sz w:val="36"/>
          <w:szCs w:val="36"/>
        </w:rPr>
        <w:t xml:space="preserve">itants au premier janvier 2022. </w:t>
      </w:r>
    </w:p>
    <w:p w14:paraId="351CAD4D" w14:textId="4D1EB5EA"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Les secteurs qui ont été les plus touchés par la baisse en France </w:t>
      </w:r>
      <w:r w:rsidR="002118D5">
        <w:rPr>
          <w:rFonts w:ascii="Times New Roman" w:hAnsi="Times New Roman" w:cs="Times New Roman"/>
          <w:sz w:val="36"/>
          <w:szCs w:val="36"/>
        </w:rPr>
        <w:t xml:space="preserve">en 2022 </w:t>
      </w:r>
      <w:r>
        <w:rPr>
          <w:rFonts w:ascii="Times New Roman" w:hAnsi="Times New Roman" w:cs="Times New Roman"/>
          <w:sz w:val="36"/>
          <w:szCs w:val="36"/>
        </w:rPr>
        <w:t>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5D0A633E" w14:textId="09FE5F3B" w:rsidR="00162D11" w:rsidRDefault="002118D5" w:rsidP="00162D11">
      <w:pPr>
        <w:jc w:val="both"/>
        <w:rPr>
          <w:rFonts w:ascii="Times New Roman" w:hAnsi="Times New Roman" w:cs="Times New Roman"/>
          <w:sz w:val="36"/>
          <w:szCs w:val="36"/>
        </w:rPr>
      </w:pPr>
      <w:r>
        <w:rPr>
          <w:rFonts w:ascii="Times New Roman" w:hAnsi="Times New Roman" w:cs="Times New Roman"/>
          <w:sz w:val="36"/>
          <w:szCs w:val="36"/>
        </w:rPr>
        <w:t>Cette baisse s’est accentuée en 2023 puisque la demande France a été seulement de 4</w:t>
      </w:r>
      <w:r w:rsidR="00425B0A">
        <w:rPr>
          <w:rFonts w:ascii="Times New Roman" w:hAnsi="Times New Roman" w:cs="Times New Roman"/>
          <w:sz w:val="36"/>
          <w:szCs w:val="36"/>
        </w:rPr>
        <w:t>45,4</w:t>
      </w:r>
      <w:r>
        <w:rPr>
          <w:rFonts w:ascii="Times New Roman" w:hAnsi="Times New Roman" w:cs="Times New Roman"/>
          <w:sz w:val="36"/>
          <w:szCs w:val="36"/>
        </w:rPr>
        <w:t xml:space="preserve"> TWh, soit un retour à la consommation </w:t>
      </w:r>
      <w:r w:rsidR="00162D11">
        <w:rPr>
          <w:rFonts w:ascii="Times New Roman" w:hAnsi="Times New Roman" w:cs="Times New Roman"/>
          <w:sz w:val="36"/>
          <w:szCs w:val="36"/>
        </w:rPr>
        <w:t xml:space="preserve">au tout début </w:t>
      </w:r>
      <w:r>
        <w:rPr>
          <w:rFonts w:ascii="Times New Roman" w:hAnsi="Times New Roman" w:cs="Times New Roman"/>
          <w:sz w:val="36"/>
          <w:szCs w:val="36"/>
        </w:rPr>
        <w:t>d</w:t>
      </w:r>
      <w:r w:rsidR="00425B0A">
        <w:rPr>
          <w:rFonts w:ascii="Times New Roman" w:hAnsi="Times New Roman" w:cs="Times New Roman"/>
          <w:sz w:val="36"/>
          <w:szCs w:val="36"/>
        </w:rPr>
        <w:t>es années 2000</w:t>
      </w:r>
      <w:r w:rsidR="00CC6A88">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r w:rsidR="00162D11">
        <w:rPr>
          <w:rFonts w:ascii="Times New Roman" w:hAnsi="Times New Roman" w:cs="Times New Roman"/>
          <w:sz w:val="36"/>
          <w:szCs w:val="36"/>
        </w:rPr>
        <w:t xml:space="preserve">La consommation brute, non corrigée des variations saisonnières a été de </w:t>
      </w:r>
      <w:r w:rsidR="003E1895">
        <w:rPr>
          <w:rFonts w:ascii="Times New Roman" w:hAnsi="Times New Roman" w:cs="Times New Roman"/>
          <w:sz w:val="36"/>
          <w:szCs w:val="36"/>
        </w:rPr>
        <w:t xml:space="preserve">438,7 TWh, soit la plus faible depuis 2002. </w:t>
      </w:r>
      <w:r w:rsidR="00162D11">
        <w:rPr>
          <w:rFonts w:ascii="Times New Roman" w:hAnsi="Times New Roman" w:cs="Times New Roman"/>
          <w:sz w:val="36"/>
          <w:szCs w:val="36"/>
        </w:rPr>
        <w:t xml:space="preserve">La baisse en 2023 est de – 6,9 % par rapport à la période 2014 -2019. </w:t>
      </w:r>
    </w:p>
    <w:p w14:paraId="5CDA8C52" w14:textId="6ECE4E7F" w:rsidR="002118D5" w:rsidRDefault="00074FDC" w:rsidP="00AE7889">
      <w:pPr>
        <w:jc w:val="both"/>
        <w:rPr>
          <w:rFonts w:ascii="Times New Roman" w:hAnsi="Times New Roman" w:cs="Times New Roman"/>
          <w:sz w:val="36"/>
          <w:szCs w:val="36"/>
        </w:rPr>
      </w:pPr>
      <w:r>
        <w:rPr>
          <w:rFonts w:ascii="Times New Roman" w:hAnsi="Times New Roman" w:cs="Times New Roman"/>
          <w:sz w:val="36"/>
          <w:szCs w:val="36"/>
        </w:rPr>
        <w:t xml:space="preserve">Cette demande </w:t>
      </w:r>
      <w:r w:rsidR="003E1895">
        <w:rPr>
          <w:rFonts w:ascii="Times New Roman" w:hAnsi="Times New Roman" w:cs="Times New Roman"/>
          <w:sz w:val="36"/>
          <w:szCs w:val="36"/>
        </w:rPr>
        <w:t xml:space="preserve">en 2023 </w:t>
      </w:r>
      <w:r>
        <w:rPr>
          <w:rFonts w:ascii="Times New Roman" w:hAnsi="Times New Roman" w:cs="Times New Roman"/>
          <w:sz w:val="36"/>
          <w:szCs w:val="36"/>
        </w:rPr>
        <w:t>correspond à une consommation de 6,</w:t>
      </w:r>
      <w:r w:rsidR="00425B0A">
        <w:rPr>
          <w:rFonts w:ascii="Times New Roman" w:hAnsi="Times New Roman" w:cs="Times New Roman"/>
          <w:sz w:val="36"/>
          <w:szCs w:val="36"/>
        </w:rPr>
        <w:t>5</w:t>
      </w:r>
      <w:r>
        <w:rPr>
          <w:rFonts w:ascii="Times New Roman" w:hAnsi="Times New Roman" w:cs="Times New Roman"/>
          <w:sz w:val="36"/>
          <w:szCs w:val="36"/>
        </w:rPr>
        <w:t xml:space="preserve"> </w:t>
      </w:r>
      <w:r w:rsidR="00425B0A">
        <w:rPr>
          <w:rFonts w:ascii="Times New Roman" w:hAnsi="Times New Roman" w:cs="Times New Roman"/>
          <w:sz w:val="36"/>
          <w:szCs w:val="36"/>
        </w:rPr>
        <w:t>M</w:t>
      </w:r>
      <w:r>
        <w:rPr>
          <w:rFonts w:ascii="Times New Roman" w:hAnsi="Times New Roman" w:cs="Times New Roman"/>
          <w:sz w:val="36"/>
          <w:szCs w:val="36"/>
        </w:rPr>
        <w:t>Wh par habitant et par an, pour une population de 68,1 millions d’habitants au premier janvier 2023.</w:t>
      </w:r>
      <w:r w:rsidR="002118D5">
        <w:rPr>
          <w:rFonts w:ascii="Times New Roman" w:hAnsi="Times New Roman" w:cs="Times New Roman"/>
          <w:sz w:val="36"/>
          <w:szCs w:val="36"/>
        </w:rPr>
        <w:t xml:space="preserve"> </w:t>
      </w:r>
    </w:p>
    <w:p w14:paraId="3AB561F0" w14:textId="7A3BAE96"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w:t>
      </w:r>
      <w:r w:rsidR="00162D11">
        <w:rPr>
          <w:rFonts w:ascii="Times New Roman" w:hAnsi="Times New Roman" w:cs="Times New Roman"/>
          <w:sz w:val="36"/>
          <w:szCs w:val="36"/>
        </w:rPr>
        <w:t xml:space="preserve">cinq </w:t>
      </w:r>
      <w:r>
        <w:rPr>
          <w:rFonts w:ascii="Times New Roman" w:hAnsi="Times New Roman" w:cs="Times New Roman"/>
          <w:sz w:val="36"/>
          <w:szCs w:val="36"/>
        </w:rPr>
        <w:t xml:space="preserve">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lastRenderedPageBreak/>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675DB1D2"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ne devrait pas faire apparaitre une nouvelle demande significative en volume</w:t>
      </w:r>
      <w:r w:rsidR="00297A05">
        <w:rPr>
          <w:rStyle w:val="Appelnotedebasdep"/>
          <w:rFonts w:ascii="Times New Roman" w:hAnsi="Times New Roman" w:cs="Times New Roman"/>
          <w:sz w:val="36"/>
          <w:szCs w:val="36"/>
        </w:rPr>
        <w:footnoteReference w:id="4"/>
      </w:r>
      <w:r w:rsidR="00EC6B40">
        <w:rPr>
          <w:rFonts w:ascii="Times New Roman" w:hAnsi="Times New Roman" w:cs="Times New Roman"/>
          <w:sz w:val="36"/>
          <w:szCs w:val="36"/>
        </w:rPr>
        <w:t xml:space="preserv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5E6B31B3"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et nous savons que c’est un secteur particulièrement émissif en France de gaz à effet de serre</w:t>
      </w:r>
      <w:r w:rsidR="00297A05">
        <w:rPr>
          <w:rStyle w:val="Appelnotedebasdep"/>
          <w:rFonts w:ascii="Times New Roman" w:hAnsi="Times New Roman" w:cs="Times New Roman"/>
          <w:sz w:val="36"/>
          <w:szCs w:val="36"/>
        </w:rPr>
        <w:footnoteReference w:id="5"/>
      </w:r>
      <w:r w:rsidR="00A83F08">
        <w:rPr>
          <w:rFonts w:ascii="Times New Roman" w:hAnsi="Times New Roman" w:cs="Times New Roman"/>
          <w:sz w:val="36"/>
          <w:szCs w:val="36"/>
        </w:rPr>
        <w:t xml:space="preserv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de </w:t>
      </w:r>
      <w:r>
        <w:rPr>
          <w:rFonts w:ascii="Times New Roman" w:hAnsi="Times New Roman" w:cs="Times New Roman"/>
          <w:sz w:val="36"/>
          <w:szCs w:val="36"/>
        </w:rPr>
        <w:t xml:space="preserve"> TWh.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lastRenderedPageBreak/>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F1E6027" w14:textId="576B596E" w:rsidR="00617E60" w:rsidRDefault="00AE21AB" w:rsidP="00AE7889">
      <w:pPr>
        <w:jc w:val="both"/>
        <w:rPr>
          <w:rFonts w:ascii="Times New Roman" w:hAnsi="Times New Roman" w:cs="Times New Roman"/>
          <w:sz w:val="36"/>
          <w:szCs w:val="36"/>
        </w:rPr>
      </w:pPr>
      <w:r>
        <w:rPr>
          <w:rFonts w:ascii="Times New Roman" w:hAnsi="Times New Roman" w:cs="Times New Roman"/>
          <w:sz w:val="36"/>
          <w:szCs w:val="36"/>
        </w:rPr>
        <w:t>La demande croissante induite par la numérisation de la société (datacenters, déploiement de l’intelligence artificielle…) dépendra de la pénétration effective en France et de sa capacité d’attractivité, tant sur le plan fiscal, sociétal et environnemental, par rapport à d’autres pays</w:t>
      </w:r>
      <w:r>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pour l’implantation d’infrastructures numériques à vocation régionale voire mondiale.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mais à laquelle il faut pouvoir répondre. Et une reprise de la 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501079DC" w14:textId="09D96284" w:rsidR="00E80D5F" w:rsidRPr="00E80D5F" w:rsidRDefault="00E80D5F" w:rsidP="00AE7889">
      <w:pPr>
        <w:jc w:val="both"/>
        <w:rPr>
          <w:rFonts w:ascii="Times New Roman" w:hAnsi="Times New Roman" w:cs="Times New Roman"/>
          <w:sz w:val="36"/>
          <w:szCs w:val="36"/>
        </w:rPr>
      </w:pPr>
      <w:r>
        <w:rPr>
          <w:rFonts w:ascii="Times New Roman" w:hAnsi="Times New Roman" w:cs="Times New Roman"/>
          <w:sz w:val="36"/>
          <w:szCs w:val="36"/>
        </w:rPr>
        <w:t>A plus long terme, les  Pouvoirs Publics estiment que</w:t>
      </w:r>
      <w:r w:rsidRPr="00E80D5F">
        <w:rPr>
          <w:rFonts w:ascii="Times New Roman" w:hAnsi="Times New Roman" w:cs="Times New Roman"/>
          <w:sz w:val="36"/>
          <w:szCs w:val="36"/>
        </w:rPr>
        <w:t xml:space="preserve"> le besoin en électricité provenant de sources décarbonées augmentera significativement dans les décennies à venir. Ainsi, la Stratégie nationale bas-carbone (SNBC) publiée en 2020 prévoit à l'horizon 2050 une augmentation en volume du besoin de production électrique à hauteur de 645 TWh</w:t>
      </w:r>
      <w:r>
        <w:rPr>
          <w:rFonts w:ascii="Times New Roman" w:hAnsi="Times New Roman" w:cs="Times New Roman"/>
          <w:sz w:val="36"/>
          <w:szCs w:val="36"/>
        </w:rPr>
        <w:t>, soit une augmentation de 200 TWh ou de 45 % par rapport à 2023…</w:t>
      </w:r>
    </w:p>
    <w:p w14:paraId="24DBF658" w14:textId="30DE717F"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 xml:space="preserve">contexte géopolitique et économique </w:t>
      </w:r>
      <w:r>
        <w:rPr>
          <w:rFonts w:ascii="Times New Roman" w:hAnsi="Times New Roman" w:cs="Times New Roman"/>
          <w:sz w:val="36"/>
          <w:szCs w:val="36"/>
        </w:rPr>
        <w:lastRenderedPageBreak/>
        <w:t>pour permettre les investissements associés</w:t>
      </w:r>
      <w:r w:rsidR="005E1F28">
        <w:rPr>
          <w:rFonts w:ascii="Times New Roman" w:hAnsi="Times New Roman" w:cs="Times New Roman"/>
          <w:sz w:val="36"/>
          <w:szCs w:val="36"/>
        </w:rPr>
        <w:t xml:space="preserve">, et d’autre part par une accessibilité effective </w:t>
      </w:r>
      <w:r w:rsidR="00E80D5F">
        <w:rPr>
          <w:rFonts w:ascii="Times New Roman" w:hAnsi="Times New Roman" w:cs="Times New Roman"/>
          <w:sz w:val="36"/>
          <w:szCs w:val="36"/>
        </w:rPr>
        <w:t xml:space="preserve">pour le plus grand nombre, particuliers comme entreprises,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6ACDFE1"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01317F9A"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w:t>
      </w:r>
      <w:r w:rsidR="00E11295">
        <w:rPr>
          <w:rFonts w:ascii="Times New Roman" w:hAnsi="Times New Roman" w:cs="Times New Roman"/>
          <w:sz w:val="36"/>
          <w:szCs w:val="36"/>
        </w:rPr>
        <w:t>quatre</w:t>
      </w:r>
      <w:r>
        <w:rPr>
          <w:rFonts w:ascii="Times New Roman" w:hAnsi="Times New Roman" w:cs="Times New Roman"/>
          <w:sz w:val="36"/>
          <w:szCs w:val="36"/>
        </w:rPr>
        <w:t xml:space="preserve">,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la demande en électricité de la Chine en 2017, 6602 TWh (Milliards de kWh), a dépassé la demande mondiale d’électricité de 1973, 6131 TWh</w:t>
      </w:r>
      <w:r w:rsidR="009D7F2E">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lastRenderedPageBreak/>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343C0FD"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042BF8">
        <w:rPr>
          <w:rFonts w:ascii="Times New Roman" w:hAnsi="Times New Roman" w:cs="Times New Roman"/>
          <w:sz w:val="36"/>
          <w:szCs w:val="36"/>
        </w:rPr>
        <w:t xml:space="preserve">a </w:t>
      </w:r>
      <w:r w:rsidR="008F3558">
        <w:rPr>
          <w:rFonts w:ascii="Times New Roman" w:hAnsi="Times New Roman" w:cs="Times New Roman"/>
          <w:sz w:val="36"/>
          <w:szCs w:val="36"/>
        </w:rPr>
        <w:t xml:space="preserve">désormais </w:t>
      </w:r>
      <w:r w:rsidR="005F6857">
        <w:rPr>
          <w:rFonts w:ascii="Times New Roman" w:hAnsi="Times New Roman" w:cs="Times New Roman"/>
          <w:sz w:val="36"/>
          <w:szCs w:val="36"/>
        </w:rPr>
        <w:t>dépassé l’Union Européenne</w:t>
      </w:r>
      <w:r w:rsidR="00042BF8">
        <w:rPr>
          <w:rFonts w:ascii="Times New Roman" w:hAnsi="Times New Roman" w:cs="Times New Roman"/>
          <w:sz w:val="36"/>
          <w:szCs w:val="36"/>
        </w:rPr>
        <w:t xml:space="preserve"> en 2022</w:t>
      </w:r>
      <w:r w:rsidR="00B870B8">
        <w:rPr>
          <w:rFonts w:ascii="Times New Roman" w:hAnsi="Times New Roman" w:cs="Times New Roman"/>
          <w:sz w:val="36"/>
          <w:szCs w:val="36"/>
        </w:rPr>
        <w:t xml:space="preserve"> </w:t>
      </w:r>
      <w:r>
        <w:rPr>
          <w:rFonts w:ascii="Times New Roman" w:hAnsi="Times New Roman" w:cs="Times New Roman"/>
          <w:sz w:val="36"/>
          <w:szCs w:val="36"/>
        </w:rPr>
        <w:t xml:space="preserve">avec </w:t>
      </w:r>
      <w:r w:rsidR="008F3558">
        <w:rPr>
          <w:rFonts w:ascii="Times New Roman" w:hAnsi="Times New Roman" w:cs="Times New Roman"/>
          <w:sz w:val="36"/>
          <w:szCs w:val="36"/>
        </w:rPr>
        <w:t xml:space="preserve">plus de 6 </w:t>
      </w:r>
      <w:r>
        <w:rPr>
          <w:rFonts w:ascii="Times New Roman" w:hAnsi="Times New Roman" w:cs="Times New Roman"/>
          <w:sz w:val="36"/>
          <w:szCs w:val="36"/>
        </w:rPr>
        <w:t>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6C4AB942"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 exportateur mondial de pétrole</w:t>
      </w:r>
      <w:r w:rsidR="00DD6239">
        <w:rPr>
          <w:rFonts w:ascii="Times New Roman" w:hAnsi="Times New Roman" w:cs="Times New Roman"/>
          <w:sz w:val="36"/>
          <w:szCs w:val="36"/>
        </w:rPr>
        <w:t>, 0,1 MWh, par habitant et par an</w:t>
      </w:r>
      <w:r w:rsidR="00042BF8">
        <w:rPr>
          <w:rFonts w:ascii="Times New Roman" w:hAnsi="Times New Roman" w:cs="Times New Roman"/>
          <w:sz w:val="36"/>
          <w:szCs w:val="36"/>
        </w:rPr>
        <w:t xml:space="preserve">, quasiment stable alors que la population croit fortement. </w:t>
      </w:r>
    </w:p>
    <w:p w14:paraId="222D7CAF" w14:textId="34827656"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r w:rsidR="00E84041">
        <w:rPr>
          <w:rFonts w:ascii="Times New Roman" w:hAnsi="Times New Roman" w:cs="Times New Roman"/>
          <w:sz w:val="36"/>
          <w:szCs w:val="36"/>
        </w:rPr>
        <w:t xml:space="preserve">. </w:t>
      </w:r>
    </w:p>
    <w:p w14:paraId="64597A6B" w14:textId="65ECC68B"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La demande en Europe se tasse depuis plus de dix ans, avec une profonde baisse ces cinq dernières années, dans un profil d’évolution comparable à celui de la France</w:t>
      </w:r>
      <w:r>
        <w:rPr>
          <w:rStyle w:val="Appelnotedebasdep"/>
          <w:rFonts w:ascii="Times New Roman" w:hAnsi="Times New Roman" w:cs="Times New Roman"/>
          <w:sz w:val="36"/>
          <w:szCs w:val="36"/>
        </w:rPr>
        <w:footnoteReference w:id="8"/>
      </w:r>
      <w:r>
        <w:rPr>
          <w:rFonts w:ascii="Times New Roman" w:hAnsi="Times New Roman" w:cs="Times New Roman"/>
          <w:sz w:val="36"/>
          <w:szCs w:val="36"/>
        </w:rPr>
        <w:t xml:space="preserve">. </w:t>
      </w:r>
    </w:p>
    <w:p w14:paraId="6B767B0E" w14:textId="50B78B1D" w:rsidR="00E84041" w:rsidRDefault="00E84041" w:rsidP="00AE7889">
      <w:pPr>
        <w:tabs>
          <w:tab w:val="left" w:pos="6576"/>
        </w:tabs>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C60B7F8" wp14:editId="12FF4452">
            <wp:extent cx="5760720" cy="3112135"/>
            <wp:effectExtent l="0" t="0" r="0" b="0"/>
            <wp:docPr id="7882936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3677" name="Image 788293677"/>
                    <pic:cNvPicPr/>
                  </pic:nvPicPr>
                  <pic:blipFill>
                    <a:blip r:embed="rId13">
                      <a:extLst>
                        <a:ext uri="{28A0092B-C50C-407E-A947-70E740481C1C}">
                          <a14:useLocalDpi xmlns:a14="http://schemas.microsoft.com/office/drawing/2010/main" val="0"/>
                        </a:ext>
                      </a:extLst>
                    </a:blip>
                    <a:stretch>
                      <a:fillRect/>
                    </a:stretch>
                  </pic:blipFill>
                  <pic:spPr>
                    <a:xfrm>
                      <a:off x="0" y="0"/>
                      <a:ext cx="5760720" cy="3112135"/>
                    </a:xfrm>
                    <a:prstGeom prst="rect">
                      <a:avLst/>
                    </a:prstGeom>
                  </pic:spPr>
                </pic:pic>
              </a:graphicData>
            </a:graphic>
          </wp:inline>
        </w:drawing>
      </w:r>
    </w:p>
    <w:p w14:paraId="770EC531" w14:textId="51326363"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w:t>
      </w:r>
      <w:r w:rsidR="00042BF8">
        <w:rPr>
          <w:rFonts w:ascii="Times New Roman" w:eastAsia="Times New Roman" w:hAnsi="Times New Roman" w:cs="Times New Roman"/>
          <w:sz w:val="36"/>
          <w:szCs w:val="36"/>
          <w:lang w:eastAsia="fr-FR"/>
        </w:rPr>
        <w:t xml:space="preserve">figures et données complémentaires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9"/>
      </w:r>
      <w:r w:rsidR="00042BF8">
        <w:rPr>
          <w:rFonts w:ascii="Times New Roman" w:eastAsia="Times New Roman" w:hAnsi="Times New Roman" w:cs="Times New Roman"/>
          <w:sz w:val="36"/>
          <w:szCs w:val="36"/>
          <w:lang w:eastAsia="fr-FR"/>
        </w:rPr>
        <w:t xml:space="preserve">qui illustre clairement le croisement entre l’Europe  et la Chine,  et celui à venir avec les US. </w:t>
      </w:r>
    </w:p>
    <w:p w14:paraId="696F154C" w14:textId="7C26CDE7"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77B60BF4" wp14:editId="13EC587A">
            <wp:extent cx="5760720" cy="2835275"/>
            <wp:effectExtent l="0" t="0" r="0" b="3175"/>
            <wp:docPr id="18521398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39888" name="Image 1852139888"/>
                    <pic:cNvPicPr/>
                  </pic:nvPicPr>
                  <pic:blipFill>
                    <a:blip r:embed="rId14">
                      <a:extLst>
                        <a:ext uri="{28A0092B-C50C-407E-A947-70E740481C1C}">
                          <a14:useLocalDpi xmlns:a14="http://schemas.microsoft.com/office/drawing/2010/main" val="0"/>
                        </a:ext>
                      </a:extLst>
                    </a:blip>
                    <a:stretch>
                      <a:fillRect/>
                    </a:stretch>
                  </pic:blipFill>
                  <pic:spPr>
                    <a:xfrm>
                      <a:off x="0" y="0"/>
                      <a:ext cx="5760720" cy="2835275"/>
                    </a:xfrm>
                    <a:prstGeom prst="rect">
                      <a:avLst/>
                    </a:prstGeom>
                  </pic:spPr>
                </pic:pic>
              </a:graphicData>
            </a:graphic>
          </wp:inline>
        </w:drawing>
      </w:r>
    </w:p>
    <w:p w14:paraId="0B762419" w14:textId="77777777"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p>
    <w:p w14:paraId="74021D44" w14:textId="3A72AEF1" w:rsidR="00042BF8"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sz w:val="36"/>
          <w:szCs w:val="36"/>
          <w:lang w:eastAsia="fr-FR"/>
        </w:rPr>
        <w:lastRenderedPageBreak/>
        <w:t>Mais également la montée de L’inde en retr</w:t>
      </w:r>
      <w:r w:rsidR="005F6857">
        <w:rPr>
          <w:rFonts w:ascii="Times New Roman" w:eastAsia="Times New Roman" w:hAnsi="Times New Roman" w:cs="Times New Roman"/>
          <w:sz w:val="36"/>
          <w:szCs w:val="36"/>
          <w:lang w:eastAsia="fr-FR"/>
        </w:rPr>
        <w:t>a</w:t>
      </w:r>
      <w:r>
        <w:rPr>
          <w:rFonts w:ascii="Times New Roman" w:eastAsia="Times New Roman" w:hAnsi="Times New Roman" w:cs="Times New Roman"/>
          <w:sz w:val="36"/>
          <w:szCs w:val="36"/>
          <w:lang w:eastAsia="fr-FR"/>
        </w:rPr>
        <w:t xml:space="preserve">it par rapport à la la Chine et la montée du Sud Est asiatique, avec une Afrique qui demeure encore très largement en retrait. </w:t>
      </w:r>
    </w:p>
    <w:p w14:paraId="073EB391" w14:textId="646755A4" w:rsidR="00B80AC6" w:rsidRDefault="00042BF8"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drawing>
          <wp:inline distT="0" distB="0" distL="0" distR="0" wp14:anchorId="6B4D5010" wp14:editId="71B0E32B">
            <wp:extent cx="5760720" cy="2813685"/>
            <wp:effectExtent l="0" t="0" r="0" b="5715"/>
            <wp:docPr id="15984269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6989" name="Image 1598426989"/>
                    <pic:cNvPicPr/>
                  </pic:nvPicPr>
                  <pic:blipFill>
                    <a:blip r:embed="rId15">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24027007" w14:textId="169D4C2C"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La demande en électricité en 202</w:t>
      </w:r>
      <w:r w:rsidR="00042BF8">
        <w:rPr>
          <w:rFonts w:ascii="Times New Roman" w:eastAsia="Times New Roman" w:hAnsi="Times New Roman" w:cs="Times New Roman"/>
          <w:sz w:val="36"/>
          <w:szCs w:val="36"/>
          <w:lang w:eastAsia="fr-FR"/>
        </w:rPr>
        <w:t>3</w:t>
      </w:r>
      <w:r w:rsidRPr="007D0D5D">
        <w:rPr>
          <w:rFonts w:ascii="Times New Roman" w:eastAsia="Times New Roman" w:hAnsi="Times New Roman" w:cs="Times New Roman"/>
          <w:sz w:val="36"/>
          <w:szCs w:val="36"/>
          <w:lang w:eastAsia="fr-FR"/>
        </w:rPr>
        <w:t xml:space="preserve"> de la Chine, 8</w:t>
      </w:r>
      <w:r w:rsidR="00042BF8">
        <w:rPr>
          <w:rFonts w:ascii="Times New Roman" w:eastAsia="Times New Roman" w:hAnsi="Times New Roman" w:cs="Times New Roman"/>
          <w:sz w:val="36"/>
          <w:szCs w:val="36"/>
          <w:lang w:eastAsia="fr-FR"/>
        </w:rPr>
        <w:t>615</w:t>
      </w:r>
      <w:r w:rsidRPr="007D0D5D">
        <w:rPr>
          <w:rFonts w:ascii="Times New Roman" w:eastAsia="Times New Roman" w:hAnsi="Times New Roman" w:cs="Times New Roman"/>
          <w:sz w:val="36"/>
          <w:szCs w:val="36"/>
          <w:lang w:eastAsia="fr-FR"/>
        </w:rPr>
        <w:t xml:space="preserve"> TWh, a représenté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deux fois celle des US, 4</w:t>
      </w:r>
      <w:r w:rsidR="000841AE">
        <w:rPr>
          <w:rFonts w:ascii="Times New Roman" w:eastAsia="Times New Roman" w:hAnsi="Times New Roman" w:cs="Times New Roman"/>
          <w:sz w:val="36"/>
          <w:szCs w:val="36"/>
          <w:lang w:eastAsia="fr-FR"/>
        </w:rPr>
        <w:t>208</w:t>
      </w:r>
      <w:r w:rsidRPr="007D0D5D">
        <w:rPr>
          <w:rFonts w:ascii="Times New Roman" w:eastAsia="Times New Roman" w:hAnsi="Times New Roman" w:cs="Times New Roman"/>
          <w:sz w:val="36"/>
          <w:szCs w:val="36"/>
          <w:lang w:eastAsia="fr-FR"/>
        </w:rPr>
        <w:t xml:space="preserve"> TWh, </w:t>
      </w:r>
      <w:r w:rsidR="000841AE">
        <w:rPr>
          <w:rFonts w:ascii="Times New Roman" w:eastAsia="Times New Roman" w:hAnsi="Times New Roman" w:cs="Times New Roman"/>
          <w:sz w:val="36"/>
          <w:szCs w:val="36"/>
          <w:lang w:eastAsia="fr-FR"/>
        </w:rPr>
        <w:t xml:space="preserve">plus de </w:t>
      </w:r>
      <w:r w:rsidRPr="007D0D5D">
        <w:rPr>
          <w:rFonts w:ascii="Times New Roman" w:eastAsia="Times New Roman" w:hAnsi="Times New Roman" w:cs="Times New Roman"/>
          <w:sz w:val="36"/>
          <w:szCs w:val="36"/>
          <w:lang w:eastAsia="fr-FR"/>
        </w:rPr>
        <w:t>trois fois celle de l’Union européenne, 2</w:t>
      </w:r>
      <w:r w:rsidR="000841AE">
        <w:rPr>
          <w:rFonts w:ascii="Times New Roman" w:eastAsia="Times New Roman" w:hAnsi="Times New Roman" w:cs="Times New Roman"/>
          <w:sz w:val="36"/>
          <w:szCs w:val="36"/>
          <w:lang w:eastAsia="fr-FR"/>
        </w:rPr>
        <w:t>578</w:t>
      </w:r>
      <w:r w:rsidRPr="007D0D5D">
        <w:rPr>
          <w:rFonts w:ascii="Times New Roman" w:eastAsia="Times New Roman" w:hAnsi="Times New Roman" w:cs="Times New Roman"/>
          <w:sz w:val="36"/>
          <w:szCs w:val="36"/>
          <w:lang w:eastAsia="fr-FR"/>
        </w:rPr>
        <w:t xml:space="preserve"> TWh, huit fois celle de la Russie, 10</w:t>
      </w:r>
      <w:r w:rsidR="000841AE">
        <w:rPr>
          <w:rFonts w:ascii="Times New Roman" w:eastAsia="Times New Roman" w:hAnsi="Times New Roman" w:cs="Times New Roman"/>
          <w:sz w:val="36"/>
          <w:szCs w:val="36"/>
          <w:lang w:eastAsia="fr-FR"/>
        </w:rPr>
        <w:t>20</w:t>
      </w:r>
      <w:r w:rsidRPr="007D0D5D">
        <w:rPr>
          <w:rFonts w:ascii="Times New Roman" w:eastAsia="Times New Roman" w:hAnsi="Times New Roman" w:cs="Times New Roman"/>
          <w:sz w:val="36"/>
          <w:szCs w:val="36"/>
          <w:lang w:eastAsia="fr-FR"/>
        </w:rPr>
        <w:t xml:space="preserve"> TWh, et plus de </w:t>
      </w:r>
      <w:r w:rsidR="00042BF8">
        <w:rPr>
          <w:rFonts w:ascii="Times New Roman" w:eastAsia="Times New Roman" w:hAnsi="Times New Roman" w:cs="Times New Roman"/>
          <w:sz w:val="36"/>
          <w:szCs w:val="36"/>
          <w:lang w:eastAsia="fr-FR"/>
        </w:rPr>
        <w:t>onze</w:t>
      </w:r>
      <w:r w:rsidRPr="007D0D5D">
        <w:rPr>
          <w:rFonts w:ascii="Times New Roman" w:eastAsia="Times New Roman" w:hAnsi="Times New Roman" w:cs="Times New Roman"/>
          <w:sz w:val="36"/>
          <w:szCs w:val="36"/>
          <w:lang w:eastAsia="fr-FR"/>
        </w:rPr>
        <w:t xml:space="preserve"> fois celle de l’Afrique dans son ensemble 7</w:t>
      </w:r>
      <w:r w:rsidR="000841AE">
        <w:rPr>
          <w:rFonts w:ascii="Times New Roman" w:eastAsia="Times New Roman" w:hAnsi="Times New Roman" w:cs="Times New Roman"/>
          <w:sz w:val="36"/>
          <w:szCs w:val="36"/>
          <w:lang w:eastAsia="fr-FR"/>
        </w:rPr>
        <w:t>80</w:t>
      </w:r>
      <w:r w:rsidRPr="007D0D5D">
        <w:rPr>
          <w:rFonts w:ascii="Times New Roman" w:eastAsia="Times New Roman" w:hAnsi="Times New Roman" w:cs="Times New Roman"/>
          <w:sz w:val="36"/>
          <w:szCs w:val="36"/>
          <w:lang w:eastAsia="fr-FR"/>
        </w:rPr>
        <w:t xml:space="preserve"> TWh. </w:t>
      </w:r>
    </w:p>
    <w:p w14:paraId="6396E08E" w14:textId="2C0EB8BD"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r w:rsidR="000841AE">
        <w:rPr>
          <w:rFonts w:ascii="Times New Roman" w:eastAsia="Times New Roman" w:hAnsi="Times New Roman" w:cs="Times New Roman"/>
          <w:sz w:val="36"/>
          <w:szCs w:val="36"/>
          <w:lang w:eastAsia="fr-FR"/>
        </w:rPr>
        <w:t xml:space="preserve">  de 2021 à 2022, puis +1%</w:t>
      </w:r>
      <w:r w:rsidR="000841AE">
        <w:rPr>
          <w:rStyle w:val="Appelnotedebasdep"/>
          <w:rFonts w:ascii="Times New Roman" w:eastAsia="Times New Roman" w:hAnsi="Times New Roman" w:cs="Times New Roman"/>
          <w:sz w:val="36"/>
          <w:szCs w:val="36"/>
          <w:lang w:eastAsia="fr-FR"/>
        </w:rPr>
        <w:footnoteReference w:id="10"/>
      </w:r>
      <w:r w:rsidR="000841AE">
        <w:rPr>
          <w:rFonts w:ascii="Times New Roman" w:eastAsia="Times New Roman" w:hAnsi="Times New Roman" w:cs="Times New Roman"/>
          <w:sz w:val="36"/>
          <w:szCs w:val="36"/>
          <w:lang w:eastAsia="fr-FR"/>
        </w:rPr>
        <w:t xml:space="preserve"> pour la Russie et 2 % pour l’Afrique de 2022 à 2023. </w:t>
      </w:r>
    </w:p>
    <w:p w14:paraId="2E31907D" w14:textId="01B190A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0841AE">
        <w:rPr>
          <w:rFonts w:ascii="Times New Roman" w:eastAsia="Times New Roman" w:hAnsi="Times New Roman" w:cs="Times New Roman"/>
          <w:sz w:val="36"/>
          <w:szCs w:val="36"/>
          <w:lang w:eastAsia="fr-FR"/>
        </w:rPr>
        <w:t xml:space="preserve"> de 2012 à 2022, mais s’écarte entre +1,6 % pour les US et + 6,4 % de 2022 à 2023. </w:t>
      </w:r>
    </w:p>
    <w:p w14:paraId="3E80CA47" w14:textId="1AC6B2A5"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Et en forte décroissance pour l’Union Européenne qui subit une baisse de -3,</w:t>
      </w:r>
      <w:r w:rsidR="000841AE">
        <w:rPr>
          <w:rFonts w:ascii="Times New Roman" w:eastAsia="Times New Roman" w:hAnsi="Times New Roman" w:cs="Times New Roman"/>
          <w:sz w:val="36"/>
          <w:szCs w:val="36"/>
          <w:lang w:eastAsia="fr-FR"/>
        </w:rPr>
        <w:t>1</w:t>
      </w:r>
      <w:r w:rsidRPr="007D0D5D">
        <w:rPr>
          <w:rFonts w:ascii="Times New Roman" w:eastAsia="Times New Roman" w:hAnsi="Times New Roman" w:cs="Times New Roman"/>
          <w:sz w:val="36"/>
          <w:szCs w:val="36"/>
          <w:lang w:eastAsia="fr-FR"/>
        </w:rPr>
        <w:t xml:space="preserve"> % </w:t>
      </w:r>
      <w:r w:rsidR="000841AE">
        <w:rPr>
          <w:rFonts w:ascii="Times New Roman" w:eastAsia="Times New Roman" w:hAnsi="Times New Roman" w:cs="Times New Roman"/>
          <w:sz w:val="36"/>
          <w:szCs w:val="36"/>
          <w:lang w:eastAsia="fr-FR"/>
        </w:rPr>
        <w:t xml:space="preserve">de 2021 à 2022 </w:t>
      </w:r>
      <w:r w:rsidRPr="007D0D5D">
        <w:rPr>
          <w:rFonts w:ascii="Times New Roman" w:eastAsia="Times New Roman" w:hAnsi="Times New Roman" w:cs="Times New Roman"/>
          <w:sz w:val="36"/>
          <w:szCs w:val="36"/>
          <w:lang w:eastAsia="fr-FR"/>
        </w:rPr>
        <w:t xml:space="preserve">avec un impact direct de la </w:t>
      </w:r>
      <w:r w:rsidRPr="007D0D5D">
        <w:rPr>
          <w:rFonts w:ascii="Times New Roman" w:eastAsia="Times New Roman" w:hAnsi="Times New Roman" w:cs="Times New Roman"/>
          <w:sz w:val="36"/>
          <w:szCs w:val="36"/>
          <w:lang w:eastAsia="fr-FR"/>
        </w:rPr>
        <w:lastRenderedPageBreak/>
        <w:t>dépendance au gaz et des prix élevés induits par la guerre en Ukraine</w:t>
      </w:r>
      <w:r w:rsidR="000841AE">
        <w:rPr>
          <w:rFonts w:ascii="Times New Roman" w:eastAsia="Times New Roman" w:hAnsi="Times New Roman" w:cs="Times New Roman"/>
          <w:sz w:val="36"/>
          <w:szCs w:val="36"/>
          <w:lang w:eastAsia="fr-FR"/>
        </w:rPr>
        <w:t xml:space="preserve">, baisse qui se confirme de – 3,2% entre 2022 et 2023. </w:t>
      </w:r>
    </w:p>
    <w:p w14:paraId="6DDCC87A" w14:textId="3E5C94C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croissance de </w:t>
      </w:r>
      <w:r w:rsidR="0091396A">
        <w:rPr>
          <w:rFonts w:ascii="Times New Roman" w:eastAsia="Times New Roman" w:hAnsi="Times New Roman" w:cs="Times New Roman"/>
          <w:sz w:val="36"/>
          <w:szCs w:val="36"/>
          <w:lang w:eastAsia="fr-FR"/>
        </w:rPr>
        <w:t>2,4</w:t>
      </w:r>
      <w:r w:rsidR="0091396A">
        <w:rPr>
          <w:rStyle w:val="Appelnotedebasdep"/>
          <w:rFonts w:ascii="Times New Roman" w:eastAsia="Times New Roman" w:hAnsi="Times New Roman" w:cs="Times New Roman"/>
          <w:sz w:val="36"/>
          <w:szCs w:val="36"/>
          <w:lang w:eastAsia="fr-FR"/>
        </w:rPr>
        <w:footnoteReference w:id="11"/>
      </w:r>
      <w:r w:rsidRPr="007D0D5D">
        <w:rPr>
          <w:rFonts w:ascii="Times New Roman" w:eastAsia="Times New Roman" w:hAnsi="Times New Roman" w:cs="Times New Roman"/>
          <w:sz w:val="36"/>
          <w:szCs w:val="36"/>
          <w:lang w:eastAsia="fr-FR"/>
        </w:rPr>
        <w:t xml:space="preserve"> % entre 2021 et 2022</w:t>
      </w:r>
      <w:r w:rsidR="0091396A">
        <w:rPr>
          <w:rFonts w:ascii="Times New Roman" w:eastAsia="Times New Roman" w:hAnsi="Times New Roman" w:cs="Times New Roman"/>
          <w:sz w:val="36"/>
          <w:szCs w:val="36"/>
          <w:lang w:eastAsia="fr-FR"/>
        </w:rPr>
        <w:t xml:space="preserve"> et</w:t>
      </w:r>
      <w:r w:rsidR="000841AE">
        <w:rPr>
          <w:rFonts w:ascii="Times New Roman" w:eastAsia="Times New Roman" w:hAnsi="Times New Roman" w:cs="Times New Roman"/>
          <w:sz w:val="36"/>
          <w:szCs w:val="36"/>
          <w:lang w:eastAsia="fr-FR"/>
        </w:rPr>
        <w:t xml:space="preserve"> </w:t>
      </w:r>
      <w:r w:rsidR="000841AE" w:rsidRPr="007D0D5D">
        <w:rPr>
          <w:rFonts w:ascii="Times New Roman" w:eastAsia="Times New Roman" w:hAnsi="Times New Roman" w:cs="Times New Roman"/>
          <w:sz w:val="36"/>
          <w:szCs w:val="36"/>
          <w:lang w:eastAsia="fr-FR"/>
        </w:rPr>
        <w:t>une demande de 26 779 TWh</w:t>
      </w:r>
      <w:r w:rsidR="000841AE">
        <w:rPr>
          <w:rFonts w:ascii="Times New Roman" w:eastAsia="Times New Roman" w:hAnsi="Times New Roman" w:cs="Times New Roman"/>
          <w:sz w:val="36"/>
          <w:szCs w:val="36"/>
          <w:lang w:eastAsia="fr-FR"/>
        </w:rPr>
        <w:t xml:space="preserve"> en 2022</w:t>
      </w:r>
      <w:r w:rsidR="000841AE" w:rsidRPr="007D0D5D">
        <w:rPr>
          <w:rFonts w:ascii="Times New Roman" w:eastAsia="Times New Roman" w:hAnsi="Times New Roman" w:cs="Times New Roman"/>
          <w:sz w:val="36"/>
          <w:szCs w:val="36"/>
          <w:lang w:eastAsia="fr-FR"/>
        </w:rPr>
        <w:t xml:space="preserve">, </w:t>
      </w:r>
      <w:r w:rsidR="000841AE">
        <w:rPr>
          <w:rFonts w:ascii="Times New Roman" w:eastAsia="Times New Roman" w:hAnsi="Times New Roman" w:cs="Times New Roman"/>
          <w:sz w:val="36"/>
          <w:szCs w:val="36"/>
          <w:lang w:eastAsia="fr-FR"/>
        </w:rPr>
        <w:t>puis une croissance de 2,</w:t>
      </w:r>
      <w:r w:rsidR="0091396A">
        <w:rPr>
          <w:rFonts w:ascii="Times New Roman" w:eastAsia="Times New Roman" w:hAnsi="Times New Roman" w:cs="Times New Roman"/>
          <w:sz w:val="36"/>
          <w:szCs w:val="36"/>
          <w:lang w:eastAsia="fr-FR"/>
        </w:rPr>
        <w:t>2</w:t>
      </w:r>
      <w:r w:rsidR="000841AE">
        <w:rPr>
          <w:rFonts w:ascii="Times New Roman" w:eastAsia="Times New Roman" w:hAnsi="Times New Roman" w:cs="Times New Roman"/>
          <w:sz w:val="36"/>
          <w:szCs w:val="36"/>
          <w:lang w:eastAsia="fr-FR"/>
        </w:rPr>
        <w:t xml:space="preserve"> % entre 2023 et 2024, soit </w:t>
      </w:r>
      <w:r w:rsidR="008F3558">
        <w:rPr>
          <w:rFonts w:ascii="Times New Roman" w:eastAsia="Times New Roman" w:hAnsi="Times New Roman" w:cs="Times New Roman"/>
          <w:sz w:val="36"/>
          <w:szCs w:val="36"/>
          <w:lang w:eastAsia="fr-FR"/>
        </w:rPr>
        <w:t xml:space="preserve"> une demande de 27 682 MW</w:t>
      </w:r>
      <w:r w:rsidR="000841AE">
        <w:rPr>
          <w:rFonts w:ascii="Times New Roman" w:eastAsia="Times New Roman" w:hAnsi="Times New Roman" w:cs="Times New Roman"/>
          <w:sz w:val="36"/>
          <w:szCs w:val="36"/>
          <w:lang w:eastAsia="fr-FR"/>
        </w:rPr>
        <w:t xml:space="preserve"> en 2023</w:t>
      </w:r>
      <w:r w:rsidR="008F3558">
        <w:rPr>
          <w:rFonts w:ascii="Times New Roman" w:eastAsia="Times New Roman" w:hAnsi="Times New Roman" w:cs="Times New Roman"/>
          <w:sz w:val="36"/>
          <w:szCs w:val="36"/>
          <w:lang w:eastAsia="fr-FR"/>
        </w:rPr>
        <w:t xml:space="preserve">, et </w:t>
      </w:r>
      <w:r w:rsidRPr="007D0D5D">
        <w:rPr>
          <w:rFonts w:ascii="Times New Roman" w:eastAsia="Times New Roman" w:hAnsi="Times New Roman" w:cs="Times New Roman"/>
          <w:sz w:val="36"/>
          <w:szCs w:val="36"/>
          <w:lang w:eastAsia="fr-FR"/>
        </w:rPr>
        <w:t>une perspective annoncée par l’AIE de + 3 % pour la période 2023-2025</w:t>
      </w:r>
      <w:r w:rsidR="008F3558">
        <w:rPr>
          <w:rFonts w:ascii="Times New Roman" w:eastAsia="Times New Roman" w:hAnsi="Times New Roman" w:cs="Times New Roman"/>
          <w:sz w:val="36"/>
          <w:szCs w:val="36"/>
          <w:lang w:eastAsia="fr-FR"/>
        </w:rPr>
        <w:t xml:space="preserve">, puis  + 3,4 % pour 2024 – 2026.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212BAB7"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du partenariat renforcé entre les pays du Brics</w:t>
      </w:r>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 xml:space="preserve">désormais la moitié de la population mondiale au sein de </w:t>
      </w:r>
      <w:r w:rsidR="000841AE">
        <w:rPr>
          <w:rFonts w:ascii="Times New Roman" w:eastAsia="Times New Roman" w:hAnsi="Times New Roman" w:cs="Times New Roman"/>
          <w:sz w:val="36"/>
          <w:szCs w:val="36"/>
          <w:lang w:eastAsia="fr-FR"/>
        </w:rPr>
        <w:t>dix</w:t>
      </w:r>
      <w:r>
        <w:rPr>
          <w:rFonts w:ascii="Times New Roman" w:eastAsia="Times New Roman" w:hAnsi="Times New Roman" w:cs="Times New Roman"/>
          <w:sz w:val="36"/>
          <w:szCs w:val="36"/>
          <w:lang w:eastAsia="fr-FR"/>
        </w:rPr>
        <w:t xml:space="preserve"> pays</w:t>
      </w:r>
      <w:r w:rsidR="002676D7">
        <w:rPr>
          <w:rStyle w:val="Appelnotedebasdep"/>
          <w:rFonts w:ascii="Times New Roman" w:eastAsia="Times New Roman" w:hAnsi="Times New Roman" w:cs="Times New Roman"/>
          <w:sz w:val="36"/>
          <w:szCs w:val="36"/>
          <w:lang w:eastAsia="fr-FR"/>
        </w:rPr>
        <w:footnoteReference w:id="12"/>
      </w:r>
      <w:r>
        <w:rPr>
          <w:rFonts w:ascii="Times New Roman" w:eastAsia="Times New Roman" w:hAnsi="Times New Roman" w:cs="Times New Roman"/>
          <w:sz w:val="36"/>
          <w:szCs w:val="36"/>
          <w:lang w:eastAsia="fr-FR"/>
        </w:rPr>
        <w:t xml:space="preserve"> à la suite du sommet de Johannesbourg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w:t>
      </w:r>
      <w:r w:rsidR="00347677">
        <w:rPr>
          <w:rFonts w:ascii="Times New Roman" w:hAnsi="Times New Roman" w:cs="Times New Roman"/>
          <w:sz w:val="36"/>
          <w:szCs w:val="36"/>
        </w:rPr>
        <w:lastRenderedPageBreak/>
        <w:t xml:space="preserve">fréquence du courant alternatif est utilisée. Elle est de 50 Hz en Europe. </w:t>
      </w:r>
    </w:p>
    <w:p w14:paraId="1A2975E9" w14:textId="1873D561" w:rsidR="00D91997"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sidR="00D626AD">
        <w:rPr>
          <w:rFonts w:ascii="Times New Roman" w:hAnsi="Times New Roman" w:cs="Times New Roman"/>
          <w:sz w:val="36"/>
          <w:szCs w:val="36"/>
        </w:rPr>
        <w:t xml:space="preserve">en électricité, le pilotage 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2E4BD388"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w:t>
      </w:r>
      <w:r>
        <w:rPr>
          <w:rFonts w:ascii="Times New Roman" w:hAnsi="Times New Roman" w:cs="Times New Roman"/>
          <w:sz w:val="36"/>
          <w:szCs w:val="36"/>
        </w:rPr>
        <w:lastRenderedPageBreak/>
        <w:t xml:space="preserve">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Laufenboug et le groupement d’électriciens suisses CNP, en Suisse, Electrabel en Belgique, EnBW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A noter que la France dispose d’un positionnement géographique particulièrement favorable, disposant de 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13"/>
      </w:r>
      <w:r>
        <w:rPr>
          <w:rFonts w:ascii="Times New Roman" w:hAnsi="Times New Roman" w:cs="Times New Roman"/>
          <w:sz w:val="36"/>
          <w:szCs w:val="36"/>
        </w:rPr>
        <w:t xml:space="preserve">. </w:t>
      </w:r>
    </w:p>
    <w:p w14:paraId="601D9C28" w14:textId="53B85328"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Ainsi, en 2022, le volume d’importations dont elle a pu bénéficier s’est élevé au maximum le</w:t>
      </w:r>
      <w:r w:rsidR="00DF3C85">
        <w:rPr>
          <w:rFonts w:ascii="Times New Roman" w:hAnsi="Times New Roman" w:cs="Times New Roman"/>
          <w:sz w:val="36"/>
          <w:szCs w:val="36"/>
        </w:rPr>
        <w:t xml:space="preserve"> </w:t>
      </w:r>
      <w:r>
        <w:rPr>
          <w:rFonts w:ascii="Times New Roman" w:hAnsi="Times New Roman" w:cs="Times New Roman"/>
          <w:sz w:val="36"/>
          <w:szCs w:val="36"/>
        </w:rPr>
        <w:t xml:space="preserve">19 novembre 2022  à 15836 MW, et un mois plus tard, elle exportait 17 352 MW le 23 décembre 2022. Le maximum historique d’exportations s’est établi </w:t>
      </w:r>
      <w:r w:rsidR="0096083E">
        <w:rPr>
          <w:rFonts w:ascii="Times New Roman" w:hAnsi="Times New Roman" w:cs="Times New Roman"/>
          <w:sz w:val="36"/>
          <w:szCs w:val="36"/>
        </w:rPr>
        <w:t>cette année</w:t>
      </w:r>
      <w:r>
        <w:rPr>
          <w:rFonts w:ascii="Times New Roman" w:hAnsi="Times New Roman" w:cs="Times New Roman"/>
          <w:sz w:val="36"/>
          <w:szCs w:val="36"/>
        </w:rPr>
        <w:t xml:space="preserve"> à</w:t>
      </w:r>
      <w:r w:rsidR="00DF3C85">
        <w:rPr>
          <w:rFonts w:ascii="Times New Roman" w:hAnsi="Times New Roman" w:cs="Times New Roman"/>
          <w:sz w:val="36"/>
          <w:szCs w:val="36"/>
        </w:rPr>
        <w:t xml:space="preserve"> 20269 MW le 3 janvier 2024</w:t>
      </w:r>
      <w:r>
        <w:rPr>
          <w:rFonts w:ascii="Times New Roman" w:hAnsi="Times New Roman" w:cs="Times New Roman"/>
          <w:sz w:val="36"/>
          <w:szCs w:val="36"/>
        </w:rPr>
        <w:t xml:space="preserve">. </w:t>
      </w:r>
    </w:p>
    <w:p w14:paraId="2C702F6B" w14:textId="4873EFE6"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14"/>
      </w:r>
      <w:r>
        <w:rPr>
          <w:rFonts w:ascii="Times New Roman" w:hAnsi="Times New Roman" w:cs="Times New Roman"/>
          <w:sz w:val="36"/>
          <w:szCs w:val="36"/>
        </w:rPr>
        <w:t xml:space="preserve">. Elle intègre la Turquie, une partie de l’Ukraine, le Maghreb, à travers le détroit de Gibraltar. </w:t>
      </w:r>
    </w:p>
    <w:p w14:paraId="49B17274" w14:textId="378099FE"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6">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15"/>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538CAABD" w14:textId="09870E70" w:rsidR="00196E28" w:rsidRDefault="00196E28" w:rsidP="00AE7889">
      <w:pPr>
        <w:jc w:val="both"/>
        <w:rPr>
          <w:rFonts w:ascii="Times New Roman" w:hAnsi="Times New Roman" w:cs="Times New Roman"/>
          <w:sz w:val="36"/>
          <w:szCs w:val="36"/>
        </w:rPr>
      </w:pPr>
      <w:r>
        <w:rPr>
          <w:rFonts w:ascii="Times New Roman" w:hAnsi="Times New Roman" w:cs="Times New Roman"/>
          <w:sz w:val="36"/>
          <w:szCs w:val="36"/>
        </w:rPr>
        <w:lastRenderedPageBreak/>
        <w:t>On peut noter que dans cette architecture du réseau interconnecté, la France bénéficie d’un</w:t>
      </w:r>
      <w:r w:rsidR="0096083E">
        <w:rPr>
          <w:rFonts w:ascii="Times New Roman" w:hAnsi="Times New Roman" w:cs="Times New Roman"/>
          <w:sz w:val="36"/>
          <w:szCs w:val="36"/>
        </w:rPr>
        <w:t xml:space="preserve"> </w:t>
      </w:r>
      <w:r>
        <w:rPr>
          <w:rFonts w:ascii="Times New Roman" w:hAnsi="Times New Roman" w:cs="Times New Roman"/>
          <w:sz w:val="36"/>
          <w:szCs w:val="36"/>
        </w:rPr>
        <w:t xml:space="preserve">environnement géographique particulièrement favorable. </w:t>
      </w:r>
    </w:p>
    <w:p w14:paraId="72935533" w14:textId="3472B5AE"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w:t>
      </w:r>
      <w:r w:rsidR="0096083E">
        <w:rPr>
          <w:rFonts w:ascii="Times New Roman" w:hAnsi="Times New Roman" w:cs="Times New Roman"/>
          <w:sz w:val="36"/>
          <w:szCs w:val="36"/>
        </w:rPr>
        <w:t xml:space="preserve">d’importance </w:t>
      </w:r>
      <w:r>
        <w:rPr>
          <w:rFonts w:ascii="Times New Roman" w:hAnsi="Times New Roman" w:cs="Times New Roman"/>
          <w:sz w:val="36"/>
          <w:szCs w:val="36"/>
        </w:rPr>
        <w:t>vitale</w:t>
      </w:r>
      <w:r w:rsidR="0096083E">
        <w:rPr>
          <w:rStyle w:val="Appelnotedebasdep"/>
          <w:rFonts w:ascii="Times New Roman" w:hAnsi="Times New Roman" w:cs="Times New Roman"/>
          <w:sz w:val="36"/>
          <w:szCs w:val="36"/>
        </w:rPr>
        <w:footnoteReference w:id="16"/>
      </w:r>
      <w:r>
        <w:rPr>
          <w:rFonts w:ascii="Times New Roman" w:hAnsi="Times New Roman" w:cs="Times New Roman"/>
          <w:sz w:val="36"/>
          <w:szCs w:val="36"/>
        </w:rPr>
        <w:t xml:space="preserve">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9CB052E"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w:t>
      </w:r>
      <w:r w:rsidR="00EF41C3">
        <w:rPr>
          <w:rFonts w:ascii="Times New Roman" w:hAnsi="Times New Roman" w:cs="Times New Roman"/>
          <w:sz w:val="36"/>
          <w:szCs w:val="36"/>
        </w:rPr>
        <w:t xml:space="preserve">prise en compte de l’environnement et une </w:t>
      </w:r>
      <w:r>
        <w:rPr>
          <w:rFonts w:ascii="Times New Roman" w:hAnsi="Times New Roman" w:cs="Times New Roman"/>
          <w:sz w:val="36"/>
          <w:szCs w:val="36"/>
        </w:rPr>
        <w:t xml:space="preserve">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Et pour les barrages, les installations au gaz, le nucléaire, le risque industriel. </w:t>
      </w:r>
    </w:p>
    <w:p w14:paraId="229BEC4B" w14:textId="535F8D12" w:rsidR="00EF41C3" w:rsidRDefault="00EF41C3" w:rsidP="0016300D">
      <w:pPr>
        <w:jc w:val="both"/>
        <w:rPr>
          <w:rFonts w:ascii="Times New Roman" w:hAnsi="Times New Roman" w:cs="Times New Roman"/>
          <w:sz w:val="36"/>
          <w:szCs w:val="36"/>
        </w:rPr>
      </w:pPr>
      <w:r>
        <w:rPr>
          <w:rFonts w:ascii="Times New Roman" w:hAnsi="Times New Roman" w:cs="Times New Roman"/>
          <w:sz w:val="36"/>
          <w:szCs w:val="36"/>
        </w:rPr>
        <w:t>Les impacts sur le territoire, les cours d’eau, l’atmosphère, l’environnement marin</w:t>
      </w:r>
      <w:r>
        <w:rPr>
          <w:rStyle w:val="Appelnotedebasdep"/>
          <w:rFonts w:ascii="Times New Roman" w:hAnsi="Times New Roman" w:cs="Times New Roman"/>
          <w:sz w:val="36"/>
          <w:szCs w:val="36"/>
        </w:rPr>
        <w:footnoteReference w:id="17"/>
      </w:r>
      <w:r>
        <w:rPr>
          <w:rFonts w:ascii="Times New Roman" w:hAnsi="Times New Roman" w:cs="Times New Roman"/>
          <w:sz w:val="36"/>
          <w:szCs w:val="36"/>
        </w:rPr>
        <w:t xml:space="preserve">, sur la biosphère, la santé publique,  sont autant de sujets à traiter.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1B81DF16" w14:textId="0B055CC8" w:rsidR="00EF4186" w:rsidRPr="00EF4186" w:rsidRDefault="00EF4186" w:rsidP="0016300D">
      <w:pPr>
        <w:jc w:val="both"/>
        <w:rPr>
          <w:rFonts w:ascii="Times New Roman" w:hAnsi="Times New Roman" w:cs="Times New Roman"/>
          <w:b/>
          <w:bCs/>
          <w:i/>
          <w:iCs/>
          <w:sz w:val="36"/>
          <w:szCs w:val="36"/>
        </w:rPr>
      </w:pPr>
      <w:r>
        <w:rPr>
          <w:rFonts w:ascii="Times New Roman" w:hAnsi="Times New Roman" w:cs="Times New Roman"/>
          <w:sz w:val="36"/>
          <w:szCs w:val="36"/>
        </w:rPr>
        <w:t xml:space="preserve"> </w:t>
      </w:r>
      <w:r w:rsidRPr="00EF4186">
        <w:rPr>
          <w:rFonts w:ascii="Times New Roman" w:hAnsi="Times New Roman" w:cs="Times New Roman"/>
          <w:b/>
          <w:bCs/>
          <w:i/>
          <w:iCs/>
          <w:sz w:val="36"/>
          <w:szCs w:val="36"/>
        </w:rPr>
        <w:t>Montée d</w:t>
      </w:r>
      <w:r w:rsidR="00E80D5F">
        <w:rPr>
          <w:rFonts w:ascii="Times New Roman" w:hAnsi="Times New Roman" w:cs="Times New Roman"/>
          <w:b/>
          <w:bCs/>
          <w:i/>
          <w:iCs/>
          <w:sz w:val="36"/>
          <w:szCs w:val="36"/>
        </w:rPr>
        <w:t>u niombre d’</w:t>
      </w:r>
      <w:r w:rsidRPr="00EF4186">
        <w:rPr>
          <w:rFonts w:ascii="Times New Roman" w:hAnsi="Times New Roman" w:cs="Times New Roman"/>
          <w:b/>
          <w:bCs/>
          <w:i/>
          <w:iCs/>
          <w:sz w:val="36"/>
          <w:szCs w:val="36"/>
        </w:rPr>
        <w:t xml:space="preserve"> heures à prix négatifs sur la marché de l’électricité en Europe, illustration d’une in</w:t>
      </w:r>
      <w:r w:rsidR="00E80D5F">
        <w:rPr>
          <w:rFonts w:ascii="Times New Roman" w:hAnsi="Times New Roman" w:cs="Times New Roman"/>
          <w:b/>
          <w:bCs/>
          <w:i/>
          <w:iCs/>
          <w:sz w:val="36"/>
          <w:szCs w:val="36"/>
        </w:rPr>
        <w:t>ada</w:t>
      </w:r>
      <w:r w:rsidRPr="00EF4186">
        <w:rPr>
          <w:rFonts w:ascii="Times New Roman" w:hAnsi="Times New Roman" w:cs="Times New Roman"/>
          <w:b/>
          <w:bCs/>
          <w:i/>
          <w:iCs/>
          <w:sz w:val="36"/>
          <w:szCs w:val="36"/>
        </w:rPr>
        <w:t>ptattion</w:t>
      </w:r>
    </w:p>
    <w:p w14:paraId="30151135" w14:textId="00A42F79" w:rsidR="00EF4186" w:rsidRDefault="00EF4186" w:rsidP="0016300D">
      <w:pPr>
        <w:jc w:val="both"/>
        <w:rPr>
          <w:rFonts w:ascii="Times New Roman" w:hAnsi="Times New Roman" w:cs="Times New Roman"/>
          <w:sz w:val="36"/>
          <w:szCs w:val="36"/>
        </w:rPr>
      </w:pPr>
      <w:r>
        <w:rPr>
          <w:rFonts w:ascii="Times New Roman" w:hAnsi="Times New Roman" w:cs="Times New Roman"/>
          <w:sz w:val="36"/>
          <w:szCs w:val="36"/>
        </w:rPr>
        <w:t xml:space="preserve">Depuis </w:t>
      </w:r>
      <w:r w:rsidR="00332D30">
        <w:rPr>
          <w:rFonts w:ascii="Times New Roman" w:hAnsi="Times New Roman" w:cs="Times New Roman"/>
          <w:sz w:val="36"/>
          <w:szCs w:val="36"/>
        </w:rPr>
        <w:t>plus de dix ans</w:t>
      </w:r>
      <w:r w:rsidR="00332D30">
        <w:rPr>
          <w:rStyle w:val="Appelnotedebasdep"/>
          <w:rFonts w:ascii="Times New Roman" w:hAnsi="Times New Roman" w:cs="Times New Roman"/>
          <w:sz w:val="36"/>
          <w:szCs w:val="36"/>
        </w:rPr>
        <w:footnoteReference w:id="18"/>
      </w:r>
      <w:r>
        <w:rPr>
          <w:rFonts w:ascii="Times New Roman" w:hAnsi="Times New Roman" w:cs="Times New Roman"/>
          <w:sz w:val="36"/>
          <w:szCs w:val="36"/>
        </w:rPr>
        <w:t>, fleurissent de nombreuses situations de prix négatif sur le marché de l’électricité. Cette situation révèle un double gaspillage, incitation à consommer, ce qui est absurde dans une perspective d’efficacité énergétique, et une inadaptation des investissements au regard de la demande. Ces situation</w:t>
      </w:r>
      <w:r w:rsidR="00E84041">
        <w:rPr>
          <w:rFonts w:ascii="Times New Roman" w:hAnsi="Times New Roman" w:cs="Times New Roman"/>
          <w:sz w:val="36"/>
          <w:szCs w:val="36"/>
        </w:rPr>
        <w:t>s</w:t>
      </w:r>
      <w:r>
        <w:rPr>
          <w:rFonts w:ascii="Times New Roman" w:hAnsi="Times New Roman" w:cs="Times New Roman"/>
          <w:sz w:val="36"/>
          <w:szCs w:val="36"/>
        </w:rPr>
        <w:t xml:space="preserve"> peuvent être considérées comme des situations de pertes de marges sur l’éfficacité </w:t>
      </w:r>
      <w:r w:rsidR="00E84041">
        <w:rPr>
          <w:rFonts w:ascii="Times New Roman" w:hAnsi="Times New Roman" w:cs="Times New Roman"/>
          <w:sz w:val="36"/>
          <w:szCs w:val="36"/>
        </w:rPr>
        <w:t xml:space="preserve">et la sécurité </w:t>
      </w:r>
      <w:r>
        <w:rPr>
          <w:rFonts w:ascii="Times New Roman" w:hAnsi="Times New Roman" w:cs="Times New Roman"/>
          <w:sz w:val="36"/>
          <w:szCs w:val="36"/>
        </w:rPr>
        <w:t>du syst</w:t>
      </w:r>
      <w:r w:rsidR="00E84041">
        <w:rPr>
          <w:rFonts w:ascii="Times New Roman" w:hAnsi="Times New Roman" w:cs="Times New Roman"/>
          <w:sz w:val="36"/>
          <w:szCs w:val="36"/>
        </w:rPr>
        <w:t>è</w:t>
      </w:r>
      <w:r>
        <w:rPr>
          <w:rFonts w:ascii="Times New Roman" w:hAnsi="Times New Roman" w:cs="Times New Roman"/>
          <w:sz w:val="36"/>
          <w:szCs w:val="36"/>
        </w:rPr>
        <w:t>me électrique dans son ensemble</w:t>
      </w:r>
      <w:r w:rsidR="00E84041">
        <w:rPr>
          <w:rFonts w:ascii="Times New Roman" w:hAnsi="Times New Roman" w:cs="Times New Roman"/>
          <w:sz w:val="36"/>
          <w:szCs w:val="36"/>
        </w:rPr>
        <w:t xml:space="preserve">. Cette augmentation du nombre d’heures à prix négatif peut être corrélées avec une augmentation potentielle du risque de </w:t>
      </w:r>
      <w:r w:rsidR="00E84041" w:rsidRPr="00E84041">
        <w:rPr>
          <w:rFonts w:ascii="Times New Roman" w:hAnsi="Times New Roman" w:cs="Times New Roman"/>
          <w:i/>
          <w:iCs/>
          <w:sz w:val="36"/>
          <w:szCs w:val="36"/>
        </w:rPr>
        <w:t>black</w:t>
      </w:r>
      <w:r w:rsidR="00E84041">
        <w:rPr>
          <w:rFonts w:ascii="Times New Roman" w:hAnsi="Times New Roman" w:cs="Times New Roman"/>
          <w:i/>
          <w:iCs/>
          <w:sz w:val="36"/>
          <w:szCs w:val="36"/>
        </w:rPr>
        <w:t>-</w:t>
      </w:r>
      <w:r w:rsidR="00E84041" w:rsidRPr="00E84041">
        <w:rPr>
          <w:rFonts w:ascii="Times New Roman" w:hAnsi="Times New Roman" w:cs="Times New Roman"/>
          <w:i/>
          <w:iCs/>
          <w:sz w:val="36"/>
          <w:szCs w:val="36"/>
        </w:rPr>
        <w:t>out</w:t>
      </w:r>
      <w:r w:rsidR="00E84041">
        <w:rPr>
          <w:rFonts w:ascii="Times New Roman" w:hAnsi="Times New Roman" w:cs="Times New Roman"/>
          <w:sz w:val="36"/>
          <w:szCs w:val="36"/>
        </w:rPr>
        <w:t>, d</w:t>
      </w:r>
      <w:r w:rsidR="00332D30">
        <w:rPr>
          <w:rFonts w:ascii="Times New Roman" w:hAnsi="Times New Roman" w:cs="Times New Roman"/>
          <w:sz w:val="36"/>
          <w:szCs w:val="36"/>
        </w:rPr>
        <w:t>u risque d</w:t>
      </w:r>
      <w:r w:rsidR="00E84041">
        <w:rPr>
          <w:rFonts w:ascii="Times New Roman" w:hAnsi="Times New Roman" w:cs="Times New Roman"/>
          <w:sz w:val="36"/>
          <w:szCs w:val="36"/>
        </w:rPr>
        <w:t xml:space="preserve">e </w:t>
      </w:r>
      <w:r w:rsidR="00E84041">
        <w:rPr>
          <w:rFonts w:ascii="Times New Roman" w:hAnsi="Times New Roman" w:cs="Times New Roman"/>
          <w:sz w:val="36"/>
          <w:szCs w:val="36"/>
        </w:rPr>
        <w:lastRenderedPageBreak/>
        <w:t xml:space="preserve">perte généralisée du réseau sur l’ensemble de la plaque européenne. </w:t>
      </w:r>
    </w:p>
    <w:p w14:paraId="33565A00" w14:textId="4F71342E" w:rsidR="00FF57AA" w:rsidRDefault="00332D30" w:rsidP="00AE7889">
      <w:pPr>
        <w:jc w:val="both"/>
        <w:rPr>
          <w:rFonts w:ascii="Times New Roman" w:hAnsi="Times New Roman" w:cs="Times New Roman"/>
          <w:b/>
          <w:bCs/>
          <w:i/>
          <w:iCs/>
          <w:sz w:val="36"/>
          <w:szCs w:val="36"/>
        </w:rPr>
      </w:pPr>
      <w:r>
        <w:rPr>
          <w:rFonts w:ascii="Times New Roman" w:hAnsi="Times New Roman" w:cs="Times New Roman"/>
          <w:b/>
          <w:bCs/>
          <w:i/>
          <w:iCs/>
          <w:noProof/>
          <w:sz w:val="36"/>
          <w:szCs w:val="36"/>
        </w:rPr>
        <w:drawing>
          <wp:inline distT="0" distB="0" distL="0" distR="0" wp14:anchorId="44EBB0F0" wp14:editId="5538B749">
            <wp:extent cx="5760720" cy="2933700"/>
            <wp:effectExtent l="0" t="0" r="0" b="0"/>
            <wp:docPr id="10981633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63369" name="Image 1098163369"/>
                    <pic:cNvPicPr/>
                  </pic:nvPicPr>
                  <pic:blipFill>
                    <a:blip r:embed="rId17">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6A642771" w14:textId="50757DFE" w:rsidR="009D2A0C" w:rsidRDefault="009D2A0C" w:rsidP="00AE7889">
      <w:pPr>
        <w:jc w:val="both"/>
        <w:rPr>
          <w:rFonts w:ascii="Times New Roman" w:hAnsi="Times New Roman" w:cs="Times New Roman"/>
          <w:sz w:val="36"/>
          <w:szCs w:val="36"/>
        </w:rPr>
      </w:pPr>
      <w:r w:rsidRPr="009D2A0C">
        <w:rPr>
          <w:rFonts w:ascii="Times New Roman" w:hAnsi="Times New Roman" w:cs="Times New Roman"/>
          <w:sz w:val="36"/>
          <w:szCs w:val="36"/>
        </w:rPr>
        <w:t xml:space="preserve">Pour assurer </w:t>
      </w:r>
      <w:r w:rsidR="00F87963">
        <w:rPr>
          <w:rFonts w:ascii="Times New Roman" w:hAnsi="Times New Roman" w:cs="Times New Roman"/>
          <w:sz w:val="36"/>
          <w:szCs w:val="36"/>
        </w:rPr>
        <w:t xml:space="preserve">la sécurité d’approvisionnement, et donc </w:t>
      </w:r>
      <w:r w:rsidRPr="009D2A0C">
        <w:rPr>
          <w:rFonts w:ascii="Times New Roman" w:hAnsi="Times New Roman" w:cs="Times New Roman"/>
          <w:sz w:val="36"/>
          <w:szCs w:val="36"/>
        </w:rPr>
        <w:t>l’équilibre optimisé entre la demande et la production, l</w:t>
      </w:r>
      <w:r w:rsidR="00E80D5F">
        <w:rPr>
          <w:rFonts w:ascii="Times New Roman" w:hAnsi="Times New Roman" w:cs="Times New Roman"/>
          <w:sz w:val="36"/>
          <w:szCs w:val="36"/>
        </w:rPr>
        <w:t>a disponibilité de</w:t>
      </w:r>
      <w:r w:rsidRPr="009D2A0C">
        <w:rPr>
          <w:rFonts w:ascii="Times New Roman" w:hAnsi="Times New Roman" w:cs="Times New Roman"/>
          <w:sz w:val="36"/>
          <w:szCs w:val="36"/>
        </w:rPr>
        <w:t xml:space="preserve"> moyens pilotables, la </w:t>
      </w:r>
      <w:r>
        <w:rPr>
          <w:rFonts w:ascii="Times New Roman" w:hAnsi="Times New Roman" w:cs="Times New Roman"/>
          <w:sz w:val="36"/>
          <w:szCs w:val="36"/>
        </w:rPr>
        <w:t>« </w:t>
      </w:r>
      <w:r w:rsidRPr="009D2A0C">
        <w:rPr>
          <w:rFonts w:ascii="Times New Roman" w:hAnsi="Times New Roman" w:cs="Times New Roman"/>
          <w:sz w:val="36"/>
          <w:szCs w:val="36"/>
        </w:rPr>
        <w:t>flexibilité »</w:t>
      </w:r>
      <w:r>
        <w:rPr>
          <w:rFonts w:ascii="Times New Roman" w:hAnsi="Times New Roman" w:cs="Times New Roman"/>
          <w:sz w:val="36"/>
          <w:szCs w:val="36"/>
        </w:rPr>
        <w:t xml:space="preserve"> dans le système</w:t>
      </w:r>
      <w:r w:rsidRPr="009D2A0C">
        <w:rPr>
          <w:rFonts w:ascii="Times New Roman" w:hAnsi="Times New Roman" w:cs="Times New Roman"/>
          <w:sz w:val="36"/>
          <w:szCs w:val="36"/>
        </w:rPr>
        <w:t xml:space="preserve"> sont fondamentaux. </w:t>
      </w:r>
      <w:r w:rsidR="00F87963">
        <w:rPr>
          <w:rFonts w:ascii="Times New Roman" w:hAnsi="Times New Roman" w:cs="Times New Roman"/>
          <w:sz w:val="36"/>
          <w:szCs w:val="36"/>
        </w:rPr>
        <w:t>RTE souligne ce point dans ses études prospectives d’ici 2050</w:t>
      </w:r>
      <w:r w:rsidR="00F87963">
        <w:rPr>
          <w:rStyle w:val="Appelnotedebasdep"/>
          <w:rFonts w:ascii="Times New Roman" w:hAnsi="Times New Roman" w:cs="Times New Roman"/>
          <w:sz w:val="36"/>
          <w:szCs w:val="36"/>
        </w:rPr>
        <w:footnoteReference w:id="19"/>
      </w:r>
      <w:r w:rsidR="00F87963">
        <w:rPr>
          <w:rFonts w:ascii="Times New Roman" w:hAnsi="Times New Roman" w:cs="Times New Roman"/>
          <w:sz w:val="36"/>
          <w:szCs w:val="36"/>
        </w:rPr>
        <w:t xml:space="preserve">. </w:t>
      </w:r>
    </w:p>
    <w:p w14:paraId="48E59754" w14:textId="512EF6FF" w:rsidR="00F87963" w:rsidRPr="00A009D6" w:rsidRDefault="00F87963" w:rsidP="00F87963">
      <w:p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w:t>
      </w:r>
      <w:r w:rsidRPr="00F87963">
        <w:rPr>
          <w:rFonts w:ascii="Times New Roman" w:hAnsi="Times New Roman" w:cs="Times New Roman"/>
          <w:i/>
          <w:iCs/>
          <w:sz w:val="32"/>
          <w:szCs w:val="32"/>
        </w:rPr>
        <w:t xml:space="preserve">au-delà de 2030, les besoins de flexibilité pour la sécurité d’approvisionnement évoluent  fortement à la hausse dans presque tous les scénarios de l’étude, du fait de l’augmentation de la consommation et </w:t>
      </w:r>
      <w:r w:rsidRPr="00F87963">
        <w:rPr>
          <w:rFonts w:ascii="Times New Roman" w:hAnsi="Times New Roman" w:cs="Times New Roman"/>
          <w:b/>
          <w:bCs/>
          <w:i/>
          <w:iCs/>
          <w:sz w:val="32"/>
          <w:szCs w:val="32"/>
        </w:rPr>
        <w:t>de la réduction de la taille du parc pilotable dans la trajectoire de référence</w:t>
      </w:r>
      <w:r w:rsidRPr="00A009D6">
        <w:rPr>
          <w:rFonts w:ascii="Times New Roman" w:hAnsi="Times New Roman" w:cs="Times New Roman"/>
          <w:sz w:val="32"/>
          <w:szCs w:val="32"/>
        </w:rPr>
        <w:t>. »</w:t>
      </w:r>
    </w:p>
    <w:p w14:paraId="49D1C909"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r w:rsidRPr="00A009D6">
        <w:rPr>
          <w:rFonts w:ascii="Times New Roman" w:hAnsi="Times New Roman" w:cs="Times New Roman"/>
          <w:sz w:val="32"/>
          <w:szCs w:val="32"/>
        </w:rPr>
        <w:t>« </w:t>
      </w:r>
      <w:r w:rsidRPr="00F87963">
        <w:rPr>
          <w:rFonts w:ascii="Times New Roman" w:hAnsi="Times New Roman" w:cs="Times New Roman"/>
          <w:b/>
          <w:bCs/>
          <w:i/>
          <w:iCs/>
          <w:color w:val="000000"/>
          <w:sz w:val="32"/>
          <w:szCs w:val="32"/>
        </w:rPr>
        <w:t>À l’horizon 2050, les besoins totaux de nouvelles flexibilités sont importants dans tous les scénarios et se situent entre 28 GW et 68 GW.</w:t>
      </w:r>
    </w:p>
    <w:p w14:paraId="101A2860" w14:textId="77777777" w:rsidR="00F87963" w:rsidRPr="00F87963" w:rsidRDefault="00F87963" w:rsidP="00F87963">
      <w:pPr>
        <w:autoSpaceDE w:val="0"/>
        <w:autoSpaceDN w:val="0"/>
        <w:adjustRightInd w:val="0"/>
        <w:spacing w:after="0" w:line="240" w:lineRule="auto"/>
        <w:jc w:val="both"/>
        <w:rPr>
          <w:rFonts w:ascii="Times New Roman" w:hAnsi="Times New Roman" w:cs="Times New Roman"/>
          <w:b/>
          <w:bCs/>
          <w:i/>
          <w:iCs/>
          <w:color w:val="000000"/>
          <w:sz w:val="32"/>
          <w:szCs w:val="32"/>
        </w:rPr>
      </w:pPr>
    </w:p>
    <w:p w14:paraId="568BB700" w14:textId="77777777" w:rsidR="00F87963" w:rsidRDefault="00F87963" w:rsidP="00F87963">
      <w:pPr>
        <w:autoSpaceDE w:val="0"/>
        <w:autoSpaceDN w:val="0"/>
        <w:adjustRightInd w:val="0"/>
        <w:spacing w:after="0" w:line="240" w:lineRule="auto"/>
        <w:jc w:val="both"/>
      </w:pPr>
      <w:r w:rsidRPr="00F87963">
        <w:rPr>
          <w:rFonts w:ascii="Times New Roman" w:hAnsi="Times New Roman" w:cs="Times New Roman"/>
          <w:i/>
          <w:iCs/>
          <w:color w:val="000000"/>
          <w:sz w:val="32"/>
          <w:szCs w:val="32"/>
        </w:rPr>
        <w:t xml:space="preserve">Ces valeurs correspondent aux leviers de flexibilité supplémentaires à mobiliser en France ou à l’étranger via les capacités d’import, en </w:t>
      </w:r>
      <w:r w:rsidRPr="00F87963">
        <w:rPr>
          <w:rFonts w:ascii="Times New Roman" w:hAnsi="Times New Roman" w:cs="Times New Roman"/>
          <w:i/>
          <w:iCs/>
          <w:color w:val="000000"/>
          <w:sz w:val="32"/>
          <w:szCs w:val="32"/>
        </w:rPr>
        <w:lastRenderedPageBreak/>
        <w:t>complément des leviers actuels qui seront encore en service à cet horizon</w:t>
      </w:r>
      <w:r>
        <w:rPr>
          <w:rFonts w:ascii="Times New Roman" w:hAnsi="Times New Roman" w:cs="Times New Roman"/>
          <w:b/>
          <w:bCs/>
          <w:color w:val="6B8AA2"/>
          <w:sz w:val="32"/>
          <w:szCs w:val="32"/>
        </w:rPr>
        <w:t>. »</w:t>
      </w:r>
    </w:p>
    <w:p w14:paraId="74785F1B" w14:textId="77777777" w:rsidR="00F87963" w:rsidRPr="009D2A0C" w:rsidRDefault="00F87963" w:rsidP="00AE7889">
      <w:pPr>
        <w:jc w:val="both"/>
        <w:rPr>
          <w:rFonts w:ascii="Times New Roman" w:hAnsi="Times New Roman" w:cs="Times New Roman"/>
          <w:sz w:val="36"/>
          <w:szCs w:val="36"/>
        </w:rPr>
      </w:pPr>
    </w:p>
    <w:p w14:paraId="78FD9FDC" w14:textId="77777777" w:rsidR="009D2A0C" w:rsidRDefault="009D2A0C" w:rsidP="00AE7889">
      <w:pPr>
        <w:jc w:val="both"/>
        <w:rPr>
          <w:rFonts w:ascii="Times New Roman" w:hAnsi="Times New Roman" w:cs="Times New Roman"/>
          <w:b/>
          <w:bCs/>
          <w:i/>
          <w:iCs/>
          <w:sz w:val="36"/>
          <w:szCs w:val="36"/>
        </w:rPr>
      </w:pPr>
    </w:p>
    <w:p w14:paraId="00AC108D" w14:textId="1F4A1B14"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36C60565" w14:textId="064614E2"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en électricité </w:t>
      </w:r>
      <w:r w:rsidR="0096083E">
        <w:rPr>
          <w:rFonts w:ascii="Times New Roman" w:hAnsi="Times New Roman" w:cs="Times New Roman"/>
          <w:sz w:val="36"/>
          <w:szCs w:val="36"/>
        </w:rPr>
        <w:t xml:space="preserve">de l’ordre de 6 à </w:t>
      </w:r>
      <w:r>
        <w:rPr>
          <w:rFonts w:ascii="Times New Roman" w:hAnsi="Times New Roman" w:cs="Times New Roman"/>
          <w:sz w:val="36"/>
          <w:szCs w:val="36"/>
        </w:rPr>
        <w:t>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87963">
        <w:rPr>
          <w:rFonts w:ascii="Times New Roman" w:hAnsi="Times New Roman" w:cs="Times New Roman"/>
          <w:sz w:val="36"/>
          <w:szCs w:val="36"/>
        </w:rPr>
        <w:t xml:space="preserve">comparable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14g avec 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21"/>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5C8C3100"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lastRenderedPageBreak/>
        <w:t xml:space="preserve">Ainsi, nous obtenons sur </w:t>
      </w:r>
      <w:r w:rsidR="00D90DD0">
        <w:rPr>
          <w:rFonts w:ascii="Times New Roman" w:hAnsi="Times New Roman" w:cs="Times New Roman"/>
          <w:sz w:val="36"/>
          <w:szCs w:val="36"/>
        </w:rPr>
        <w:t xml:space="preserve"> les douze derniers mois</w:t>
      </w:r>
      <w:r w:rsidR="0096083E">
        <w:rPr>
          <w:rStyle w:val="Appelnotedebasdep"/>
          <w:rFonts w:ascii="Times New Roman" w:hAnsi="Times New Roman" w:cs="Times New Roman"/>
          <w:sz w:val="36"/>
          <w:szCs w:val="36"/>
        </w:rPr>
        <w:footnoteReference w:id="22"/>
      </w:r>
      <w:r w:rsidRPr="004D1EA7">
        <w:rPr>
          <w:rFonts w:ascii="Times New Roman" w:hAnsi="Times New Roman" w:cs="Times New Roman"/>
          <w:sz w:val="36"/>
          <w:szCs w:val="36"/>
        </w:rPr>
        <w:t xml:space="preserve">, un résultat de </w:t>
      </w:r>
      <w:r w:rsidR="00D90DD0">
        <w:rPr>
          <w:rFonts w:ascii="Times New Roman" w:hAnsi="Times New Roman" w:cs="Times New Roman"/>
          <w:sz w:val="36"/>
          <w:szCs w:val="36"/>
        </w:rPr>
        <w:t>47</w:t>
      </w:r>
      <w:r w:rsidRPr="004D1EA7">
        <w:rPr>
          <w:rFonts w:ascii="Times New Roman" w:hAnsi="Times New Roman" w:cs="Times New Roman"/>
          <w:sz w:val="36"/>
          <w:szCs w:val="36"/>
        </w:rPr>
        <w:t xml:space="preserve"> g CO2/kWh pour la France, </w:t>
      </w:r>
      <w:r w:rsidR="00D90DD0" w:rsidRPr="004D1EA7">
        <w:rPr>
          <w:rFonts w:ascii="Times New Roman" w:hAnsi="Times New Roman" w:cs="Times New Roman"/>
          <w:sz w:val="36"/>
          <w:szCs w:val="36"/>
        </w:rPr>
        <w:t>14</w:t>
      </w:r>
      <w:r w:rsidR="00D90DD0">
        <w:rPr>
          <w:rFonts w:ascii="Times New Roman" w:hAnsi="Times New Roman" w:cs="Times New Roman"/>
          <w:sz w:val="36"/>
          <w:szCs w:val="36"/>
        </w:rPr>
        <w:t>0</w:t>
      </w:r>
      <w:r w:rsidR="00D90DD0" w:rsidRPr="004D1EA7">
        <w:rPr>
          <w:rFonts w:ascii="Times New Roman" w:hAnsi="Times New Roman" w:cs="Times New Roman"/>
          <w:sz w:val="36"/>
          <w:szCs w:val="36"/>
        </w:rPr>
        <w:t xml:space="preserve"> pour l’Espagne, </w:t>
      </w:r>
      <w:r w:rsidRPr="004D1EA7">
        <w:rPr>
          <w:rFonts w:ascii="Times New Roman" w:hAnsi="Times New Roman" w:cs="Times New Roman"/>
          <w:sz w:val="36"/>
          <w:szCs w:val="36"/>
        </w:rPr>
        <w:t>de 1</w:t>
      </w:r>
      <w:r w:rsidR="00D90DD0">
        <w:rPr>
          <w:rFonts w:ascii="Times New Roman" w:hAnsi="Times New Roman" w:cs="Times New Roman"/>
          <w:sz w:val="36"/>
          <w:szCs w:val="36"/>
        </w:rPr>
        <w:t>54</w:t>
      </w:r>
      <w:r w:rsidRPr="004D1EA7">
        <w:rPr>
          <w:rFonts w:ascii="Times New Roman" w:hAnsi="Times New Roman" w:cs="Times New Roman"/>
          <w:sz w:val="36"/>
          <w:szCs w:val="36"/>
        </w:rPr>
        <w:t xml:space="preserve"> pour la Belgique, </w:t>
      </w:r>
      <w:r w:rsidR="00D90DD0">
        <w:rPr>
          <w:rFonts w:ascii="Times New Roman" w:hAnsi="Times New Roman" w:cs="Times New Roman"/>
          <w:sz w:val="36"/>
          <w:szCs w:val="36"/>
        </w:rPr>
        <w:t>237</w:t>
      </w:r>
      <w:r w:rsidRPr="004D1EA7">
        <w:rPr>
          <w:rFonts w:ascii="Times New Roman" w:hAnsi="Times New Roman" w:cs="Times New Roman"/>
          <w:sz w:val="36"/>
          <w:szCs w:val="36"/>
        </w:rPr>
        <w:t xml:space="preserve">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w:t>
      </w:r>
      <w:r w:rsidR="00D90DD0">
        <w:rPr>
          <w:rFonts w:ascii="Times New Roman" w:hAnsi="Times New Roman" w:cs="Times New Roman"/>
          <w:sz w:val="36"/>
          <w:szCs w:val="36"/>
        </w:rPr>
        <w:t xml:space="preserve">414 </w:t>
      </w:r>
      <w:r w:rsidRPr="004D1EA7">
        <w:rPr>
          <w:rFonts w:ascii="Times New Roman" w:hAnsi="Times New Roman" w:cs="Times New Roman"/>
          <w:sz w:val="36"/>
          <w:szCs w:val="36"/>
        </w:rPr>
        <w:t xml:space="preserve"> pour l</w:t>
      </w:r>
      <w:r w:rsidR="00D90DD0">
        <w:rPr>
          <w:rFonts w:ascii="Times New Roman" w:hAnsi="Times New Roman" w:cs="Times New Roman"/>
          <w:sz w:val="36"/>
          <w:szCs w:val="36"/>
        </w:rPr>
        <w:t>e Nord de l’</w:t>
      </w:r>
      <w:r w:rsidRPr="004D1EA7">
        <w:rPr>
          <w:rFonts w:ascii="Times New Roman" w:hAnsi="Times New Roman" w:cs="Times New Roman"/>
          <w:sz w:val="36"/>
          <w:szCs w:val="36"/>
        </w:rPr>
        <w:t xml:space="preserve">Italie, et </w:t>
      </w:r>
      <w:r w:rsidR="00D90DD0">
        <w:rPr>
          <w:rFonts w:ascii="Times New Roman" w:hAnsi="Times New Roman" w:cs="Times New Roman"/>
          <w:sz w:val="36"/>
          <w:szCs w:val="36"/>
        </w:rPr>
        <w:t>419</w:t>
      </w:r>
      <w:r w:rsidRPr="004D1EA7">
        <w:rPr>
          <w:rFonts w:ascii="Times New Roman" w:hAnsi="Times New Roman" w:cs="Times New Roman"/>
          <w:sz w:val="36"/>
          <w:szCs w:val="36"/>
        </w:rPr>
        <w:t xml:space="preserve">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418BAEDB"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23"/>
      </w:r>
      <w:r w:rsidRPr="004D1EA7">
        <w:rPr>
          <w:rFonts w:ascii="Times New Roman" w:eastAsia="Times New Roman" w:hAnsi="Times New Roman" w:cs="Times New Roman"/>
          <w:sz w:val="36"/>
          <w:szCs w:val="36"/>
          <w:lang w:eastAsia="fr-FR"/>
        </w:rPr>
        <w:t xml:space="preserve"> à 28 642 TWh, en progression de </w:t>
      </w:r>
      <w:r w:rsidR="00635813">
        <w:rPr>
          <w:rFonts w:ascii="Times New Roman" w:eastAsia="Times New Roman" w:hAnsi="Times New Roman" w:cs="Times New Roman"/>
          <w:sz w:val="36"/>
          <w:szCs w:val="36"/>
          <w:lang w:eastAsia="fr-FR"/>
        </w:rPr>
        <w:t>2,5</w:t>
      </w:r>
      <w:r w:rsidRPr="004D1EA7">
        <w:rPr>
          <w:rFonts w:ascii="Times New Roman" w:eastAsia="Times New Roman" w:hAnsi="Times New Roman" w:cs="Times New Roman"/>
          <w:sz w:val="36"/>
          <w:szCs w:val="36"/>
          <w:lang w:eastAsia="fr-FR"/>
        </w:rPr>
        <w:t xml:space="preserve">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r w:rsidR="008F3558">
        <w:rPr>
          <w:rFonts w:ascii="Times New Roman" w:eastAsia="Times New Roman" w:hAnsi="Times New Roman" w:cs="Times New Roman"/>
          <w:sz w:val="36"/>
          <w:szCs w:val="36"/>
          <w:lang w:eastAsia="fr-FR"/>
        </w:rPr>
        <w:t xml:space="preserve">Le volume total en 2023 </w:t>
      </w:r>
      <w:r w:rsidR="00635813">
        <w:rPr>
          <w:rFonts w:ascii="Times New Roman" w:eastAsia="Times New Roman" w:hAnsi="Times New Roman" w:cs="Times New Roman"/>
          <w:sz w:val="36"/>
          <w:szCs w:val="36"/>
          <w:lang w:eastAsia="fr-FR"/>
        </w:rPr>
        <w:t>s</w:t>
      </w:r>
      <w:r w:rsidR="008F3558">
        <w:rPr>
          <w:rFonts w:ascii="Times New Roman" w:eastAsia="Times New Roman" w:hAnsi="Times New Roman" w:cs="Times New Roman"/>
          <w:sz w:val="36"/>
          <w:szCs w:val="36"/>
          <w:lang w:eastAsia="fr-FR"/>
        </w:rPr>
        <w:t>’est élevé</w:t>
      </w:r>
      <w:r w:rsidR="008F3558">
        <w:rPr>
          <w:rStyle w:val="Appelnotedebasdep"/>
          <w:rFonts w:ascii="Times New Roman" w:eastAsia="Times New Roman" w:hAnsi="Times New Roman" w:cs="Times New Roman"/>
          <w:sz w:val="36"/>
          <w:szCs w:val="36"/>
          <w:lang w:eastAsia="fr-FR"/>
        </w:rPr>
        <w:footnoteReference w:id="24"/>
      </w:r>
      <w:r w:rsidR="008F3558">
        <w:rPr>
          <w:rFonts w:ascii="Times New Roman" w:eastAsia="Times New Roman" w:hAnsi="Times New Roman" w:cs="Times New Roman"/>
          <w:sz w:val="36"/>
          <w:szCs w:val="36"/>
          <w:lang w:eastAsia="fr-FR"/>
        </w:rPr>
        <w:t xml:space="preserve"> à </w:t>
      </w:r>
      <w:r w:rsidR="00635813">
        <w:rPr>
          <w:rFonts w:ascii="Times New Roman" w:eastAsia="Times New Roman" w:hAnsi="Times New Roman" w:cs="Times New Roman"/>
          <w:sz w:val="36"/>
          <w:szCs w:val="36"/>
          <w:lang w:eastAsia="fr-FR"/>
        </w:rPr>
        <w:t xml:space="preserve">29 734 TWh, en progression de 2,1% par rapport à 2022. </w:t>
      </w:r>
    </w:p>
    <w:p w14:paraId="26D1CCAA" w14:textId="1A4EC0C4" w:rsidR="002E6643" w:rsidRDefault="002E6643" w:rsidP="002E6643">
      <w:pPr>
        <w:jc w:val="both"/>
        <w:rPr>
          <w:rFonts w:ascii="Times New Roman" w:hAnsi="Times New Roman" w:cs="Times New Roman"/>
          <w:b/>
          <w:bCs/>
          <w:sz w:val="36"/>
          <w:szCs w:val="36"/>
        </w:rPr>
      </w:pPr>
      <w:r>
        <w:rPr>
          <w:rFonts w:ascii="Times New Roman" w:hAnsi="Times New Roman" w:cs="Times New Roman"/>
          <w:sz w:val="36"/>
          <w:szCs w:val="36"/>
        </w:rPr>
        <w:t xml:space="preserve">La production d’électricité dans le monde, c’est </w:t>
      </w:r>
      <w:r w:rsidRPr="00D90DD0">
        <w:rPr>
          <w:rFonts w:ascii="Times New Roman" w:hAnsi="Times New Roman" w:cs="Times New Roman"/>
          <w:b/>
          <w:bCs/>
          <w:sz w:val="36"/>
          <w:szCs w:val="36"/>
        </w:rPr>
        <w:t>6</w:t>
      </w:r>
      <w:r w:rsidR="00635813">
        <w:rPr>
          <w:rFonts w:ascii="Times New Roman" w:hAnsi="Times New Roman" w:cs="Times New Roman"/>
          <w:b/>
          <w:bCs/>
          <w:sz w:val="36"/>
          <w:szCs w:val="36"/>
        </w:rPr>
        <w:t>0</w:t>
      </w:r>
      <w:r w:rsidRPr="00D90DD0">
        <w:rPr>
          <w:rFonts w:ascii="Times New Roman" w:hAnsi="Times New Roman" w:cs="Times New Roman"/>
          <w:b/>
          <w:bCs/>
          <w:sz w:val="36"/>
          <w:szCs w:val="36"/>
        </w:rPr>
        <w:t>% à partir des énergies fossiles</w:t>
      </w:r>
      <w:r w:rsidR="00635813">
        <w:rPr>
          <w:rFonts w:ascii="Times New Roman" w:hAnsi="Times New Roman" w:cs="Times New Roman"/>
          <w:b/>
          <w:bCs/>
          <w:sz w:val="36"/>
          <w:szCs w:val="36"/>
        </w:rPr>
        <w:t>,</w:t>
      </w:r>
      <w:r w:rsidRPr="00D90DD0">
        <w:rPr>
          <w:rFonts w:ascii="Times New Roman" w:hAnsi="Times New Roman" w:cs="Times New Roman"/>
          <w:b/>
          <w:bCs/>
          <w:sz w:val="36"/>
          <w:szCs w:val="36"/>
        </w:rPr>
        <w:t xml:space="preserve"> : </w:t>
      </w:r>
    </w:p>
    <w:p w14:paraId="233311B3" w14:textId="5D4B162E"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36 % avec le </w:t>
      </w:r>
      <w:r w:rsidRPr="00D90DD0">
        <w:rPr>
          <w:b/>
          <w:bCs/>
          <w:sz w:val="36"/>
          <w:szCs w:val="36"/>
        </w:rPr>
        <w:t>charbon</w:t>
      </w:r>
      <w:r w:rsidRPr="004D1EA7">
        <w:rPr>
          <w:sz w:val="36"/>
          <w:szCs w:val="36"/>
        </w:rPr>
        <w:t xml:space="preserve">, en progression </w:t>
      </w:r>
      <w:r w:rsidR="00AF725D" w:rsidRPr="004D1EA7">
        <w:rPr>
          <w:sz w:val="36"/>
          <w:szCs w:val="36"/>
        </w:rPr>
        <w:t xml:space="preserve">entre 2021 et 2022 </w:t>
      </w:r>
      <w:r w:rsidRPr="004D1EA7">
        <w:rPr>
          <w:sz w:val="36"/>
          <w:szCs w:val="36"/>
        </w:rPr>
        <w:t xml:space="preserve">de +1,5 % avec 10 325 TWh, </w:t>
      </w:r>
      <w:r w:rsidR="00A516FA">
        <w:rPr>
          <w:sz w:val="36"/>
          <w:szCs w:val="36"/>
        </w:rPr>
        <w:t xml:space="preserve">et </w:t>
      </w:r>
      <w:r w:rsidR="00A516FA" w:rsidRPr="00D90DD0">
        <w:rPr>
          <w:b/>
          <w:bCs/>
          <w:sz w:val="36"/>
          <w:szCs w:val="36"/>
        </w:rPr>
        <w:t>une augmentation de +1,6 % en 2023</w:t>
      </w:r>
      <w:r w:rsidR="00A516FA">
        <w:rPr>
          <w:sz w:val="36"/>
          <w:szCs w:val="36"/>
        </w:rPr>
        <w:t xml:space="preserve"> avec un total de 10 613Twh</w:t>
      </w:r>
    </w:p>
    <w:p w14:paraId="793ACF86" w14:textId="2CD75E58"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23 % par le </w:t>
      </w:r>
      <w:r w:rsidRPr="00D90DD0">
        <w:rPr>
          <w:b/>
          <w:bCs/>
          <w:sz w:val="36"/>
          <w:szCs w:val="36"/>
        </w:rPr>
        <w:t>gaz</w:t>
      </w:r>
      <w:r w:rsidRPr="004D1EA7">
        <w:rPr>
          <w:sz w:val="36"/>
          <w:szCs w:val="36"/>
        </w:rPr>
        <w:t xml:space="preserve">, également en progression </w:t>
      </w:r>
      <w:r w:rsidR="00AF725D" w:rsidRPr="004D1EA7">
        <w:rPr>
          <w:sz w:val="36"/>
          <w:szCs w:val="36"/>
        </w:rPr>
        <w:t xml:space="preserve">entre 2021 et 2022 </w:t>
      </w:r>
      <w:r w:rsidRPr="004D1EA7">
        <w:rPr>
          <w:sz w:val="36"/>
          <w:szCs w:val="36"/>
        </w:rPr>
        <w:t>de 0,2% avec 6500 TWh</w:t>
      </w:r>
      <w:r w:rsidR="00A516FA">
        <w:rPr>
          <w:sz w:val="36"/>
          <w:szCs w:val="36"/>
        </w:rPr>
        <w:t xml:space="preserve">, et </w:t>
      </w:r>
      <w:r w:rsidR="00A516FA" w:rsidRPr="00D90DD0">
        <w:rPr>
          <w:b/>
          <w:bCs/>
          <w:sz w:val="36"/>
          <w:szCs w:val="36"/>
        </w:rPr>
        <w:t>une augmentation de +0,5 % en 2023</w:t>
      </w:r>
      <w:r w:rsidR="00A516FA">
        <w:rPr>
          <w:sz w:val="36"/>
          <w:szCs w:val="36"/>
        </w:rPr>
        <w:t xml:space="preserve"> pour un total de 6639 TWh</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3E10B419"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r w:rsidR="00A516FA">
        <w:rPr>
          <w:rFonts w:ascii="Times New Roman" w:eastAsia="Times New Roman" w:hAnsi="Times New Roman" w:cs="Times New Roman"/>
          <w:sz w:val="36"/>
          <w:szCs w:val="36"/>
          <w:lang w:eastAsia="fr-FR"/>
        </w:rPr>
        <w:t>En 2023, le nucléaire a repris une croissance de + 2,7 % avec un total de 2741 TWh</w:t>
      </w:r>
      <w:r w:rsidR="004E3798">
        <w:rPr>
          <w:rFonts w:ascii="Times New Roman" w:eastAsia="Times New Roman" w:hAnsi="Times New Roman" w:cs="Times New Roman"/>
          <w:sz w:val="36"/>
          <w:szCs w:val="36"/>
          <w:lang w:eastAsia="fr-FR"/>
        </w:rPr>
        <w:t xml:space="preserve">, représentant 9,2%. </w:t>
      </w:r>
    </w:p>
    <w:p w14:paraId="615FB0F4" w14:textId="4CEBF5C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004E3798">
        <w:rPr>
          <w:rFonts w:ascii="Times New Roman" w:eastAsia="Times New Roman" w:hAnsi="Times New Roman" w:cs="Times New Roman"/>
          <w:sz w:val="36"/>
          <w:szCs w:val="36"/>
          <w:lang w:eastAsia="fr-FR"/>
        </w:rPr>
        <w:t>7,8</w:t>
      </w:r>
      <w:r w:rsidRPr="004D1EA7">
        <w:rPr>
          <w:rFonts w:ascii="Times New Roman" w:eastAsia="Times New Roman" w:hAnsi="Times New Roman" w:cs="Times New Roman"/>
          <w:sz w:val="36"/>
          <w:szCs w:val="36"/>
          <w:lang w:eastAsia="fr-FR"/>
        </w:rPr>
        <w:t xml:space="preserve"> % pour représenter 29 % de la production mondiale avec 8</w:t>
      </w:r>
      <w:r w:rsidR="004E3798">
        <w:rPr>
          <w:rFonts w:ascii="Times New Roman" w:eastAsia="Times New Roman" w:hAnsi="Times New Roman" w:cs="Times New Roman"/>
          <w:sz w:val="36"/>
          <w:szCs w:val="36"/>
          <w:lang w:eastAsia="fr-FR"/>
        </w:rPr>
        <w:t>5</w:t>
      </w:r>
      <w:r w:rsidRPr="004D1EA7">
        <w:rPr>
          <w:rFonts w:ascii="Times New Roman" w:eastAsia="Times New Roman" w:hAnsi="Times New Roman" w:cs="Times New Roman"/>
          <w:sz w:val="36"/>
          <w:szCs w:val="36"/>
          <w:lang w:eastAsia="fr-FR"/>
        </w:rPr>
        <w:t xml:space="preserve">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r w:rsidR="004E3798">
        <w:rPr>
          <w:rFonts w:ascii="Times New Roman" w:eastAsia="Times New Roman" w:hAnsi="Times New Roman" w:cs="Times New Roman"/>
          <w:sz w:val="36"/>
          <w:szCs w:val="36"/>
          <w:lang w:eastAsia="fr-FR"/>
        </w:rPr>
        <w:t xml:space="preserve">En 2023, les énergies renouvelables ont progressé de 4,8 % pour représenter 30,1% de la production mondiale avec 8959 TWh, toujours inférieure à celle avec le charbon.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lastRenderedPageBreak/>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réponse  en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8"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9">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lastRenderedPageBreak/>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r w:rsidRPr="001301BE">
        <w:rPr>
          <w:rFonts w:ascii="Times New Roman" w:hAnsi="Times New Roman" w:cs="Times New Roman"/>
          <w:b/>
          <w:bCs/>
          <w:i/>
          <w:iCs/>
          <w:sz w:val="36"/>
          <w:szCs w:val="36"/>
        </w:rPr>
        <w:t xml:space="preserve">les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xml:space="preserve">.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w:t>
      </w:r>
      <w:r w:rsidRPr="001B67C8">
        <w:rPr>
          <w:rFonts w:ascii="Times New Roman" w:hAnsi="Times New Roman" w:cs="Times New Roman"/>
          <w:sz w:val="36"/>
          <w:szCs w:val="36"/>
        </w:rPr>
        <w:lastRenderedPageBreak/>
        <w:t>conséquence de bien prendre en compte les coûts complets du dispositif.</w:t>
      </w:r>
      <w:r>
        <w:rPr>
          <w:rFonts w:ascii="Times New Roman" w:hAnsi="Times New Roman" w:cs="Times New Roman"/>
          <w:sz w:val="36"/>
          <w:szCs w:val="36"/>
        </w:rPr>
        <w:t xml:space="preserve"> </w:t>
      </w:r>
    </w:p>
    <w:p w14:paraId="588B79B1" w14:textId="160128ED"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avec un 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xml:space="preserve">. La production maximale éolienne </w:t>
      </w:r>
      <w:r w:rsidR="006F722A">
        <w:rPr>
          <w:rFonts w:ascii="Times New Roman" w:hAnsi="Times New Roman" w:cs="Times New Roman"/>
          <w:sz w:val="36"/>
          <w:szCs w:val="36"/>
        </w:rPr>
        <w:t xml:space="preserve">jusqu’à fin 2023 </w:t>
      </w:r>
      <w:r w:rsidRPr="001B67C8">
        <w:rPr>
          <w:rFonts w:ascii="Times New Roman" w:hAnsi="Times New Roman" w:cs="Times New Roman"/>
          <w:sz w:val="36"/>
          <w:szCs w:val="36"/>
        </w:rPr>
        <w:t>a été de 39,6 TWh en 2020</w:t>
      </w:r>
      <w:r w:rsidRPr="001B67C8">
        <w:rPr>
          <w:rStyle w:val="Appelnotedebasdep"/>
          <w:rFonts w:ascii="Times New Roman" w:hAnsi="Times New Roman" w:cs="Times New Roman"/>
          <w:sz w:val="36"/>
          <w:szCs w:val="36"/>
        </w:rPr>
        <w:footnoteReference w:id="25"/>
      </w:r>
      <w:r w:rsidRPr="001B67C8">
        <w:rPr>
          <w:rFonts w:ascii="Times New Roman" w:hAnsi="Times New Roman" w:cs="Times New Roman"/>
          <w:sz w:val="36"/>
          <w:szCs w:val="36"/>
        </w:rPr>
        <w:t xml:space="preserve">. </w:t>
      </w:r>
      <w:r w:rsidR="006F722A">
        <w:rPr>
          <w:rFonts w:ascii="Times New Roman" w:hAnsi="Times New Roman" w:cs="Times New Roman"/>
          <w:sz w:val="36"/>
          <w:szCs w:val="36"/>
        </w:rPr>
        <w:t>La production éolienne en 2023 a été de 47 TWh</w:t>
      </w:r>
      <w:r w:rsidR="006F722A">
        <w:rPr>
          <w:rStyle w:val="Appelnotedebasdep"/>
          <w:rFonts w:ascii="Times New Roman" w:hAnsi="Times New Roman" w:cs="Times New Roman"/>
          <w:sz w:val="36"/>
          <w:szCs w:val="36"/>
        </w:rPr>
        <w:footnoteReference w:id="26"/>
      </w:r>
      <w:r w:rsidR="006F722A">
        <w:rPr>
          <w:rFonts w:ascii="Times New Roman" w:hAnsi="Times New Roman" w:cs="Times New Roman"/>
          <w:sz w:val="36"/>
          <w:szCs w:val="36"/>
        </w:rPr>
        <w:t xml:space="preserve">, soit 10 % de la production française. </w:t>
      </w:r>
    </w:p>
    <w:p w14:paraId="79C84EC5" w14:textId="0B71E00F"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r w:rsidR="006F722A">
        <w:rPr>
          <w:rFonts w:ascii="Times New Roman" w:hAnsi="Times New Roman" w:cs="Times New Roman"/>
          <w:sz w:val="36"/>
          <w:szCs w:val="36"/>
        </w:rPr>
        <w:t>La production solaire a été en 2023 de 21 TWh</w:t>
      </w:r>
      <w:r w:rsidR="006F722A">
        <w:rPr>
          <w:rStyle w:val="Appelnotedebasdep"/>
          <w:rFonts w:ascii="Times New Roman" w:hAnsi="Times New Roman" w:cs="Times New Roman"/>
          <w:sz w:val="36"/>
          <w:szCs w:val="36"/>
        </w:rPr>
        <w:footnoteReference w:id="27"/>
      </w:r>
      <w:r w:rsidR="006F722A">
        <w:rPr>
          <w:rFonts w:ascii="Times New Roman" w:hAnsi="Times New Roman" w:cs="Times New Roman"/>
          <w:sz w:val="36"/>
          <w:szCs w:val="36"/>
        </w:rPr>
        <w:t xml:space="preserve">, soit 6 % de la production française.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28"/>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xml:space="preserve">, en </w:t>
      </w:r>
      <w:r>
        <w:rPr>
          <w:rFonts w:ascii="Times New Roman" w:hAnsi="Times New Roman" w:cs="Times New Roman"/>
          <w:sz w:val="36"/>
          <w:szCs w:val="36"/>
        </w:rPr>
        <w:lastRenderedPageBreak/>
        <w:t>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20"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29"/>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r w:rsidR="00105EBE" w:rsidRPr="00C05AE1">
        <w:rPr>
          <w:rFonts w:ascii="Times New Roman" w:hAnsi="Times New Roman" w:cs="Times New Roman"/>
          <w:i/>
          <w:iCs/>
          <w:sz w:val="36"/>
          <w:szCs w:val="36"/>
        </w:rPr>
        <w:t>off shore</w:t>
      </w:r>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30"/>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w:t>
      </w:r>
      <w:r w:rsidR="00695ABC" w:rsidRPr="00267EC0">
        <w:rPr>
          <w:rFonts w:ascii="Times New Roman" w:hAnsi="Times New Roman" w:cs="Times New Roman"/>
          <w:sz w:val="36"/>
          <w:szCs w:val="36"/>
        </w:rPr>
        <w:lastRenderedPageBreak/>
        <w:t xml:space="preserve">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cotière et artisanale, </w:t>
      </w:r>
      <w:r w:rsidR="00695ABC" w:rsidRPr="00267EC0">
        <w:rPr>
          <w:rFonts w:ascii="Times New Roman" w:hAnsi="Times New Roman" w:cs="Times New Roman"/>
          <w:sz w:val="36"/>
          <w:szCs w:val="36"/>
        </w:rPr>
        <w:t>de ces 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21">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31"/>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2B71CAB" w14:textId="77777777" w:rsidR="00402934" w:rsidRDefault="005441C4" w:rsidP="00AE7889">
      <w:pPr>
        <w:jc w:val="both"/>
        <w:rPr>
          <w:rFonts w:ascii="Times New Roman" w:hAnsi="Times New Roman" w:cs="Times New Roman"/>
          <w:sz w:val="36"/>
          <w:szCs w:val="36"/>
        </w:rPr>
      </w:pPr>
      <w:r w:rsidRPr="00267EC0">
        <w:rPr>
          <w:rFonts w:ascii="Times New Roman" w:hAnsi="Times New Roman" w:cs="Times New Roman"/>
          <w:sz w:val="36"/>
          <w:szCs w:val="36"/>
        </w:rPr>
        <w:lastRenderedPageBreak/>
        <w:t>Le volume d’investissements envisagé demeure particulièrement important.</w:t>
      </w:r>
      <w:r w:rsidR="00F77F71" w:rsidRPr="00267EC0">
        <w:rPr>
          <w:rFonts w:ascii="Times New Roman" w:hAnsi="Times New Roman" w:cs="Times New Roman"/>
          <w:sz w:val="36"/>
          <w:szCs w:val="36"/>
        </w:rPr>
        <w:t xml:space="preserve">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2"/>
      </w:r>
      <w:r w:rsidR="00854B09">
        <w:rPr>
          <w:rFonts w:ascii="Times New Roman" w:hAnsi="Times New Roman" w:cs="Times New Roman"/>
          <w:sz w:val="36"/>
          <w:szCs w:val="36"/>
        </w:rPr>
        <w:t xml:space="preserve">. </w:t>
      </w:r>
    </w:p>
    <w:p w14:paraId="662AC928" w14:textId="6DC8AAC7" w:rsidR="009D0863" w:rsidRDefault="009D0863" w:rsidP="00AE7889">
      <w:pPr>
        <w:jc w:val="both"/>
        <w:rPr>
          <w:rFonts w:ascii="Times New Roman" w:hAnsi="Times New Roman" w:cs="Times New Roman"/>
          <w:sz w:val="36"/>
          <w:szCs w:val="36"/>
        </w:rPr>
      </w:pPr>
      <w:r>
        <w:rPr>
          <w:rFonts w:ascii="Times New Roman" w:hAnsi="Times New Roman" w:cs="Times New Roman"/>
          <w:sz w:val="36"/>
          <w:szCs w:val="36"/>
        </w:rPr>
        <w:t xml:space="preserve">Pour la </w:t>
      </w:r>
      <w:r w:rsidR="00402934">
        <w:rPr>
          <w:rFonts w:ascii="Times New Roman" w:hAnsi="Times New Roman" w:cs="Times New Roman"/>
          <w:sz w:val="36"/>
          <w:szCs w:val="36"/>
        </w:rPr>
        <w:t xml:space="preserve">capacité installée de </w:t>
      </w:r>
      <w:r>
        <w:rPr>
          <w:rFonts w:ascii="Times New Roman" w:hAnsi="Times New Roman" w:cs="Times New Roman"/>
          <w:sz w:val="36"/>
          <w:szCs w:val="36"/>
        </w:rPr>
        <w:t>production d’électricité en France, au premier octobre 2023, le solaire représente 12 % avec 17 620 MW, l’éolien 16 % avec 23059 MW, l’hydraulique, sur laquelle nous revenons plus loin, 17% avec 25 464 GW et la bio énergie 2225 MW avec 2%, soit un total de capacité de production renouvelable de 68 368 MW, soit 47 % de la capacité de production d’électricité en France.</w:t>
      </w:r>
    </w:p>
    <w:p w14:paraId="7449D056" w14:textId="2A282D02" w:rsidR="00854B09" w:rsidRDefault="00F77F71" w:rsidP="00AE7889">
      <w:pPr>
        <w:jc w:val="both"/>
        <w:rPr>
          <w:rFonts w:ascii="Times New Roman" w:hAnsi="Times New Roman" w:cs="Times New Roman"/>
          <w:sz w:val="36"/>
          <w:szCs w:val="36"/>
        </w:rPr>
      </w:pPr>
      <w:r w:rsidRPr="00267EC0">
        <w:rPr>
          <w:rFonts w:ascii="Times New Roman" w:hAnsi="Times New Roman" w:cs="Times New Roman"/>
          <w:sz w:val="36"/>
          <w:szCs w:val="36"/>
        </w:rPr>
        <w:t>La Commission européenne a publié</w:t>
      </w:r>
      <w:r w:rsidR="00B1773E" w:rsidRPr="00267EC0">
        <w:rPr>
          <w:rStyle w:val="markedcontent"/>
          <w:rFonts w:ascii="Arial" w:hAnsi="Arial" w:cs="Arial"/>
        </w:rPr>
        <w:t xml:space="preserve"> </w:t>
      </w:r>
      <w:r w:rsidRPr="00267EC0">
        <w:rPr>
          <w:rFonts w:ascii="Times New Roman" w:hAnsi="Times New Roman" w:cs="Times New Roman"/>
          <w:sz w:val="36"/>
          <w:szCs w:val="36"/>
        </w:rPr>
        <w:t>le 19 novembre 2020</w:t>
      </w:r>
      <w:r w:rsidRPr="00267EC0">
        <w:rPr>
          <w:rStyle w:val="Appelnotedebasdep"/>
          <w:rFonts w:ascii="Times New Roman" w:hAnsi="Times New Roman" w:cs="Times New Roman"/>
          <w:sz w:val="36"/>
          <w:szCs w:val="36"/>
        </w:rPr>
        <w:footnoteReference w:id="33"/>
      </w:r>
      <w:r w:rsidR="00B1773E" w:rsidRPr="00267EC0">
        <w:rPr>
          <w:rFonts w:ascii="Times New Roman" w:hAnsi="Times New Roman" w:cs="Times New Roman"/>
          <w:sz w:val="36"/>
          <w:szCs w:val="36"/>
        </w:rPr>
        <w:t xml:space="preserve"> une stratégie pour exploiter le potentiel des énergies renouvelables en mer en vue d'un avenir neutre pour le climat. </w:t>
      </w:r>
      <w:r w:rsidR="00854B09">
        <w:rPr>
          <w:rFonts w:ascii="Times New Roman" w:hAnsi="Times New Roman" w:cs="Times New Roman"/>
          <w:sz w:val="36"/>
          <w:szCs w:val="36"/>
        </w:rPr>
        <w:t>La cible de capacité d’énergies renouvelables dans le pacte vert de l’Union Européenne est de 45 %</w:t>
      </w:r>
      <w:r w:rsidR="00854B09">
        <w:rPr>
          <w:rStyle w:val="Appelnotedebasdep"/>
          <w:rFonts w:ascii="Times New Roman" w:hAnsi="Times New Roman" w:cs="Times New Roman"/>
          <w:sz w:val="36"/>
          <w:szCs w:val="36"/>
        </w:rPr>
        <w:footnoteReference w:id="34"/>
      </w:r>
      <w:r w:rsidR="00402934">
        <w:rPr>
          <w:rFonts w:ascii="Times New Roman" w:hAnsi="Times New Roman" w:cs="Times New Roman"/>
          <w:sz w:val="36"/>
          <w:szCs w:val="36"/>
        </w:rPr>
        <w:t xml:space="preserve">, ce que respecte d’ores et déjà la France. </w:t>
      </w:r>
    </w:p>
    <w:p w14:paraId="1C6EBDB6" w14:textId="57806905" w:rsidR="00483998" w:rsidRDefault="00F77F71"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En 2020, la capacité installée d'éolien en mer était estimée dans l'UE-27 à 12 GW.</w:t>
      </w:r>
      <w:r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35"/>
      </w:r>
      <w:r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Pr="00F77F71">
        <w:rPr>
          <w:rFonts w:ascii="Times New Roman" w:hAnsi="Times New Roman" w:cs="Times New Roman"/>
          <w:sz w:val="36"/>
          <w:szCs w:val="36"/>
        </w:rPr>
        <w:t>L’investissement total nécessaire est estimé à 800 milliards d’euros</w:t>
      </w:r>
      <w:r>
        <w:rPr>
          <w:rStyle w:val="Appelnotedebasdep"/>
        </w:rPr>
        <w:footnoteReference w:id="36"/>
      </w:r>
      <w:r w:rsidR="004942D2">
        <w:rPr>
          <w:rFonts w:ascii="Times New Roman" w:hAnsi="Times New Roman" w:cs="Times New Roman"/>
          <w:sz w:val="36"/>
          <w:szCs w:val="36"/>
        </w:rPr>
        <w:t xml:space="preserve"> </w:t>
      </w:r>
      <w:r w:rsidR="00811DEF">
        <w:rPr>
          <w:rFonts w:ascii="Times New Roman" w:hAnsi="Times New Roman" w:cs="Times New Roman"/>
          <w:sz w:val="36"/>
          <w:szCs w:val="36"/>
        </w:rPr>
        <w:t xml:space="preserve">sans compter </w:t>
      </w:r>
      <w:r w:rsidR="00811DEF">
        <w:rPr>
          <w:rFonts w:ascii="Times New Roman" w:hAnsi="Times New Roman" w:cs="Times New Roman"/>
          <w:sz w:val="36"/>
          <w:szCs w:val="36"/>
        </w:rPr>
        <w:lastRenderedPageBreak/>
        <w:t>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5E19F9DC"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 déploiement des nouvelles énergies renouvelables intermittentes induit des besoins d’investissement dans le réseau qui se situe </w:t>
      </w:r>
      <w:r w:rsidR="009D2A0C">
        <w:rPr>
          <w:rFonts w:ascii="Times New Roman" w:hAnsi="Times New Roman" w:cs="Times New Roman"/>
          <w:sz w:val="36"/>
          <w:szCs w:val="36"/>
        </w:rPr>
        <w:t>à 100 milliards d’euros pour RTE et d’un même ordre de grandeur pour ENEDIS d’ici à 2040 – 2045 selon RTE en décembre 2023</w:t>
      </w:r>
      <w:r w:rsidR="009D2A0C">
        <w:rPr>
          <w:rStyle w:val="Appelnotedebasdep"/>
          <w:rFonts w:ascii="Times New Roman" w:hAnsi="Times New Roman" w:cs="Times New Roman"/>
          <w:sz w:val="36"/>
          <w:szCs w:val="36"/>
        </w:rPr>
        <w:footnoteReference w:id="37"/>
      </w:r>
      <w:r w:rsidR="009D2A0C">
        <w:rPr>
          <w:rFonts w:ascii="Times New Roman" w:hAnsi="Times New Roman" w:cs="Times New Roman"/>
          <w:sz w:val="36"/>
          <w:szCs w:val="36"/>
        </w:rPr>
        <w:t xml:space="preserve">, et </w:t>
      </w:r>
      <w:r>
        <w:rPr>
          <w:rFonts w:ascii="Times New Roman" w:hAnsi="Times New Roman" w:cs="Times New Roman"/>
          <w:sz w:val="36"/>
          <w:szCs w:val="36"/>
        </w:rPr>
        <w:t>en plusieurs centaines de milliards d’euro à l’échelle de l’Europe</w:t>
      </w:r>
      <w:r>
        <w:rPr>
          <w:rStyle w:val="Appelnotedebasdep"/>
          <w:rFonts w:ascii="Times New Roman" w:hAnsi="Times New Roman" w:cs="Times New Roman"/>
          <w:sz w:val="36"/>
          <w:szCs w:val="36"/>
        </w:rPr>
        <w:footnoteReference w:id="38"/>
      </w:r>
      <w:r>
        <w:rPr>
          <w:rFonts w:ascii="Times New Roman" w:hAnsi="Times New Roman" w:cs="Times New Roman"/>
          <w:sz w:val="36"/>
          <w:szCs w:val="36"/>
        </w:rPr>
        <w:t xml:space="preserve">. </w:t>
      </w:r>
    </w:p>
    <w:p w14:paraId="512C31A6" w14:textId="2F111936"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w:t>
      </w:r>
      <w:r w:rsidR="009D2A0C">
        <w:rPr>
          <w:rFonts w:ascii="Times New Roman" w:hAnsi="Times New Roman" w:cs="Times New Roman"/>
          <w:sz w:val="36"/>
          <w:szCs w:val="36"/>
        </w:rPr>
        <w:t xml:space="preserve"> favorable au renouvelable intermittent, éolien ou solaire photovoltaïque</w:t>
      </w:r>
      <w:r w:rsidR="005441C4" w:rsidRPr="006222BB">
        <w:rPr>
          <w:rFonts w:ascii="Times New Roman" w:hAnsi="Times New Roman" w:cs="Times New Roman"/>
          <w:sz w:val="36"/>
          <w:szCs w:val="36"/>
        </w:rPr>
        <w:t>,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Default="008F672B" w:rsidP="00AE7889">
      <w:pPr>
        <w:jc w:val="both"/>
        <w:rPr>
          <w:rFonts w:ascii="Times New Roman" w:hAnsi="Times New Roman" w:cs="Times New Roman"/>
          <w:sz w:val="36"/>
          <w:szCs w:val="36"/>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39"/>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345DDCDF" w14:textId="1BC061AE" w:rsidR="00402934" w:rsidRDefault="00402934" w:rsidP="00AE7889">
      <w:pPr>
        <w:jc w:val="both"/>
        <w:rPr>
          <w:rFonts w:ascii="Times New Roman" w:hAnsi="Times New Roman" w:cs="Times New Roman"/>
          <w:sz w:val="36"/>
          <w:szCs w:val="36"/>
        </w:rPr>
      </w:pPr>
      <w:r>
        <w:rPr>
          <w:rFonts w:ascii="Times New Roman" w:hAnsi="Times New Roman" w:cs="Times New Roman"/>
          <w:sz w:val="36"/>
          <w:szCs w:val="36"/>
        </w:rPr>
        <w:t xml:space="preserve">A noter, nous y reviendrons, qu’un déploiement </w:t>
      </w:r>
      <w:r w:rsidR="009D2A0C">
        <w:rPr>
          <w:rFonts w:ascii="Times New Roman" w:hAnsi="Times New Roman" w:cs="Times New Roman"/>
          <w:sz w:val="36"/>
          <w:szCs w:val="36"/>
        </w:rPr>
        <w:t xml:space="preserve">trop </w:t>
      </w:r>
      <w:r>
        <w:rPr>
          <w:rFonts w:ascii="Times New Roman" w:hAnsi="Times New Roman" w:cs="Times New Roman"/>
          <w:sz w:val="36"/>
          <w:szCs w:val="36"/>
        </w:rPr>
        <w:t xml:space="preserve">massif de production intermittente, </w:t>
      </w:r>
      <w:r w:rsidR="00557F4F">
        <w:rPr>
          <w:rFonts w:ascii="Times New Roman" w:hAnsi="Times New Roman" w:cs="Times New Roman"/>
          <w:sz w:val="36"/>
          <w:szCs w:val="36"/>
        </w:rPr>
        <w:t xml:space="preserve">fut-elle décarbonée, </w:t>
      </w:r>
      <w:r>
        <w:rPr>
          <w:rFonts w:ascii="Times New Roman" w:hAnsi="Times New Roman" w:cs="Times New Roman"/>
          <w:sz w:val="36"/>
          <w:szCs w:val="36"/>
        </w:rPr>
        <w:t>sans disposer de moyens pilotables décarbonés de compensation à l’intermittence, peut aussi conduire à un non</w:t>
      </w:r>
      <w:r w:rsidR="00557F4F">
        <w:rPr>
          <w:rFonts w:ascii="Times New Roman" w:hAnsi="Times New Roman" w:cs="Times New Roman"/>
          <w:sz w:val="36"/>
          <w:szCs w:val="36"/>
        </w:rPr>
        <w:t>-</w:t>
      </w:r>
      <w:r>
        <w:rPr>
          <w:rFonts w:ascii="Times New Roman" w:hAnsi="Times New Roman" w:cs="Times New Roman"/>
          <w:sz w:val="36"/>
          <w:szCs w:val="36"/>
        </w:rPr>
        <w:t>respect dans les engagements de baisse des émissions de gaz à effet de serre…</w:t>
      </w:r>
    </w:p>
    <w:p w14:paraId="7D183695" w14:textId="77777777" w:rsidR="00402934" w:rsidRPr="00F77F71" w:rsidRDefault="00402934" w:rsidP="00AE7889">
      <w:pPr>
        <w:jc w:val="both"/>
        <w:rPr>
          <w:color w:val="000000"/>
        </w:rPr>
      </w:pP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Twh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7F33DFF" w14:textId="49A80B18" w:rsidR="00C546F0" w:rsidRDefault="00C546F0" w:rsidP="00BB3B24">
      <w:pPr>
        <w:jc w:val="both"/>
        <w:rPr>
          <w:rFonts w:ascii="Times New Roman" w:hAnsi="Times New Roman" w:cs="Times New Roman"/>
          <w:sz w:val="36"/>
          <w:szCs w:val="36"/>
        </w:rPr>
      </w:pPr>
      <w:r>
        <w:rPr>
          <w:rFonts w:ascii="Times New Roman" w:hAnsi="Times New Roman" w:cs="Times New Roman"/>
          <w:sz w:val="36"/>
          <w:szCs w:val="36"/>
        </w:rPr>
        <w:t>En 2023, la production hydraulique a été de 58,2</w:t>
      </w:r>
      <w:r>
        <w:rPr>
          <w:rStyle w:val="Appelnotedebasdep"/>
          <w:rFonts w:ascii="Times New Roman" w:hAnsi="Times New Roman" w:cs="Times New Roman"/>
          <w:sz w:val="36"/>
          <w:szCs w:val="36"/>
        </w:rPr>
        <w:footnoteReference w:id="40"/>
      </w:r>
      <w:r>
        <w:rPr>
          <w:rFonts w:ascii="Times New Roman" w:hAnsi="Times New Roman" w:cs="Times New Roman"/>
          <w:sz w:val="36"/>
          <w:szCs w:val="36"/>
        </w:rPr>
        <w:t xml:space="preserve"> TWh, soit 11,5 % de la production France.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41"/>
      </w:r>
      <w:r w:rsidR="006D6B98">
        <w:rPr>
          <w:rFonts w:ascii="Times New Roman" w:hAnsi="Times New Roman" w:cs="Times New Roman"/>
          <w:sz w:val="36"/>
          <w:szCs w:val="36"/>
        </w:rPr>
        <w:t xml:space="preserve"> », une perte généralisée </w:t>
      </w:r>
      <w:r w:rsidR="006D6B98">
        <w:rPr>
          <w:rFonts w:ascii="Times New Roman" w:hAnsi="Times New Roman" w:cs="Times New Roman"/>
          <w:sz w:val="36"/>
          <w:szCs w:val="36"/>
        </w:rPr>
        <w:lastRenderedPageBreak/>
        <w:t>du réseau</w:t>
      </w:r>
      <w:r w:rsidR="006D6B98">
        <w:rPr>
          <w:rStyle w:val="Appelnotedebasdep"/>
          <w:rFonts w:ascii="Times New Roman" w:hAnsi="Times New Roman" w:cs="Times New Roman"/>
          <w:sz w:val="36"/>
          <w:szCs w:val="36"/>
        </w:rPr>
        <w:footnoteReference w:id="42"/>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43"/>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22"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50EF35C1"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lastRenderedPageBreak/>
        <w:t>L’hydraulique est très faiblement</w:t>
      </w:r>
      <w:r w:rsidR="00377727">
        <w:rPr>
          <w:rFonts w:ascii="Times New Roman" w:hAnsi="Times New Roman" w:cs="Times New Roman"/>
          <w:sz w:val="36"/>
          <w:szCs w:val="36"/>
        </w:rPr>
        <w:t xml:space="preserve"> </w:t>
      </w:r>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res sauf pour de nouveaux ouvrages, très limités</w:t>
      </w:r>
      <w:r w:rsidR="005A11E9">
        <w:rPr>
          <w:rStyle w:val="Appelnotedebasdep"/>
          <w:rFonts w:ascii="Times New Roman" w:hAnsi="Times New Roman" w:cs="Times New Roman"/>
          <w:sz w:val="36"/>
          <w:szCs w:val="36"/>
        </w:rPr>
        <w:footnoteReference w:id="44"/>
      </w:r>
      <w:r w:rsidRPr="007A5D58">
        <w:rPr>
          <w:rFonts w:ascii="Times New Roman" w:hAnsi="Times New Roman" w:cs="Times New Roman"/>
          <w:sz w:val="36"/>
          <w:szCs w:val="36"/>
        </w:rPr>
        <w:t xml:space="preserve">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enjeux d’acceptation de ces ouvrages, et les conditions actuelles de financements de long terme</w:t>
      </w:r>
      <w:r w:rsidRPr="007A5D58">
        <w:rPr>
          <w:rStyle w:val="Appelnotedebasdep"/>
          <w:rFonts w:ascii="Times New Roman" w:hAnsi="Times New Roman" w:cs="Times New Roman"/>
          <w:sz w:val="36"/>
          <w:szCs w:val="36"/>
        </w:rPr>
        <w:footnoteReference w:id="45"/>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w:t>
      </w:r>
      <w:r>
        <w:rPr>
          <w:rFonts w:ascii="Times New Roman" w:hAnsi="Times New Roman" w:cs="Times New Roman"/>
          <w:sz w:val="36"/>
          <w:szCs w:val="36"/>
        </w:rPr>
        <w:lastRenderedPageBreak/>
        <w:t xml:space="preserve">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base, en production continue, « dans le ruban », </w:t>
      </w:r>
      <w:r>
        <w:rPr>
          <w:rFonts w:ascii="Times New Roman" w:hAnsi="Times New Roman" w:cs="Times New Roman"/>
          <w:sz w:val="36"/>
          <w:szCs w:val="36"/>
        </w:rPr>
        <w:t xml:space="preserve"> dans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4D02EDF4" w14:textId="59FE2E29" w:rsidR="00C546F0" w:rsidRDefault="00C546F0" w:rsidP="00AE7889">
      <w:pPr>
        <w:jc w:val="both"/>
        <w:rPr>
          <w:rFonts w:ascii="Times New Roman" w:hAnsi="Times New Roman" w:cs="Times New Roman"/>
          <w:sz w:val="36"/>
          <w:szCs w:val="36"/>
        </w:rPr>
      </w:pPr>
      <w:r>
        <w:rPr>
          <w:rFonts w:ascii="Times New Roman" w:hAnsi="Times New Roman" w:cs="Times New Roman"/>
          <w:sz w:val="36"/>
          <w:szCs w:val="36"/>
        </w:rPr>
        <w:t>La production d’électricité par le gaz est redescendue à 28 TWh</w:t>
      </w:r>
      <w:r>
        <w:rPr>
          <w:rStyle w:val="Appelnotedebasdep"/>
          <w:rFonts w:ascii="Times New Roman" w:hAnsi="Times New Roman" w:cs="Times New Roman"/>
          <w:sz w:val="36"/>
          <w:szCs w:val="36"/>
        </w:rPr>
        <w:footnoteReference w:id="46"/>
      </w:r>
      <w:r>
        <w:rPr>
          <w:rFonts w:ascii="Times New Roman" w:hAnsi="Times New Roman" w:cs="Times New Roman"/>
          <w:sz w:val="36"/>
          <w:szCs w:val="36"/>
        </w:rPr>
        <w:t xml:space="preserve"> en 2023, soit 6 % de la production France.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( 2,9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w:t>
      </w:r>
      <w:r>
        <w:rPr>
          <w:rFonts w:ascii="Times New Roman" w:hAnsi="Times New Roman" w:cs="Times New Roman"/>
          <w:sz w:val="36"/>
          <w:szCs w:val="36"/>
        </w:rPr>
        <w:lastRenderedPageBreak/>
        <w:t xml:space="preserve">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47"/>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23">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629C620F"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C546F0">
        <w:rPr>
          <w:rFonts w:ascii="Times New Roman" w:hAnsi="Times New Roman" w:cs="Times New Roman"/>
          <w:sz w:val="36"/>
          <w:szCs w:val="36"/>
        </w:rPr>
        <w:t>3</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48"/>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MWe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t>Le deuxième parc mondial est celui de la France avec 61 370 MWe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5E61437E"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 xml:space="preserve">Le parc français est désormais talonné par </w:t>
      </w:r>
      <w:r w:rsidR="00864F9F">
        <w:rPr>
          <w:rFonts w:ascii="Times New Roman" w:hAnsi="Times New Roman" w:cs="Times New Roman"/>
          <w:sz w:val="36"/>
          <w:szCs w:val="36"/>
        </w:rPr>
        <w:t xml:space="preserve">celui de </w:t>
      </w:r>
      <w:r>
        <w:rPr>
          <w:rFonts w:ascii="Times New Roman" w:hAnsi="Times New Roman" w:cs="Times New Roman"/>
          <w:sz w:val="36"/>
          <w:szCs w:val="36"/>
        </w:rPr>
        <w:t>la Chine avec 53 18</w:t>
      </w:r>
      <w:r w:rsidR="00864F9F">
        <w:rPr>
          <w:rFonts w:ascii="Times New Roman" w:hAnsi="Times New Roman" w:cs="Times New Roman"/>
          <w:sz w:val="36"/>
          <w:szCs w:val="36"/>
        </w:rPr>
        <w:t>1</w:t>
      </w:r>
      <w:r>
        <w:rPr>
          <w:rFonts w:ascii="Times New Roman" w:hAnsi="Times New Roman" w:cs="Times New Roman"/>
          <w:sz w:val="36"/>
          <w:szCs w:val="36"/>
        </w:rPr>
        <w:t xml:space="preserve">  MWe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4">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11674107"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864F9F">
        <w:rPr>
          <w:rFonts w:ascii="Times New Roman" w:hAnsi="Times New Roman" w:cs="Times New Roman"/>
          <w:sz w:val="36"/>
          <w:szCs w:val="36"/>
        </w:rPr>
        <w:t>3</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w:t>
      </w:r>
      <w:r>
        <w:rPr>
          <w:rFonts w:ascii="Times New Roman" w:hAnsi="Times New Roman" w:cs="Times New Roman"/>
          <w:sz w:val="36"/>
          <w:szCs w:val="36"/>
        </w:rPr>
        <w:lastRenderedPageBreak/>
        <w:t>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635AE222"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un accord avec Rosatom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w:t>
      </w:r>
      <w:r w:rsidR="00864F9F">
        <w:rPr>
          <w:rFonts w:ascii="Times New Roman" w:hAnsi="Times New Roman" w:cs="Times New Roman"/>
          <w:sz w:val="36"/>
          <w:szCs w:val="36"/>
        </w:rPr>
        <w:t>40</w:t>
      </w:r>
      <w:r w:rsidRPr="00043981">
        <w:rPr>
          <w:rFonts w:ascii="Times New Roman" w:hAnsi="Times New Roman" w:cs="Times New Roman"/>
          <w:sz w:val="36"/>
          <w:szCs w:val="36"/>
        </w:rPr>
        <w:t>.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7B1888C" w14:textId="77777777" w:rsidR="00784688" w:rsidRDefault="00784688" w:rsidP="00043981">
      <w:pPr>
        <w:pStyle w:val="Notedebasdepage"/>
        <w:jc w:val="both"/>
        <w:rPr>
          <w:rFonts w:ascii="Times New Roman" w:hAnsi="Times New Roman" w:cs="Times New Roman"/>
          <w:sz w:val="36"/>
          <w:szCs w:val="36"/>
        </w:rPr>
      </w:pPr>
    </w:p>
    <w:p w14:paraId="60C96448" w14:textId="08CF20F9" w:rsidR="00784688" w:rsidRDefault="00784688"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L’incertitude demeure sur la place que présentera le nucléaire dans le mix énergétique mondial de demain. AIEA indique</w:t>
      </w:r>
      <w:r>
        <w:rPr>
          <w:rStyle w:val="Appelnotedebasdep"/>
          <w:rFonts w:ascii="Times New Roman" w:hAnsi="Times New Roman" w:cs="Times New Roman"/>
          <w:sz w:val="36"/>
          <w:szCs w:val="36"/>
        </w:rPr>
        <w:footnoteReference w:id="49"/>
      </w:r>
      <w:r>
        <w:rPr>
          <w:rFonts w:ascii="Times New Roman" w:hAnsi="Times New Roman" w:cs="Times New Roman"/>
          <w:sz w:val="36"/>
          <w:szCs w:val="36"/>
        </w:rPr>
        <w:t xml:space="preserve"> une fourchette de puissance installée d’ici 2050 se situant entre 405 GW et 873 GW, soit une quasi stabilité ou une multiplication du parc installé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5223E15D"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w:t>
      </w:r>
      <w:r w:rsidR="00864F9F">
        <w:rPr>
          <w:rFonts w:ascii="Times New Roman" w:hAnsi="Times New Roman" w:cs="Times New Roman"/>
          <w:sz w:val="36"/>
          <w:szCs w:val="36"/>
        </w:rPr>
        <w:t xml:space="preserve">production d’hydrogène, de production de chaleur industrielle mais aussi de </w:t>
      </w:r>
      <w:r>
        <w:rPr>
          <w:rFonts w:ascii="Times New Roman" w:hAnsi="Times New Roman" w:cs="Times New Roman"/>
          <w:sz w:val="36"/>
          <w:szCs w:val="36"/>
        </w:rPr>
        <w:t xml:space="preserve">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50"/>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51"/>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Nucleare avoir signé une 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52"/>
      </w:r>
      <w:r w:rsidR="00006522" w:rsidRPr="00BA670A">
        <w:rPr>
          <w:rFonts w:ascii="Times New Roman" w:hAnsi="Times New Roman" w:cs="Times New Roman"/>
          <w:sz w:val="36"/>
          <w:szCs w:val="36"/>
        </w:rPr>
        <w:t xml:space="preserve">.  </w:t>
      </w:r>
    </w:p>
    <w:p w14:paraId="0383E15D" w14:textId="16D1C4A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w:t>
      </w:r>
      <w:r w:rsidR="00864F9F">
        <w:rPr>
          <w:rFonts w:ascii="Times New Roman" w:hAnsi="Times New Roman" w:cs="Times New Roman"/>
          <w:sz w:val="36"/>
          <w:szCs w:val="36"/>
        </w:rPr>
        <w:t>2023</w:t>
      </w:r>
      <w:r w:rsidRPr="00BA670A">
        <w:rPr>
          <w:rFonts w:ascii="Times New Roman" w:hAnsi="Times New Roman" w:cs="Times New Roman"/>
          <w:sz w:val="36"/>
          <w:szCs w:val="36"/>
        </w:rPr>
        <w:t xml:space="preserve">,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53"/>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54"/>
      </w:r>
      <w:r w:rsidRPr="00BA670A">
        <w:rPr>
          <w:rFonts w:ascii="Times New Roman" w:hAnsi="Times New Roman" w:cs="Times New Roman"/>
          <w:sz w:val="36"/>
          <w:szCs w:val="36"/>
        </w:rPr>
        <w:t xml:space="preserve">, la République Tchèque, le Royaume Uni. A noter le cas </w:t>
      </w:r>
      <w:r w:rsidRPr="00BA670A">
        <w:rPr>
          <w:rFonts w:ascii="Times New Roman" w:hAnsi="Times New Roman" w:cs="Times New Roman"/>
          <w:sz w:val="36"/>
          <w:szCs w:val="36"/>
        </w:rPr>
        <w:lastRenderedPageBreak/>
        <w:t xml:space="preserve">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A noter l’Ukraine, aujourd’hui en guerre, où la production d’électricité nucléaire représentait, en 2021, 55 % de la 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55"/>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l’Europe: </w:t>
      </w:r>
      <w:r w:rsidRPr="00BA670A">
        <w:rPr>
          <w:rFonts w:ascii="Times New Roman" w:hAnsi="Times New Roman" w:cs="Times New Roman"/>
          <w:sz w:val="36"/>
          <w:szCs w:val="36"/>
        </w:rPr>
        <w:lastRenderedPageBreak/>
        <w:t>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56"/>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57"/>
      </w:r>
      <w:r>
        <w:rPr>
          <w:rFonts w:ascii="Times New Roman" w:hAnsi="Times New Roman" w:cs="Times New Roman"/>
          <w:sz w:val="36"/>
          <w:szCs w:val="36"/>
        </w:rPr>
        <w:t xml:space="preserve">, la fermeture effective et prématurée de Fessemheim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contribuable. La production annuelle de Fessemheim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Fessemheim,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58"/>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w:t>
      </w:r>
      <w:r w:rsidRPr="00BA670A">
        <w:rPr>
          <w:rFonts w:ascii="Times New Roman" w:hAnsi="Times New Roman" w:cs="Times New Roman"/>
          <w:sz w:val="36"/>
          <w:szCs w:val="36"/>
        </w:rPr>
        <w:lastRenderedPageBreak/>
        <w:t>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européen  Superphénix en 1997, la décision en 2019 de l’arrêt 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59"/>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24950610"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60"/>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61"/>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r w:rsidR="00864F9F">
        <w:rPr>
          <w:rFonts w:ascii="Times New Roman" w:hAnsi="Times New Roman" w:cs="Times New Roman"/>
          <w:sz w:val="36"/>
          <w:szCs w:val="36"/>
        </w:rPr>
        <w:t>c’</w:t>
      </w:r>
      <w:r>
        <w:rPr>
          <w:rFonts w:ascii="Times New Roman" w:hAnsi="Times New Roman" w:cs="Times New Roman"/>
          <w:sz w:val="36"/>
          <w:szCs w:val="36"/>
        </w:rPr>
        <w:t xml:space="preserve">est  </w:t>
      </w:r>
      <w:r>
        <w:rPr>
          <w:rFonts w:ascii="Times New Roman" w:hAnsi="Times New Roman" w:cs="Times New Roman"/>
          <w:sz w:val="36"/>
          <w:szCs w:val="36"/>
        </w:rPr>
        <w:lastRenderedPageBreak/>
        <w:t xml:space="preserve">l’exigence de sûreté nucléaire qui vise à prévenir le risque d’accident, et, en cas hypothétique d’accident - le risque zéro n’existe pas - à limiter les conséquences pour la population et le territoire sur lequel est implantée l’installation nucléaire. </w:t>
      </w:r>
    </w:p>
    <w:p w14:paraId="689F5230" w14:textId="1DCABA47" w:rsidR="00864F9F" w:rsidRDefault="00864F9F" w:rsidP="00B95F25">
      <w:pPr>
        <w:jc w:val="both"/>
        <w:rPr>
          <w:rFonts w:ascii="Times New Roman" w:hAnsi="Times New Roman" w:cs="Times New Roman"/>
          <w:sz w:val="36"/>
          <w:szCs w:val="36"/>
        </w:rPr>
      </w:pPr>
      <w:r>
        <w:rPr>
          <w:rFonts w:ascii="Times New Roman" w:hAnsi="Times New Roman" w:cs="Times New Roman"/>
          <w:sz w:val="36"/>
          <w:szCs w:val="36"/>
        </w:rPr>
        <w:t xml:space="preserve">La sûreté nucléaire repose en premier lieu sur la considération du risque physique, qui, aussi faible soit-il , ne sera jamais nul, et </w:t>
      </w:r>
      <w:r w:rsidR="00976382">
        <w:rPr>
          <w:rFonts w:ascii="Times New Roman" w:hAnsi="Times New Roman" w:cs="Times New Roman"/>
          <w:sz w:val="36"/>
          <w:szCs w:val="36"/>
        </w:rPr>
        <w:t xml:space="preserve">en amont de toute prise en compte des législations ou réglementations, aussi pertinentes soient-elles. </w:t>
      </w:r>
    </w:p>
    <w:p w14:paraId="3624BA6B" w14:textId="04165AA0"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de Three Mile Island 2</w:t>
      </w:r>
      <w:r w:rsidR="0009750C">
        <w:rPr>
          <w:rStyle w:val="Appelnotedebasdep"/>
          <w:rFonts w:ascii="Times New Roman" w:hAnsi="Times New Roman" w:cs="Times New Roman"/>
          <w:sz w:val="36"/>
          <w:szCs w:val="36"/>
        </w:rPr>
        <w:footnoteReference w:id="62"/>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en 19</w:t>
      </w:r>
      <w:r w:rsidR="002B4D2E">
        <w:rPr>
          <w:rFonts w:ascii="Times New Roman" w:hAnsi="Times New Roman" w:cs="Times New Roman"/>
          <w:sz w:val="36"/>
          <w:szCs w:val="36"/>
        </w:rPr>
        <w:t>7</w:t>
      </w:r>
      <w:r w:rsidR="0009750C">
        <w:rPr>
          <w:rFonts w:ascii="Times New Roman" w:hAnsi="Times New Roman" w:cs="Times New Roman"/>
          <w:sz w:val="36"/>
          <w:szCs w:val="36"/>
        </w:rPr>
        <w:t xml:space="preserve">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63"/>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Daichi 123</w:t>
      </w:r>
      <w:r w:rsidR="00C3414F">
        <w:rPr>
          <w:rStyle w:val="Appelnotedebasdep"/>
          <w:rFonts w:ascii="Times New Roman" w:hAnsi="Times New Roman" w:cs="Times New Roman"/>
          <w:sz w:val="36"/>
          <w:szCs w:val="36"/>
        </w:rPr>
        <w:footnoteReference w:id="64"/>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77777777" w:rsidR="006F25B4" w:rsidRDefault="00E15DF2" w:rsidP="006F25B4">
      <w:pPr>
        <w:pStyle w:val="Paragraphedeliste"/>
        <w:numPr>
          <w:ilvl w:val="0"/>
          <w:numId w:val="9"/>
        </w:numPr>
        <w:jc w:val="both"/>
        <w:rPr>
          <w:sz w:val="36"/>
          <w:szCs w:val="36"/>
        </w:rPr>
      </w:pPr>
      <w:r w:rsidRPr="006F25B4">
        <w:rPr>
          <w:sz w:val="36"/>
          <w:szCs w:val="36"/>
        </w:rPr>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sur les quatre premiers réacteurs sur le site de Fukushima Daichi</w:t>
      </w:r>
      <w:r w:rsidR="00493410">
        <w:rPr>
          <w:rStyle w:val="Appelnotedebasdep"/>
          <w:sz w:val="36"/>
          <w:szCs w:val="36"/>
        </w:rPr>
        <w:footnoteReference w:id="65"/>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37A3A84B" w14:textId="1C7C11C0" w:rsidR="00BA670A"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w:t>
      </w:r>
      <w:r w:rsidRPr="00BA670A">
        <w:rPr>
          <w:rFonts w:ascii="Times New Roman" w:hAnsi="Times New Roman" w:cs="Times New Roman"/>
          <w:sz w:val="36"/>
          <w:szCs w:val="36"/>
        </w:rPr>
        <w:lastRenderedPageBreak/>
        <w:t xml:space="preserve">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7F09D7AB"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 xml:space="preserve">’approches </w:t>
      </w:r>
      <w:r w:rsidR="00143986">
        <w:rPr>
          <w:rFonts w:ascii="Times New Roman" w:hAnsi="Times New Roman" w:cs="Times New Roman"/>
          <w:sz w:val="36"/>
          <w:szCs w:val="36"/>
        </w:rPr>
        <w:lastRenderedPageBreak/>
        <w:t>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66"/>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cf les enseignements des accidents nucléaire évoqués plus haut -  </w:t>
      </w:r>
      <w:r>
        <w:rPr>
          <w:rFonts w:ascii="Times New Roman" w:hAnsi="Times New Roman" w:cs="Times New Roman"/>
          <w:sz w:val="36"/>
          <w:szCs w:val="36"/>
        </w:rPr>
        <w:t xml:space="preserve">par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et une large supervision par les Pouvoirs 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67"/>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68"/>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2883CF3F"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69"/>
      </w:r>
      <w:r>
        <w:rPr>
          <w:rFonts w:ascii="Times New Roman" w:hAnsi="Times New Roman" w:cs="Times New Roman"/>
          <w:sz w:val="36"/>
          <w:szCs w:val="36"/>
        </w:rPr>
        <w:t xml:space="preserve">, </w:t>
      </w:r>
      <w:r>
        <w:rPr>
          <w:rFonts w:ascii="Times New Roman" w:hAnsi="Times New Roman" w:cs="Times New Roman"/>
          <w:sz w:val="36"/>
          <w:szCs w:val="36"/>
        </w:rPr>
        <w:lastRenderedPageBreak/>
        <w:t xml:space="preserve">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Peer reviews</w:t>
      </w:r>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70"/>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 xml:space="preserve">Ces organisations, fondamentales pour le partage d’expérience en matière de sûreté nucléaire, tant au niveau des organismes institutionnels qu’au niveau des exploitants nucléaires, doivent, dans la priorité </w:t>
      </w:r>
      <w:r w:rsidR="00A237E6">
        <w:rPr>
          <w:rFonts w:ascii="Times New Roman" w:hAnsi="Times New Roman" w:cs="Times New Roman"/>
          <w:sz w:val="36"/>
          <w:szCs w:val="36"/>
        </w:rPr>
        <w:t xml:space="preserve">une </w:t>
      </w:r>
      <w:r>
        <w:rPr>
          <w:rFonts w:ascii="Times New Roman" w:hAnsi="Times New Roman" w:cs="Times New Roman"/>
          <w:sz w:val="36"/>
          <w:szCs w:val="36"/>
        </w:rPr>
        <w:t xml:space="preserve">devant être </w:t>
      </w:r>
      <w:r w:rsidR="00A237E6">
        <w:rPr>
          <w:rFonts w:ascii="Times New Roman" w:hAnsi="Times New Roman" w:cs="Times New Roman"/>
          <w:sz w:val="36"/>
          <w:szCs w:val="36"/>
        </w:rPr>
        <w:t>accordé</w:t>
      </w:r>
      <w:r>
        <w:rPr>
          <w:rFonts w:ascii="Times New Roman" w:hAnsi="Times New Roman" w:cs="Times New Roman"/>
          <w:sz w:val="36"/>
          <w:szCs w:val="36"/>
        </w:rPr>
        <w:t>e à la sûreté nucléaire, 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71"/>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interpellantes.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72"/>
      </w:r>
      <w:r>
        <w:rPr>
          <w:sz w:val="36"/>
          <w:szCs w:val="36"/>
        </w:rPr>
        <w:t xml:space="preserve">. </w:t>
      </w:r>
    </w:p>
    <w:p w14:paraId="0713CF28" w14:textId="6947A0D1" w:rsidR="00A43168" w:rsidRDefault="00A43168" w:rsidP="00A43168">
      <w:pPr>
        <w:jc w:val="both"/>
        <w:rPr>
          <w:rFonts w:ascii="Times New Roman" w:hAnsi="Times New Roman" w:cs="Times New Roman"/>
          <w:sz w:val="36"/>
          <w:szCs w:val="36"/>
        </w:rPr>
      </w:pPr>
      <w:r>
        <w:rPr>
          <w:rFonts w:ascii="Times New Roman" w:hAnsi="Times New Roman" w:cs="Times New Roman"/>
          <w:sz w:val="36"/>
          <w:szCs w:val="36"/>
        </w:rPr>
        <w:lastRenderedPageBreak/>
        <w:t>Comme pour toute installation vitale pour le pays, des installations nucléaires constituent des éléments fondamentaux du patrimoine industriel. Il appartient aux Pouvoirs Publics de définir les menaces</w:t>
      </w:r>
      <w:r w:rsidR="00976382">
        <w:rPr>
          <w:rStyle w:val="Appelnotedebasdep"/>
          <w:rFonts w:ascii="Times New Roman" w:hAnsi="Times New Roman" w:cs="Times New Roman"/>
          <w:sz w:val="36"/>
          <w:szCs w:val="36"/>
        </w:rPr>
        <w:footnoteReference w:id="73"/>
      </w:r>
      <w:r>
        <w:rPr>
          <w:rFonts w:ascii="Times New Roman" w:hAnsi="Times New Roman" w:cs="Times New Roman"/>
          <w:sz w:val="36"/>
          <w:szCs w:val="36"/>
        </w:rPr>
        <w:t>, de les prendre en compte pour ce qui relève de la responsabilité des Pouvoirs Publics et d’établir les éléments de robustesse auxquels doit répondre l’exploitant, éléments qui peuvent s’appuyer, mais pas seulement, sur les toutes les dispositions prises en matière de sûreté nucléaire. La confidentialité de toutes les mesures prises dans ce cadre constitue un élément dans la défense en profondeur et qui ne s’oppose pas à la transparence requise au titre de la culture de sûreté nucléaire. La représentation nationale et les personnes qui ont à en connaitre au titre de la défense nationale ont accès</w:t>
      </w:r>
      <w:r w:rsidR="00976382">
        <w:rPr>
          <w:rFonts w:ascii="Times New Roman" w:hAnsi="Times New Roman" w:cs="Times New Roman"/>
          <w:sz w:val="36"/>
          <w:szCs w:val="36"/>
        </w:rPr>
        <w:t xml:space="preserve">, alors en toute transparence et suivant les modalités prévues par la Loi, </w:t>
      </w:r>
      <w:r>
        <w:rPr>
          <w:rFonts w:ascii="Times New Roman" w:hAnsi="Times New Roman" w:cs="Times New Roman"/>
          <w:sz w:val="36"/>
          <w:szCs w:val="36"/>
        </w:rPr>
        <w:t xml:space="preserve">aux informations utiles et nécessaires. </w:t>
      </w:r>
    </w:p>
    <w:p w14:paraId="415F0084" w14:textId="6F2E9644" w:rsidR="009F42F6" w:rsidRDefault="00A43168" w:rsidP="00AE7889">
      <w:pPr>
        <w:jc w:val="both"/>
        <w:rPr>
          <w:rFonts w:ascii="Times New Roman" w:hAnsi="Times New Roman" w:cs="Times New Roman"/>
          <w:sz w:val="36"/>
          <w:szCs w:val="36"/>
        </w:rPr>
      </w:pPr>
      <w:r>
        <w:rPr>
          <w:rFonts w:ascii="Times New Roman" w:hAnsi="Times New Roman" w:cs="Times New Roman"/>
          <w:sz w:val="36"/>
          <w:szCs w:val="36"/>
        </w:rPr>
        <w:t>L’exigence de priorité une à la sûreté nucléaire</w:t>
      </w:r>
      <w:r w:rsidR="00976382">
        <w:rPr>
          <w:rFonts w:ascii="Times New Roman" w:hAnsi="Times New Roman" w:cs="Times New Roman"/>
          <w:sz w:val="36"/>
          <w:szCs w:val="36"/>
        </w:rPr>
        <w:t xml:space="preserve"> et de culture de sûreté nucléaire pour toutes les parties prenantes impliquées, </w:t>
      </w:r>
      <w:r w:rsidR="009F42F6">
        <w:rPr>
          <w:rFonts w:ascii="Times New Roman" w:hAnsi="Times New Roman" w:cs="Times New Roman"/>
          <w:sz w:val="36"/>
          <w:szCs w:val="36"/>
        </w:rPr>
        <w:t xml:space="preserve"> concerne</w:t>
      </w:r>
      <w:r w:rsidR="00976382">
        <w:rPr>
          <w:rFonts w:ascii="Times New Roman" w:hAnsi="Times New Roman" w:cs="Times New Roman"/>
          <w:sz w:val="36"/>
          <w:szCs w:val="36"/>
        </w:rPr>
        <w:t xml:space="preserve"> ainsi</w:t>
      </w:r>
      <w:r>
        <w:rPr>
          <w:rFonts w:ascii="Times New Roman" w:hAnsi="Times New Roman" w:cs="Times New Roman"/>
          <w:sz w:val="36"/>
          <w:szCs w:val="36"/>
        </w:rPr>
        <w:t xml:space="preserve"> </w:t>
      </w:r>
      <w:r w:rsidR="002A27F8">
        <w:rPr>
          <w:rFonts w:ascii="Times New Roman" w:hAnsi="Times New Roman" w:cs="Times New Roman"/>
          <w:sz w:val="36"/>
          <w:szCs w:val="36"/>
        </w:rPr>
        <w:t xml:space="preserve">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74"/>
      </w:r>
      <w:r w:rsidR="002A27F8">
        <w:rPr>
          <w:rFonts w:ascii="Times New Roman" w:hAnsi="Times New Roman" w:cs="Times New Roman"/>
          <w:sz w:val="36"/>
          <w:szCs w:val="36"/>
        </w:rPr>
        <w:t xml:space="preserve">. </w:t>
      </w:r>
    </w:p>
    <w:p w14:paraId="54FAFD9A" w14:textId="47CD4E4F"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75"/>
      </w:r>
      <w:r w:rsidR="004B74EB">
        <w:rPr>
          <w:rFonts w:ascii="Times New Roman" w:hAnsi="Times New Roman" w:cs="Times New Roman"/>
          <w:sz w:val="36"/>
          <w:szCs w:val="36"/>
        </w:rPr>
        <w:t xml:space="preserve"> de fonctionnement. Le retour d’expérience est une source </w:t>
      </w:r>
      <w:r w:rsidR="004B74EB">
        <w:rPr>
          <w:rFonts w:ascii="Times New Roman" w:hAnsi="Times New Roman" w:cs="Times New Roman"/>
          <w:sz w:val="36"/>
          <w:szCs w:val="36"/>
        </w:rPr>
        <w:lastRenderedPageBreak/>
        <w:t xml:space="preserve">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que dans l’activité nucléaire, la priorité une donnée à la sûreté nucléaire tire la performance industrielle. Et la faisabilité 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La part de la production nucléaire dans la consommation totale d’eau en France est de 0,49 milliard de m3 sur 4,1 milliards de m3 par an en moyenne sur la période 2010-2019, selon les </w:t>
      </w:r>
      <w:r w:rsidRPr="008208BC">
        <w:rPr>
          <w:rFonts w:ascii="Times New Roman" w:hAnsi="Times New Roman" w:cs="Times New Roman"/>
          <w:sz w:val="36"/>
          <w:szCs w:val="36"/>
        </w:rPr>
        <w:lastRenderedPageBreak/>
        <w:t>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Le refroidissement du parc nucléaire est ainsi la troisième activité la plus consommatrice d’eau avec 12 %, après l’agriculture (58 %) et l’eau potable (26 %), les autres usages industriels 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7C2A06C4"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76"/>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w:t>
      </w:r>
      <w:r w:rsidR="000272C5">
        <w:rPr>
          <w:rFonts w:ascii="Times New Roman" w:hAnsi="Times New Roman" w:cs="Times New Roman"/>
          <w:sz w:val="36"/>
          <w:szCs w:val="36"/>
        </w:rPr>
        <w:t xml:space="preserve">durant onze ans, de 2012 à 2023,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77"/>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 xml:space="preserve">y </w:t>
      </w:r>
      <w:r>
        <w:rPr>
          <w:rFonts w:ascii="Times New Roman" w:hAnsi="Times New Roman" w:cs="Times New Roman"/>
          <w:sz w:val="36"/>
          <w:szCs w:val="36"/>
        </w:rPr>
        <w:lastRenderedPageBreak/>
        <w:t>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78"/>
      </w:r>
      <w:r w:rsidRPr="00344B5B">
        <w:rPr>
          <w:rFonts w:ascii="Times New Roman" w:hAnsi="Times New Roman" w:cs="Times New Roman"/>
          <w:sz w:val="36"/>
          <w:szCs w:val="36"/>
        </w:rPr>
        <w:t xml:space="preserve">, avec une production annuelle 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77CBA735" w:rsidR="00874FAB" w:rsidRDefault="00DD4E41" w:rsidP="00AE7889">
      <w:pPr>
        <w:jc w:val="both"/>
        <w:rPr>
          <w:rFonts w:ascii="Times New Roman" w:hAnsi="Times New Roman" w:cs="Times New Roman"/>
          <w:b/>
          <w:bCs/>
          <w:i/>
          <w:iCs/>
          <w:sz w:val="36"/>
          <w:szCs w:val="36"/>
        </w:rPr>
      </w:pPr>
      <w:r w:rsidRPr="00DD4E41">
        <w:rPr>
          <w:rFonts w:ascii="Times New Roman" w:hAnsi="Times New Roman" w:cs="Times New Roman"/>
          <w:sz w:val="36"/>
          <w:szCs w:val="36"/>
        </w:rPr>
        <w:t>L’accord Etat EDF du 14 novembre</w:t>
      </w:r>
      <w:r w:rsidR="001A1153">
        <w:rPr>
          <w:rFonts w:ascii="Times New Roman" w:hAnsi="Times New Roman" w:cs="Times New Roman"/>
          <w:sz w:val="36"/>
          <w:szCs w:val="36"/>
        </w:rPr>
        <w:t xml:space="preserve"> portant que la régu</w:t>
      </w:r>
      <w:r w:rsidR="002831DE">
        <w:rPr>
          <w:rFonts w:ascii="Times New Roman" w:hAnsi="Times New Roman" w:cs="Times New Roman"/>
          <w:sz w:val="36"/>
          <w:szCs w:val="36"/>
        </w:rPr>
        <w:t>la</w:t>
      </w:r>
      <w:r w:rsidR="001A1153">
        <w:rPr>
          <w:rFonts w:ascii="Times New Roman" w:hAnsi="Times New Roman" w:cs="Times New Roman"/>
          <w:sz w:val="36"/>
          <w:szCs w:val="36"/>
        </w:rPr>
        <w:t>tion du marché de l’électricité</w:t>
      </w:r>
      <w:r w:rsidR="002831DE">
        <w:rPr>
          <w:rFonts w:ascii="Times New Roman" w:hAnsi="Times New Roman" w:cs="Times New Roman"/>
          <w:sz w:val="36"/>
          <w:szCs w:val="36"/>
        </w:rPr>
        <w:t xml:space="preserve"> en France</w:t>
      </w:r>
      <w:r w:rsidR="001A1153">
        <w:rPr>
          <w:rStyle w:val="Appelnotedebasdep"/>
          <w:rFonts w:ascii="Times New Roman" w:hAnsi="Times New Roman" w:cs="Times New Roman"/>
          <w:sz w:val="36"/>
          <w:szCs w:val="36"/>
        </w:rPr>
        <w:footnoteReference w:id="79"/>
      </w:r>
      <w:r w:rsidRPr="00DD4E41">
        <w:rPr>
          <w:rFonts w:ascii="Times New Roman" w:hAnsi="Times New Roman" w:cs="Times New Roman"/>
          <w:sz w:val="36"/>
          <w:szCs w:val="36"/>
        </w:rPr>
        <w:t xml:space="preserve"> établi</w:t>
      </w:r>
      <w:r w:rsidR="002831DE">
        <w:rPr>
          <w:rFonts w:ascii="Times New Roman" w:hAnsi="Times New Roman" w:cs="Times New Roman"/>
          <w:sz w:val="36"/>
          <w:szCs w:val="36"/>
        </w:rPr>
        <w:t>rait</w:t>
      </w:r>
      <w:r w:rsidRPr="00DD4E41">
        <w:rPr>
          <w:rFonts w:ascii="Times New Roman" w:hAnsi="Times New Roman" w:cs="Times New Roman"/>
          <w:sz w:val="36"/>
          <w:szCs w:val="36"/>
        </w:rPr>
        <w:t xml:space="preserve"> un coût repère </w:t>
      </w:r>
      <w:r w:rsidR="002831DE">
        <w:rPr>
          <w:rFonts w:ascii="Times New Roman" w:hAnsi="Times New Roman" w:cs="Times New Roman"/>
          <w:sz w:val="36"/>
          <w:szCs w:val="36"/>
        </w:rPr>
        <w:lastRenderedPageBreak/>
        <w:t xml:space="preserve">pour la production nucléaire de </w:t>
      </w:r>
      <w:r w:rsidRPr="00DD4E41">
        <w:rPr>
          <w:rFonts w:ascii="Times New Roman" w:hAnsi="Times New Roman" w:cs="Times New Roman"/>
          <w:sz w:val="36"/>
          <w:szCs w:val="36"/>
        </w:rPr>
        <w:t>70 euros le MWh</w:t>
      </w:r>
      <w:r w:rsidR="002831DE">
        <w:rPr>
          <w:rFonts w:ascii="Times New Roman" w:hAnsi="Times New Roman" w:cs="Times New Roman"/>
          <w:sz w:val="36"/>
          <w:szCs w:val="36"/>
        </w:rPr>
        <w:t>, en incluant les coûts de renouvellement pour l’ensemble du parc nucléaire</w:t>
      </w:r>
      <w:r>
        <w:rPr>
          <w:rFonts w:ascii="Times New Roman" w:hAnsi="Times New Roman" w:cs="Times New Roman"/>
          <w:b/>
          <w:bCs/>
          <w:i/>
          <w:iCs/>
          <w:sz w:val="36"/>
          <w:szCs w:val="36"/>
        </w:rPr>
        <w:t>.</w:t>
      </w:r>
      <w:r w:rsidR="001A1153">
        <w:rPr>
          <w:rFonts w:ascii="Times New Roman" w:hAnsi="Times New Roman" w:cs="Times New Roman"/>
          <w:b/>
          <w:bCs/>
          <w:i/>
          <w:iCs/>
          <w:sz w:val="36"/>
          <w:szCs w:val="36"/>
        </w:rPr>
        <w:t xml:space="preserve"> </w:t>
      </w:r>
      <w:r w:rsidR="001A1153" w:rsidRPr="001A1153">
        <w:rPr>
          <w:rFonts w:ascii="Times New Roman" w:hAnsi="Times New Roman" w:cs="Times New Roman"/>
          <w:sz w:val="36"/>
          <w:szCs w:val="36"/>
        </w:rPr>
        <w:t xml:space="preserve">Les modalités de la régulation associées à cet accord </w:t>
      </w:r>
      <w:r w:rsidR="001A1153">
        <w:rPr>
          <w:rFonts w:ascii="Times New Roman" w:hAnsi="Times New Roman" w:cs="Times New Roman"/>
          <w:sz w:val="36"/>
          <w:szCs w:val="36"/>
        </w:rPr>
        <w:t>s</w:t>
      </w:r>
      <w:r w:rsidR="001A1153" w:rsidRPr="001A1153">
        <w:rPr>
          <w:rFonts w:ascii="Times New Roman" w:hAnsi="Times New Roman" w:cs="Times New Roman"/>
          <w:sz w:val="36"/>
          <w:szCs w:val="36"/>
        </w:rPr>
        <w:t>eront réexaminées plus</w:t>
      </w:r>
      <w:r w:rsidR="001A1153">
        <w:rPr>
          <w:rFonts w:ascii="Times New Roman" w:hAnsi="Times New Roman" w:cs="Times New Roman"/>
          <w:sz w:val="36"/>
          <w:szCs w:val="36"/>
        </w:rPr>
        <w:t xml:space="preserve"> loin.</w:t>
      </w:r>
      <w:r w:rsidR="001A1153">
        <w:rPr>
          <w:rFonts w:ascii="Times New Roman" w:hAnsi="Times New Roman" w:cs="Times New Roman"/>
          <w:b/>
          <w:bCs/>
          <w:i/>
          <w:iCs/>
          <w:sz w:val="36"/>
          <w:szCs w:val="36"/>
        </w:rPr>
        <w:t xml:space="preserve"> </w:t>
      </w:r>
      <w:r>
        <w:rPr>
          <w:rFonts w:ascii="Times New Roman" w:hAnsi="Times New Roman" w:cs="Times New Roman"/>
          <w:b/>
          <w:bCs/>
          <w:i/>
          <w:iCs/>
          <w:sz w:val="36"/>
          <w:szCs w:val="36"/>
        </w:rPr>
        <w:t xml:space="preserve"> </w:t>
      </w: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6F31213"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repose</w:t>
      </w:r>
      <w:r w:rsidR="00DD4E41">
        <w:rPr>
          <w:rFonts w:ascii="Times New Roman" w:hAnsi="Times New Roman" w:cs="Times New Roman"/>
          <w:sz w:val="36"/>
          <w:szCs w:val="36"/>
        </w:rPr>
        <w:t xml:space="preserve"> en premier lieu</w:t>
      </w:r>
      <w:r w:rsidR="00EF7A08">
        <w:rPr>
          <w:rFonts w:ascii="Times New Roman" w:hAnsi="Times New Roman" w:cs="Times New Roman"/>
          <w:sz w:val="36"/>
          <w:szCs w:val="36"/>
        </w:rPr>
        <w:t xml:space="preserv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d’EDF  a été de 279 TWH, représentant 63 % de la production française d’électricité. Cette valeur était très éloignée des 430 TWH obtenue en 2015 (certes avant la fermeture prématurée de Fessemheim).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des meilleures performances de 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 xml:space="preserve">est d’autant plus à souligner qu’elle porte sur une cadence telle que la France l’a connue il y a quarante ans lors du démarrage du </w:t>
      </w:r>
      <w:r w:rsidR="00AA164F">
        <w:rPr>
          <w:rFonts w:ascii="Times New Roman" w:hAnsi="Times New Roman" w:cs="Times New Roman"/>
          <w:sz w:val="36"/>
          <w:szCs w:val="36"/>
        </w:rPr>
        <w:lastRenderedPageBreak/>
        <w:t>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sur ce type de réacteur à eau pressurisée</w:t>
      </w:r>
      <w:r w:rsidR="00CD4DF1">
        <w:rPr>
          <w:rStyle w:val="Appelnotedebasdep"/>
          <w:rFonts w:ascii="Times New Roman" w:hAnsi="Times New Roman" w:cs="Times New Roman"/>
          <w:sz w:val="36"/>
          <w:szCs w:val="36"/>
        </w:rPr>
        <w:footnoteReference w:id="80"/>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09A6F2D5"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81"/>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mm. </w:t>
      </w:r>
      <w:r w:rsidR="00822F63" w:rsidRPr="008208BC">
        <w:rPr>
          <w:sz w:val="36"/>
          <w:szCs w:val="36"/>
        </w:rPr>
        <w:t xml:space="preserve">Cet </w:t>
      </w:r>
      <w:r w:rsidRPr="008208BC">
        <w:rPr>
          <w:sz w:val="36"/>
          <w:szCs w:val="36"/>
        </w:rPr>
        <w:t xml:space="preserve">événement </w:t>
      </w:r>
      <w:r w:rsidR="005E7964">
        <w:rPr>
          <w:sz w:val="36"/>
          <w:szCs w:val="36"/>
        </w:rPr>
        <w:t>a été</w:t>
      </w:r>
      <w:r w:rsidR="00822F63" w:rsidRPr="008208BC">
        <w:rPr>
          <w:sz w:val="36"/>
          <w:szCs w:val="36"/>
        </w:rPr>
        <w:t xml:space="preserve">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 xml:space="preserve">de </w:t>
      </w:r>
      <w:r w:rsidR="002B5C6D" w:rsidRPr="008208BC">
        <w:rPr>
          <w:sz w:val="36"/>
          <w:szCs w:val="36"/>
        </w:rPr>
        <w:lastRenderedPageBreak/>
        <w:t>classement des incidents significatifs</w:t>
      </w:r>
      <w:r w:rsidR="002B5C6D" w:rsidRPr="008208BC">
        <w:rPr>
          <w:rStyle w:val="Appelnotedebasdep"/>
          <w:sz w:val="36"/>
          <w:szCs w:val="36"/>
        </w:rPr>
        <w:footnoteReference w:id="82"/>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Le 25 avril 2023, l’ASN a indiqué considérer approprié le calendrier 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83"/>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Fessemheim 12 et le démarrage de Flamanville 3</w:t>
      </w:r>
      <w:r w:rsidR="00E97433" w:rsidRPr="008208BC">
        <w:rPr>
          <w:rStyle w:val="Appelnotedebasdep"/>
          <w:rFonts w:ascii="Times New Roman" w:hAnsi="Times New Roman" w:cs="Times New Roman"/>
          <w:sz w:val="36"/>
          <w:szCs w:val="36"/>
        </w:rPr>
        <w:footnoteReference w:id="84"/>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Default="003E425A" w:rsidP="002B5C6D">
      <w:pPr>
        <w:pStyle w:val="NormalWeb"/>
        <w:jc w:val="both"/>
        <w:rPr>
          <w:rFonts w:eastAsiaTheme="minorHAnsi"/>
          <w:sz w:val="36"/>
          <w:szCs w:val="36"/>
          <w:lang w:eastAsia="en-US"/>
        </w:rPr>
      </w:pPr>
      <w:r w:rsidRPr="003E425A">
        <w:rPr>
          <w:rFonts w:eastAsiaTheme="minorHAnsi"/>
          <w:sz w:val="36"/>
          <w:szCs w:val="36"/>
          <w:lang w:eastAsia="en-US"/>
        </w:rPr>
        <w:lastRenderedPageBreak/>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85"/>
      </w:r>
      <w:r w:rsidRPr="008208BC">
        <w:rPr>
          <w:rFonts w:eastAsiaTheme="minorHAnsi"/>
          <w:sz w:val="36"/>
          <w:szCs w:val="36"/>
          <w:lang w:eastAsia="en-US"/>
        </w:rPr>
        <w:t>.</w:t>
      </w:r>
      <w:r>
        <w:rPr>
          <w:rFonts w:eastAsiaTheme="minorHAnsi"/>
          <w:sz w:val="36"/>
          <w:szCs w:val="36"/>
          <w:lang w:eastAsia="en-US"/>
        </w:rPr>
        <w:t xml:space="preserve"> </w:t>
      </w:r>
    </w:p>
    <w:p w14:paraId="7CBD496B" w14:textId="7E69EEFF" w:rsidR="005E7964" w:rsidRPr="003E425A" w:rsidRDefault="005E7964" w:rsidP="002B5C6D">
      <w:pPr>
        <w:pStyle w:val="NormalWeb"/>
        <w:jc w:val="both"/>
        <w:rPr>
          <w:rFonts w:eastAsiaTheme="minorHAnsi"/>
          <w:sz w:val="36"/>
          <w:szCs w:val="36"/>
          <w:lang w:eastAsia="en-US"/>
        </w:rPr>
      </w:pPr>
      <w:r>
        <w:rPr>
          <w:rFonts w:eastAsiaTheme="minorHAnsi"/>
          <w:sz w:val="36"/>
          <w:szCs w:val="36"/>
          <w:lang w:eastAsia="en-US"/>
        </w:rPr>
        <w:t xml:space="preserve">La production finale d’EDF a été de 318 TWh, soit 66 % de la production France en 2023.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86"/>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w:t>
      </w:r>
      <w:r w:rsidRPr="008208BC">
        <w:rPr>
          <w:rFonts w:ascii="Times New Roman" w:hAnsi="Times New Roman" w:cs="Times New Roman"/>
          <w:sz w:val="36"/>
          <w:szCs w:val="36"/>
        </w:rPr>
        <w:lastRenderedPageBreak/>
        <w:t>2022</w:t>
      </w:r>
      <w:r w:rsidRPr="008208BC">
        <w:rPr>
          <w:rStyle w:val="Appelnotedebasdep"/>
          <w:rFonts w:ascii="Times New Roman" w:hAnsi="Times New Roman" w:cs="Times New Roman"/>
          <w:sz w:val="36"/>
          <w:szCs w:val="36"/>
        </w:rPr>
        <w:footnoteReference w:id="87"/>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88"/>
      </w:r>
      <w:r w:rsidRPr="008208BC">
        <w:rPr>
          <w:i/>
          <w:iCs/>
        </w:rPr>
        <w:t xml:space="preserve">, </w:t>
      </w:r>
      <w:r w:rsidRPr="008208BC">
        <w:rPr>
          <w:rFonts w:ascii="Times New Roman" w:hAnsi="Times New Roman" w:cs="Times New Roman"/>
          <w:i/>
          <w:iCs/>
          <w:sz w:val="36"/>
          <w:szCs w:val="36"/>
        </w:rPr>
        <w:t>la France ne court un risque de « black-out », c’est-à-dire de perte de contrôle totale du système électrique. RTE dispose des moyens de sauvegarde du système électrique 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89"/>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 xml:space="preserve">entre exportations </w:t>
      </w:r>
      <w:r w:rsidR="002C3840" w:rsidRPr="00F81AE0">
        <w:rPr>
          <w:rFonts w:ascii="Times New Roman" w:hAnsi="Times New Roman" w:cs="Times New Roman"/>
          <w:sz w:val="36"/>
          <w:szCs w:val="36"/>
        </w:rPr>
        <w:lastRenderedPageBreak/>
        <w:t>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710019C0"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d’euros </w:t>
      </w:r>
      <w:r w:rsidR="00791F5B">
        <w:rPr>
          <w:rFonts w:ascii="Times New Roman" w:hAnsi="Times New Roman" w:cs="Times New Roman"/>
          <w:sz w:val="36"/>
          <w:szCs w:val="36"/>
        </w:rPr>
        <w:t xml:space="preserve"> (soit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w:t>
      </w:r>
      <w:r w:rsidR="005E7964">
        <w:rPr>
          <w:rFonts w:ascii="Times New Roman" w:hAnsi="Times New Roman" w:cs="Times New Roman"/>
          <w:sz w:val="36"/>
          <w:szCs w:val="36"/>
        </w:rPr>
        <w:t xml:space="preserve">avec 50 TWh, </w:t>
      </w:r>
      <w:r w:rsidR="005D573D">
        <w:rPr>
          <w:rFonts w:ascii="Times New Roman" w:hAnsi="Times New Roman" w:cs="Times New Roman"/>
          <w:sz w:val="36"/>
          <w:szCs w:val="36"/>
        </w:rPr>
        <w:t xml:space="preserve">(maximum historique d’exportation le </w:t>
      </w:r>
      <w:r w:rsidR="00E47605">
        <w:rPr>
          <w:rFonts w:ascii="Times New Roman" w:hAnsi="Times New Roman" w:cs="Times New Roman"/>
          <w:sz w:val="36"/>
          <w:szCs w:val="36"/>
        </w:rPr>
        <w:t>3 janvier 2024</w:t>
      </w:r>
      <w:r w:rsidR="005D573D">
        <w:rPr>
          <w:rFonts w:ascii="Times New Roman" w:hAnsi="Times New Roman" w:cs="Times New Roman"/>
          <w:sz w:val="36"/>
          <w:szCs w:val="36"/>
        </w:rPr>
        <w:t xml:space="preserve"> à </w:t>
      </w:r>
      <w:r w:rsidR="00E47605">
        <w:rPr>
          <w:rFonts w:ascii="Times New Roman" w:hAnsi="Times New Roman" w:cs="Times New Roman"/>
          <w:sz w:val="36"/>
          <w:szCs w:val="36"/>
        </w:rPr>
        <w:t>20 269</w:t>
      </w:r>
      <w:r w:rsidR="005D573D">
        <w:rPr>
          <w:rFonts w:ascii="Times New Roman" w:hAnsi="Times New Roman" w:cs="Times New Roman"/>
          <w:sz w:val="36"/>
          <w:szCs w:val="36"/>
        </w:rPr>
        <w:t xml:space="preserve">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90"/>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537929F5"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t>Le retour durable au plus tôt</w:t>
      </w:r>
      <w:r w:rsidR="002B6F6C">
        <w:rPr>
          <w:rStyle w:val="Appelnotedebasdep"/>
          <w:rFonts w:ascii="Times New Roman" w:hAnsi="Times New Roman" w:cs="Times New Roman"/>
          <w:sz w:val="36"/>
          <w:szCs w:val="36"/>
        </w:rPr>
        <w:footnoteReference w:id="91"/>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xml:space="preserve"> constitue un enjeu majeur pour EDF comme pour la France pour rétablir </w:t>
      </w:r>
      <w:r w:rsidR="004C0258">
        <w:rPr>
          <w:rFonts w:ascii="Times New Roman" w:hAnsi="Times New Roman" w:cs="Times New Roman"/>
          <w:sz w:val="36"/>
          <w:szCs w:val="36"/>
        </w:rPr>
        <w:t xml:space="preserve">durablement </w:t>
      </w:r>
      <w:r>
        <w:rPr>
          <w:rFonts w:ascii="Times New Roman" w:hAnsi="Times New Roman" w:cs="Times New Roman"/>
          <w:sz w:val="36"/>
          <w:szCs w:val="36"/>
        </w:rPr>
        <w:t>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lastRenderedPageBreak/>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pour la construction de plusieurs réacteurs EPR en France, dans le prolongement des réacteurs aujourd’hui  opérationnels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Taishan 1 et 2 en Chine</w:t>
      </w:r>
      <w:r w:rsidR="009E5450">
        <w:rPr>
          <w:rStyle w:val="Appelnotedebasdep"/>
          <w:rFonts w:ascii="Times New Roman" w:hAnsi="Times New Roman" w:cs="Times New Roman"/>
          <w:sz w:val="36"/>
          <w:szCs w:val="36"/>
        </w:rPr>
        <w:footnoteReference w:id="92"/>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Olkiluoto 3 en Finlande</w:t>
      </w:r>
      <w:r w:rsidR="00C158BD">
        <w:rPr>
          <w:rStyle w:val="Appelnotedebasdep"/>
          <w:rFonts w:ascii="Times New Roman" w:hAnsi="Times New Roman" w:cs="Times New Roman"/>
          <w:sz w:val="36"/>
          <w:szCs w:val="36"/>
        </w:rPr>
        <w:footnoteReference w:id="93"/>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en décembre 2007, datait de Civeaux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94"/>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95"/>
      </w:r>
      <w:r w:rsidR="00D77B23">
        <w:rPr>
          <w:rFonts w:ascii="Times New Roman" w:hAnsi="Times New Roman" w:cs="Times New Roman"/>
          <w:sz w:val="36"/>
          <w:szCs w:val="36"/>
        </w:rPr>
        <w:t xml:space="preserve">. </w:t>
      </w:r>
    </w:p>
    <w:p w14:paraId="30DC562B" w14:textId="2700B848"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 est dû</w:t>
      </w:r>
      <w:r w:rsidR="00616B5C" w:rsidRPr="002C3DE2">
        <w:rPr>
          <w:rFonts w:ascii="Times New Roman" w:hAnsi="Times New Roman" w:cs="Times New Roman"/>
          <w:sz w:val="36"/>
          <w:szCs w:val="36"/>
        </w:rPr>
        <w:t>e</w:t>
      </w:r>
      <w:r w:rsidRPr="002C3DE2">
        <w:rPr>
          <w:rFonts w:ascii="Times New Roman" w:hAnsi="Times New Roman" w:cs="Times New Roman"/>
          <w:sz w:val="36"/>
          <w:szCs w:val="36"/>
        </w:rPr>
        <w:t xml:space="preserve"> au premier ordre à une perte de compétence industrielle dans la 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 xml:space="preserve">chaudronnerie, tuyauterie, </w:t>
      </w:r>
      <w:r w:rsidR="004C0258">
        <w:rPr>
          <w:rFonts w:ascii="Times New Roman" w:hAnsi="Times New Roman" w:cs="Times New Roman"/>
          <w:sz w:val="36"/>
          <w:szCs w:val="36"/>
        </w:rPr>
        <w:t xml:space="preserve">soudage, </w:t>
      </w:r>
      <w:r w:rsidR="00C962E1">
        <w:rPr>
          <w:rFonts w:ascii="Times New Roman" w:hAnsi="Times New Roman" w:cs="Times New Roman"/>
          <w:sz w:val="36"/>
          <w:szCs w:val="36"/>
        </w:rPr>
        <w:t>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xml:space="preserve">, notamment à travers le GIFEN, le Groupement des Industriels </w:t>
      </w:r>
      <w:r w:rsidR="009F49DC">
        <w:rPr>
          <w:rFonts w:ascii="Times New Roman" w:hAnsi="Times New Roman" w:cs="Times New Roman"/>
          <w:sz w:val="36"/>
          <w:szCs w:val="36"/>
        </w:rPr>
        <w:lastRenderedPageBreak/>
        <w:t>Français du Nucléaire</w:t>
      </w:r>
      <w:r w:rsidR="009F49DC">
        <w:rPr>
          <w:rStyle w:val="Appelnotedebasdep"/>
          <w:rFonts w:ascii="Times New Roman" w:hAnsi="Times New Roman" w:cs="Times New Roman"/>
          <w:sz w:val="36"/>
          <w:szCs w:val="36"/>
        </w:rPr>
        <w:footnoteReference w:id="96"/>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97"/>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w:t>
      </w:r>
      <w:r w:rsidR="002C459E" w:rsidRPr="004103B3">
        <w:rPr>
          <w:rFonts w:ascii="Times New Roman" w:hAnsi="Times New Roman" w:cs="Times New Roman"/>
          <w:sz w:val="36"/>
          <w:szCs w:val="36"/>
        </w:rPr>
        <w:lastRenderedPageBreak/>
        <w:t>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98"/>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61AA748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 xml:space="preserve">ème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devra rester dans la limite des 100 euro le MWh voire en dessous</w:t>
      </w:r>
      <w:r w:rsidR="004C0258">
        <w:rPr>
          <w:rStyle w:val="Appelnotedebasdep"/>
          <w:rFonts w:ascii="Times New Roman" w:hAnsi="Times New Roman" w:cs="Times New Roman"/>
          <w:sz w:val="36"/>
          <w:szCs w:val="36"/>
        </w:rPr>
        <w:footnoteReference w:id="99"/>
      </w:r>
      <w:r w:rsidR="00252EE9" w:rsidRPr="004103B3">
        <w:rPr>
          <w:rFonts w:ascii="Times New Roman" w:hAnsi="Times New Roman" w:cs="Times New Roman"/>
          <w:sz w:val="36"/>
          <w:szCs w:val="36"/>
        </w:rPr>
        <w:t xml:space="preserve">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r w:rsidRPr="00BD594C">
        <w:rPr>
          <w:rFonts w:eastAsiaTheme="minorHAnsi"/>
          <w:sz w:val="36"/>
          <w:szCs w:val="36"/>
          <w:lang w:eastAsia="en-US"/>
        </w:rPr>
        <w:t xml:space="preserve">Mochovce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Olkiluoto 3, réacteur EPR, de </w:t>
      </w:r>
      <w:r w:rsidRPr="004316E9">
        <w:rPr>
          <w:rFonts w:eastAsiaTheme="minorHAnsi"/>
          <w:sz w:val="36"/>
          <w:szCs w:val="36"/>
          <w:lang w:eastAsia="en-US"/>
        </w:rPr>
        <w:lastRenderedPageBreak/>
        <w:t xml:space="preserve">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399E7DFA"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Chine, Taishan 2, réacteur EPR, de 1660 MW, de conception française</w:t>
      </w:r>
      <w:r w:rsidR="003159AB">
        <w:rPr>
          <w:rStyle w:val="Appelnotedebasdep"/>
          <w:rFonts w:eastAsiaTheme="minorHAnsi"/>
          <w:sz w:val="36"/>
          <w:szCs w:val="36"/>
          <w:lang w:eastAsia="en-US"/>
        </w:rPr>
        <w:footnoteReference w:id="100"/>
      </w:r>
      <w:r w:rsidRPr="004316E9">
        <w:rPr>
          <w:rFonts w:eastAsiaTheme="minorHAnsi"/>
          <w:sz w:val="36"/>
          <w:szCs w:val="36"/>
          <w:lang w:eastAsia="en-US"/>
        </w:rPr>
        <w:t xml:space="preserve">, a été couplé le 23 juin 2019 après une durée de construction  de 9,2 ans. </w:t>
      </w:r>
      <w:r w:rsidR="00C962E1">
        <w:rPr>
          <w:rFonts w:eastAsiaTheme="minorHAnsi"/>
          <w:sz w:val="36"/>
          <w:szCs w:val="36"/>
          <w:lang w:eastAsia="en-US"/>
        </w:rPr>
        <w:t xml:space="preserve">Pour mémoire, Taishan a été couplé pour la première fois le 29 juin 2018, il y a plus de cinq ans maintenant. Les deux premiers EPR ont déjà produit 73 TWh à eux deux à fin 2022.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Durant cette période 2019-2023, pour rester en Chine, ont été couplés  6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Kanupp 2 et Kanupp 3, Rep de 1000 MW, couplés 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Saeul 2 le 22 avril 2019 et Shin Hanul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 xml:space="preserve">Aux Emirats Arabes Unis, Barakah 1, 2 et 3 ,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MW ,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deux  réacteurs  REP, Novovoronezh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Balarusian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Vogtle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w:t>
      </w:r>
      <w:r w:rsidR="002A123B">
        <w:rPr>
          <w:rFonts w:eastAsiaTheme="minorHAnsi"/>
          <w:sz w:val="36"/>
          <w:szCs w:val="36"/>
          <w:lang w:eastAsia="en-US"/>
        </w:rPr>
        <w:lastRenderedPageBreak/>
        <w:t>000 années d’expérience de production industrielle cumulée à travers</w:t>
      </w:r>
      <w:r w:rsidR="002A123B">
        <w:rPr>
          <w:rStyle w:val="Appelnotedebasdep"/>
          <w:rFonts w:eastAsiaTheme="minorHAnsi"/>
          <w:sz w:val="36"/>
          <w:szCs w:val="36"/>
          <w:lang w:eastAsia="en-US"/>
        </w:rPr>
        <w:footnoteReference w:id="101"/>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Le coût des trois premières paires d’EPR 2 est annoncé par EDF de 51,7 milliards d’euros, hors coût de financement. Hors ce dernier peut intervenir pour un à deux tiers dans le prix final et global du Coût du MWh produit</w:t>
      </w:r>
      <w:r>
        <w:rPr>
          <w:rStyle w:val="Appelnotedebasdep"/>
          <w:rFonts w:ascii="Times New Roman" w:hAnsi="Times New Roman" w:cs="Times New Roman"/>
          <w:sz w:val="36"/>
          <w:szCs w:val="36"/>
        </w:rPr>
        <w:footnoteReference w:id="102"/>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103"/>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104"/>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France a un projet de petit réacteur Nuward</w:t>
      </w:r>
      <w:r w:rsidR="00BB09CB">
        <w:rPr>
          <w:rStyle w:val="Appelnotedebasdep"/>
          <w:rFonts w:ascii="Times New Roman" w:hAnsi="Times New Roman" w:cs="Times New Roman"/>
          <w:sz w:val="36"/>
          <w:szCs w:val="36"/>
        </w:rPr>
        <w:footnoteReference w:id="105"/>
      </w:r>
      <w:r w:rsidR="00E456F1" w:rsidRPr="00F762E8">
        <w:rPr>
          <w:rFonts w:ascii="Times New Roman" w:hAnsi="Times New Roman" w:cs="Times New Roman"/>
          <w:sz w:val="36"/>
          <w:szCs w:val="36"/>
        </w:rPr>
        <w:t>, développé conjointement par EDF, Technicatome</w:t>
      </w:r>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Tractebel, </w:t>
      </w:r>
      <w:r w:rsidR="00E456F1" w:rsidRPr="00F762E8">
        <w:rPr>
          <w:rFonts w:ascii="Times New Roman" w:hAnsi="Times New Roman" w:cs="Times New Roman"/>
          <w:sz w:val="36"/>
          <w:szCs w:val="36"/>
        </w:rPr>
        <w:t xml:space="preserve">d’une puissance de 340 MWe,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Ce réacteur bénéficie d’une évaluation conjointe des autorités de sûreté françaises, tchèques et finlandaises</w:t>
      </w:r>
      <w:r w:rsidR="00A07442">
        <w:rPr>
          <w:rStyle w:val="Appelnotedebasdep"/>
          <w:rFonts w:ascii="Times New Roman" w:hAnsi="Times New Roman" w:cs="Times New Roman"/>
          <w:sz w:val="36"/>
          <w:szCs w:val="36"/>
        </w:rPr>
        <w:footnoteReference w:id="106"/>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107"/>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lastRenderedPageBreak/>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108"/>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77777777"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 xml:space="preserve">innovants n’échappe pas aux considérations précédentes, en premier lieu sur la sûreté nucléaire. </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Les pays européens, au regard des enjeux de sûreté nucléaire et de souveraineté énergétique, devront veiller à développer en Europe l’expertise d’évaluation et la compétence industrielle, dans un contexte de forte concurrence internationale et d’enjeux 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de  perte d’expertise et de dépendance en conséquence. </w:t>
      </w:r>
      <w:r w:rsidR="00F45B04">
        <w:rPr>
          <w:rStyle w:val="Appelnotedebasdep"/>
          <w:rFonts w:ascii="Times New Roman" w:hAnsi="Times New Roman" w:cs="Times New Roman"/>
          <w:sz w:val="36"/>
          <w:szCs w:val="36"/>
        </w:rPr>
        <w:footnoteReference w:id="109"/>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E148CF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w:t>
      </w:r>
      <w:r w:rsidR="003A6E3D">
        <w:rPr>
          <w:rFonts w:ascii="Times New Roman" w:hAnsi="Times New Roman" w:cs="Times New Roman"/>
          <w:sz w:val="36"/>
          <w:szCs w:val="36"/>
        </w:rPr>
        <w:lastRenderedPageBreak/>
        <w:t xml:space="preserve">de retrouver l’historique des difficultés rencontrées lors de ces projets pour éviter de reproduire des erreurs. </w:t>
      </w:r>
      <w:r w:rsidR="000B31B4">
        <w:rPr>
          <w:rFonts w:ascii="Times New Roman" w:hAnsi="Times New Roman" w:cs="Times New Roman"/>
          <w:sz w:val="36"/>
          <w:szCs w:val="36"/>
        </w:rPr>
        <w:t>Si les installations civiles et militaires doivent demeurer strictement séparées, il convient également de ne pas ignorer les possibilités de développement dans le domaine civil des réacteurs de solutions déployées à des fins militaires</w:t>
      </w:r>
      <w:r w:rsidR="000B31B4">
        <w:rPr>
          <w:rStyle w:val="Appelnotedebasdep"/>
          <w:rFonts w:ascii="Times New Roman" w:hAnsi="Times New Roman" w:cs="Times New Roman"/>
          <w:sz w:val="36"/>
          <w:szCs w:val="36"/>
        </w:rPr>
        <w:footnoteReference w:id="110"/>
      </w:r>
      <w:r w:rsidR="000B31B4">
        <w:rPr>
          <w:rFonts w:ascii="Times New Roman" w:hAnsi="Times New Roman" w:cs="Times New Roman"/>
          <w:sz w:val="36"/>
          <w:szCs w:val="36"/>
        </w:rPr>
        <w:t xml:space="preserve">, en veillant évidemment à ne pas remettre en cause nos propres capacités de défense et à ne pas contribuer à l’escalade et à la prolifération des armements à travers le monde.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starts ups</w:t>
      </w:r>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111"/>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dispositifs numériques pouvant être déployés. La fermeture relativement récente d’un grand nombre de réacteurs de </w:t>
      </w:r>
      <w:r>
        <w:rPr>
          <w:rFonts w:ascii="Times New Roman" w:hAnsi="Times New Roman" w:cs="Times New Roman"/>
          <w:sz w:val="36"/>
          <w:szCs w:val="36"/>
        </w:rPr>
        <w:lastRenderedPageBreak/>
        <w:t xml:space="preserve">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112"/>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r w:rsidRPr="00135EBA">
        <w:rPr>
          <w:rFonts w:eastAsiaTheme="minorHAnsi"/>
          <w:sz w:val="36"/>
          <w:szCs w:val="36"/>
          <w:lang w:eastAsia="en-US"/>
        </w:rPr>
        <w:t>led,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24?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5">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lastRenderedPageBreak/>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11D87C96"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Les taxes, dont</w:t>
      </w:r>
      <w:r w:rsidR="00562859">
        <w:rPr>
          <w:sz w:val="36"/>
          <w:szCs w:val="36"/>
        </w:rPr>
        <w:t xml:space="preserve"> l’accise sur l’électricité, </w:t>
      </w:r>
      <w:r w:rsidR="00562859" w:rsidRPr="00BF6465">
        <w:rPr>
          <w:sz w:val="36"/>
          <w:szCs w:val="36"/>
        </w:rPr>
        <w:t xml:space="preserve">anciennement appelée </w:t>
      </w:r>
      <w:r w:rsidR="00562859">
        <w:rPr>
          <w:sz w:val="36"/>
          <w:szCs w:val="36"/>
        </w:rPr>
        <w:t xml:space="preserve">précédemment Contribution au service public de l’électricité (CSPE), puis </w:t>
      </w:r>
      <w:r w:rsidR="00562859" w:rsidRPr="00BF6465">
        <w:rPr>
          <w:sz w:val="36"/>
          <w:szCs w:val="36"/>
        </w:rPr>
        <w:t>taxe intérieure à la</w:t>
      </w:r>
      <w:r w:rsidR="00562859">
        <w:rPr>
          <w:sz w:val="36"/>
          <w:szCs w:val="36"/>
        </w:rPr>
        <w:t xml:space="preserve"> </w:t>
      </w:r>
      <w:r w:rsidR="00562859" w:rsidRPr="00BF6465">
        <w:rPr>
          <w:sz w:val="36"/>
          <w:szCs w:val="36"/>
        </w:rPr>
        <w:t>consommation finale d’électricité (TICFE)</w:t>
      </w:r>
      <w:r w:rsidR="00562859">
        <w:rPr>
          <w:sz w:val="36"/>
          <w:szCs w:val="36"/>
        </w:rPr>
        <w:t xml:space="preserve">, </w:t>
      </w:r>
      <w:r w:rsidRPr="002621A7">
        <w:rPr>
          <w:rFonts w:eastAsiaTheme="minorHAnsi"/>
          <w:sz w:val="36"/>
          <w:szCs w:val="36"/>
          <w:lang w:eastAsia="en-US"/>
        </w:rPr>
        <w:t xml:space="preserve"> </w:t>
      </w:r>
      <w:r>
        <w:rPr>
          <w:rFonts w:eastAsiaTheme="minorHAnsi"/>
          <w:sz w:val="36"/>
          <w:szCs w:val="36"/>
          <w:lang w:eastAsia="en-US"/>
        </w:rPr>
        <w:t>re</w:t>
      </w:r>
      <w:r w:rsidRPr="002621A7">
        <w:rPr>
          <w:rFonts w:eastAsiaTheme="minorHAnsi"/>
          <w:sz w:val="36"/>
          <w:szCs w:val="36"/>
          <w:lang w:eastAsia="en-US"/>
        </w:rPr>
        <w:t>versée</w:t>
      </w:r>
      <w:r w:rsidR="00562859">
        <w:rPr>
          <w:rFonts w:eastAsiaTheme="minorHAnsi"/>
          <w:sz w:val="36"/>
          <w:szCs w:val="36"/>
          <w:lang w:eastAsia="en-US"/>
        </w:rPr>
        <w:t>s</w:t>
      </w:r>
      <w:r w:rsidRPr="002621A7">
        <w:rPr>
          <w:rFonts w:eastAsiaTheme="minorHAnsi"/>
          <w:sz w:val="36"/>
          <w:szCs w:val="36"/>
          <w:lang w:eastAsia="en-US"/>
        </w:rPr>
        <w:t xml:space="preserv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113"/>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194, 6 euro le Mwh en France en 2021 contre 128, 3 Euro /Mwh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La France qui se situait dans les pays les moins chers en 2010, 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Elle se rapproche de l’Allemagne, sans encore la dépasser, Allemagne qui a vu aussi ses prix augmenter, 237 euro le Mwh en 2010 et  319,3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I</w:t>
      </w:r>
      <w:r w:rsidRPr="00B021BB">
        <w:rPr>
          <w:rFonts w:eastAsiaTheme="minorHAnsi"/>
          <w:b/>
          <w:bCs/>
          <w:sz w:val="36"/>
          <w:szCs w:val="36"/>
          <w:lang w:eastAsia="en-US"/>
        </w:rPr>
        <w:t>nefficacité:</w:t>
      </w:r>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l’Aren</w:t>
      </w:r>
      <w:r>
        <w:rPr>
          <w:rFonts w:eastAsiaTheme="minorHAnsi"/>
          <w:sz w:val="36"/>
          <w:szCs w:val="36"/>
          <w:lang w:eastAsia="en-US"/>
        </w:rPr>
        <w:t>h</w:t>
      </w:r>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114"/>
      </w:r>
      <w:r>
        <w:rPr>
          <w:rFonts w:eastAsiaTheme="minorHAnsi"/>
          <w:sz w:val="36"/>
          <w:szCs w:val="36"/>
          <w:lang w:eastAsia="en-US"/>
        </w:rPr>
        <w:t>. Marcel Boiteux</w:t>
      </w:r>
      <w:r>
        <w:rPr>
          <w:rStyle w:val="Appelnotedebasdep"/>
          <w:rFonts w:eastAsiaTheme="minorHAnsi"/>
          <w:sz w:val="36"/>
          <w:szCs w:val="36"/>
          <w:lang w:eastAsia="en-US"/>
        </w:rPr>
        <w:footnoteReference w:id="115"/>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ruban, </w:t>
      </w:r>
      <w:r w:rsidRPr="004103B3">
        <w:rPr>
          <w:rFonts w:eastAsiaTheme="minorHAnsi"/>
          <w:sz w:val="36"/>
          <w:szCs w:val="36"/>
          <w:lang w:eastAsia="en-US"/>
        </w:rPr>
        <w:t xml:space="preserve"> et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w:t>
      </w:r>
      <w:r w:rsidRPr="004103B3">
        <w:rPr>
          <w:rFonts w:eastAsiaTheme="minorHAnsi"/>
          <w:sz w:val="36"/>
          <w:szCs w:val="36"/>
          <w:lang w:eastAsia="en-US"/>
        </w:rPr>
        <w:lastRenderedPageBreak/>
        <w:t>augmenter s’il doit subsister, pour faire perdre des parts de marché à l’opérateur historique, fut-il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générations futures, lutte contre l’effet des serre climatique, aménagement du territoire, solidarité avec les territoires les plus éloignés ou les plus démunis, lutte contre l’exclusion, prise en compte des données économiques de court et long terme… et </w:t>
      </w:r>
      <w:r w:rsidRPr="004103B3">
        <w:rPr>
          <w:rFonts w:eastAsiaTheme="minorHAnsi"/>
          <w:sz w:val="36"/>
          <w:szCs w:val="36"/>
          <w:lang w:eastAsia="en-US"/>
        </w:rPr>
        <w:lastRenderedPageBreak/>
        <w:t>répondant aux critères attendus et contrôlés en toute 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Fessemheim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w:t>
      </w:r>
      <w:r>
        <w:rPr>
          <w:rFonts w:eastAsiaTheme="minorHAnsi"/>
          <w:sz w:val="36"/>
          <w:szCs w:val="36"/>
          <w:lang w:eastAsia="en-US"/>
        </w:rPr>
        <w:lastRenderedPageBreak/>
        <w:t xml:space="preserve">sont devenus de plus en plus dépendants des variations du marché de gros de l’électricité, eux-mêmes de plus en plus  éloignés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72AD7D9B"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38B67DBC" w14:textId="77777777" w:rsidR="00DD4E41" w:rsidRDefault="00DD4E41"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Fessemheim en France, par la loi sur la programmation Pluriannuelle de l’Energie, toujours en vigueur, prévoyant l’arrêt prématuré d’une douzaine de réacteurs en plus de Fessemheim,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w:t>
      </w:r>
      <w:r>
        <w:rPr>
          <w:rFonts w:eastAsiaTheme="minorHAnsi"/>
          <w:sz w:val="36"/>
          <w:szCs w:val="36"/>
          <w:lang w:eastAsia="en-US"/>
        </w:rPr>
        <w:lastRenderedPageBreak/>
        <w:t xml:space="preserve">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w:t>
      </w:r>
      <w:r>
        <w:rPr>
          <w:rFonts w:eastAsiaTheme="minorHAnsi"/>
          <w:sz w:val="36"/>
          <w:szCs w:val="36"/>
          <w:lang w:eastAsia="en-US"/>
        </w:rPr>
        <w:lastRenderedPageBreak/>
        <w:t xml:space="preserve">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la </w:t>
      </w:r>
      <w:r w:rsidRPr="0081253B">
        <w:rPr>
          <w:rFonts w:ascii="Times New Roman" w:hAnsi="Times New Roman" w:cs="Times New Roman"/>
          <w:b/>
          <w:bCs/>
          <w:i/>
          <w:iCs/>
          <w:sz w:val="36"/>
          <w:szCs w:val="36"/>
        </w:rPr>
        <w:t xml:space="preserve"> haute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hydraulicité, </w:t>
      </w:r>
      <w:r>
        <w:rPr>
          <w:rFonts w:ascii="Times New Roman" w:hAnsi="Times New Roman" w:cs="Times New Roman"/>
          <w:sz w:val="36"/>
          <w:szCs w:val="36"/>
        </w:rPr>
        <w:t xml:space="preserve"> la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116"/>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117"/>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6CCE5520"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c</w:t>
      </w:r>
      <w:r w:rsidR="008A7B2D">
        <w:rPr>
          <w:rFonts w:ascii="Times New Roman" w:hAnsi="Times New Roman" w:cs="Times New Roman"/>
          <w:sz w:val="36"/>
          <w:szCs w:val="36"/>
        </w:rPr>
        <w:t xml:space="preserve">e marché </w:t>
      </w:r>
      <w:r w:rsidR="00512BD9">
        <w:rPr>
          <w:rFonts w:ascii="Times New Roman" w:hAnsi="Times New Roman" w:cs="Times New Roman"/>
          <w:sz w:val="36"/>
          <w:szCs w:val="36"/>
        </w:rPr>
        <w:t xml:space="preserve">de gros </w:t>
      </w:r>
      <w:r w:rsidR="008A7B2D">
        <w:rPr>
          <w:rFonts w:ascii="Times New Roman" w:hAnsi="Times New Roman" w:cs="Times New Roman"/>
          <w:sz w:val="36"/>
          <w:szCs w:val="36"/>
        </w:rPr>
        <w:t xml:space="preserve">à terme, le « ruban » pour une durée donnée, constitue un point de repère important.  </w:t>
      </w:r>
    </w:p>
    <w:p w14:paraId="7524EDFF" w14:textId="254BF281" w:rsidR="00387DF7" w:rsidRPr="00387DF7" w:rsidRDefault="00387DF7" w:rsidP="00512BD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lastRenderedPageBreak/>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118"/>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628096E0" w14:textId="000C4D8C" w:rsidR="00094FC7" w:rsidRDefault="00D955E3" w:rsidP="00512BD9">
      <w:pPr>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w:t>
      </w:r>
      <w:r w:rsidR="00512BD9">
        <w:rPr>
          <w:rFonts w:ascii="Times New Roman" w:hAnsi="Times New Roman" w:cs="Times New Roman"/>
          <w:sz w:val="36"/>
          <w:szCs w:val="36"/>
        </w:rPr>
        <w:t>e</w:t>
      </w:r>
      <w:r w:rsidRPr="00D955E3">
        <w:rPr>
          <w:rFonts w:ascii="Times New Roman" w:hAnsi="Times New Roman" w:cs="Times New Roman"/>
          <w:sz w:val="36"/>
          <w:szCs w:val="36"/>
        </w:rPr>
        <w:t>uro</w:t>
      </w:r>
      <w:r w:rsidR="00512BD9">
        <w:rPr>
          <w:rFonts w:ascii="Times New Roman" w:hAnsi="Times New Roman" w:cs="Times New Roman"/>
          <w:sz w:val="36"/>
          <w:szCs w:val="36"/>
        </w:rPr>
        <w:t>s</w:t>
      </w:r>
      <w:r w:rsidRPr="00D955E3">
        <w:rPr>
          <w:rFonts w:ascii="Times New Roman" w:hAnsi="Times New Roman" w:cs="Times New Roman"/>
          <w:sz w:val="36"/>
          <w:szCs w:val="36"/>
        </w:rPr>
        <w:t xml:space="preserve">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w:t>
      </w:r>
      <w:r w:rsidR="00094FC7">
        <w:rPr>
          <w:rFonts w:ascii="Times New Roman" w:hAnsi="Times New Roman" w:cs="Times New Roman"/>
          <w:sz w:val="36"/>
          <w:szCs w:val="36"/>
        </w:rPr>
        <w:t>L</w:t>
      </w:r>
      <w:r w:rsidR="00094FC7" w:rsidRPr="00094FC7">
        <w:rPr>
          <w:rFonts w:ascii="Times New Roman" w:hAnsi="Times New Roman" w:cs="Times New Roman"/>
          <w:sz w:val="36"/>
          <w:szCs w:val="36"/>
        </w:rPr>
        <w:t xml:space="preserve">e ruban depuis le 15 novembre 2023, </w:t>
      </w:r>
      <w:r w:rsidR="00094FC7">
        <w:rPr>
          <w:rFonts w:ascii="Times New Roman" w:hAnsi="Times New Roman" w:cs="Times New Roman"/>
          <w:sz w:val="36"/>
          <w:szCs w:val="36"/>
        </w:rPr>
        <w:t xml:space="preserve">vient </w:t>
      </w:r>
      <w:r w:rsidR="00094FC7" w:rsidRPr="00094FC7">
        <w:rPr>
          <w:rFonts w:ascii="Times New Roman" w:hAnsi="Times New Roman" w:cs="Times New Roman"/>
          <w:sz w:val="36"/>
          <w:szCs w:val="36"/>
        </w:rPr>
        <w:t xml:space="preserve">de redescendre en dessous de 100 </w:t>
      </w:r>
      <w:r w:rsidR="00512BD9">
        <w:rPr>
          <w:rFonts w:ascii="Times New Roman" w:hAnsi="Times New Roman" w:cs="Times New Roman"/>
          <w:sz w:val="36"/>
          <w:szCs w:val="36"/>
        </w:rPr>
        <w:t>e</w:t>
      </w:r>
      <w:r w:rsidR="00094FC7" w:rsidRPr="00094FC7">
        <w:rPr>
          <w:rFonts w:ascii="Times New Roman" w:hAnsi="Times New Roman" w:cs="Times New Roman"/>
          <w:sz w:val="36"/>
          <w:szCs w:val="36"/>
        </w:rPr>
        <w:t>uros le MWh pour 2026</w:t>
      </w:r>
      <w:r w:rsidR="00094FC7">
        <w:rPr>
          <w:rFonts w:ascii="Times New Roman" w:hAnsi="Times New Roman" w:cs="Times New Roman"/>
          <w:sz w:val="36"/>
          <w:szCs w:val="36"/>
        </w:rPr>
        <w:t> . P</w:t>
      </w:r>
      <w:r w:rsidR="00094FC7" w:rsidRPr="00094FC7">
        <w:rPr>
          <w:rFonts w:ascii="Times New Roman" w:hAnsi="Times New Roman" w:cs="Times New Roman"/>
          <w:sz w:val="36"/>
          <w:szCs w:val="36"/>
        </w:rPr>
        <w:t xml:space="preserve">our 2024 et 2025 le ruban demeure </w:t>
      </w:r>
      <w:r w:rsidR="00D8202B">
        <w:rPr>
          <w:rFonts w:ascii="Times New Roman" w:hAnsi="Times New Roman" w:cs="Times New Roman"/>
          <w:sz w:val="36"/>
          <w:szCs w:val="36"/>
        </w:rPr>
        <w:t xml:space="preserve">alors </w:t>
      </w:r>
      <w:r w:rsidR="00512BD9">
        <w:rPr>
          <w:rFonts w:ascii="Times New Roman" w:hAnsi="Times New Roman" w:cs="Times New Roman"/>
          <w:sz w:val="36"/>
          <w:szCs w:val="36"/>
        </w:rPr>
        <w:t xml:space="preserve">cependant </w:t>
      </w:r>
      <w:r w:rsidR="00094FC7">
        <w:rPr>
          <w:rFonts w:ascii="Times New Roman" w:hAnsi="Times New Roman" w:cs="Times New Roman"/>
          <w:sz w:val="36"/>
          <w:szCs w:val="36"/>
        </w:rPr>
        <w:t xml:space="preserve">à cette date </w:t>
      </w:r>
      <w:r w:rsidR="00094FC7" w:rsidRPr="00094FC7">
        <w:rPr>
          <w:rFonts w:ascii="Times New Roman" w:hAnsi="Times New Roman" w:cs="Times New Roman"/>
          <w:sz w:val="36"/>
          <w:szCs w:val="36"/>
        </w:rPr>
        <w:t>encore anormalement élevé, au regard des coûts de production, respectivement  119 euros le MWh, et 115 euros le MWh</w:t>
      </w:r>
      <w:r w:rsidR="00094FC7">
        <w:rPr>
          <w:rFonts w:ascii="Times New Roman" w:hAnsi="Times New Roman" w:cs="Times New Roman"/>
          <w:sz w:val="36"/>
          <w:szCs w:val="36"/>
        </w:rPr>
        <w:t xml:space="preserve">, tout en s’inscrivant dans une perspective de baisse. </w:t>
      </w:r>
    </w:p>
    <w:p w14:paraId="11DC9668" w14:textId="07821EF4" w:rsidR="00512BD9" w:rsidRDefault="00512BD9" w:rsidP="00512BD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5EA2D57" wp14:editId="271EFB23">
            <wp:extent cx="5760720" cy="3081020"/>
            <wp:effectExtent l="0" t="0" r="0" b="5080"/>
            <wp:docPr id="380374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74105" name="Image 3803741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081020"/>
                    </a:xfrm>
                    <a:prstGeom prst="rect">
                      <a:avLst/>
                    </a:prstGeom>
                  </pic:spPr>
                </pic:pic>
              </a:graphicData>
            </a:graphic>
          </wp:inline>
        </w:drawing>
      </w:r>
    </w:p>
    <w:p w14:paraId="75A0F86D" w14:textId="798A4E32" w:rsidR="00512BD9" w:rsidRPr="00512BD9" w:rsidRDefault="00512BD9" w:rsidP="00512BD9">
      <w:pPr>
        <w:jc w:val="both"/>
        <w:rPr>
          <w:rFonts w:ascii="Times New Roman" w:hAnsi="Times New Roman" w:cs="Times New Roman"/>
          <w:i/>
          <w:iCs/>
          <w:sz w:val="36"/>
          <w:szCs w:val="36"/>
        </w:rPr>
      </w:pPr>
      <w:r w:rsidRPr="00512BD9">
        <w:rPr>
          <w:rFonts w:ascii="Times New Roman" w:hAnsi="Times New Roman" w:cs="Times New Roman"/>
          <w:i/>
          <w:iCs/>
          <w:sz w:val="36"/>
          <w:szCs w:val="36"/>
        </w:rPr>
        <w:t>Ruban 2026 inférieur à 100 euros le MWh le 15 novembre 2023</w:t>
      </w:r>
    </w:p>
    <w:p w14:paraId="7A058869" w14:textId="63724D12"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sidR="00512BD9">
        <w:rPr>
          <w:rFonts w:ascii="Times New Roman" w:hAnsi="Times New Roman" w:cs="Times New Roman"/>
          <w:sz w:val="36"/>
          <w:szCs w:val="36"/>
        </w:rPr>
        <w:t>à 100O euros le MWh étaient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 xml:space="preserve">de l’Arenh à 42 euros le MWh ( prix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 xml:space="preserve">autour de 100 Euro </w:t>
      </w:r>
      <w:r w:rsidR="00387DF7" w:rsidRPr="00D955E3">
        <w:rPr>
          <w:rFonts w:ascii="Times New Roman" w:hAnsi="Times New Roman" w:cs="Times New Roman"/>
          <w:sz w:val="36"/>
          <w:szCs w:val="36"/>
        </w:rPr>
        <w:lastRenderedPageBreak/>
        <w:t>le Mwh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2BCA4BDB"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w:t>
      </w:r>
      <w:r w:rsidR="00512BD9">
        <w:rPr>
          <w:rFonts w:ascii="Times New Roman" w:hAnsi="Times New Roman" w:cs="Times New Roman"/>
          <w:sz w:val="36"/>
          <w:szCs w:val="36"/>
        </w:rPr>
        <w:t>s</w:t>
      </w:r>
      <w:r>
        <w:rPr>
          <w:rFonts w:ascii="Times New Roman" w:hAnsi="Times New Roman" w:cs="Times New Roman"/>
          <w:sz w:val="36"/>
          <w:szCs w:val="36"/>
        </w:rPr>
        <w:t xml:space="preserve">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1D888E18" w14:textId="77777777" w:rsidR="00D8202B"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w:t>
      </w:r>
    </w:p>
    <w:p w14:paraId="67E609A3" w14:textId="1536C1BE" w:rsidR="00A739EE" w:rsidRDefault="00154ABE"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Rappelons que la production d’électricité par le gaz est demeurée inférieure à 10 % en France en 2022, </w:t>
      </w:r>
      <w:r w:rsidR="00D8202B">
        <w:rPr>
          <w:rFonts w:ascii="Times New Roman" w:hAnsi="Times New Roman" w:cs="Times New Roman"/>
          <w:sz w:val="36"/>
          <w:szCs w:val="36"/>
        </w:rPr>
        <w:t xml:space="preserve">et à 6 % en 2023, </w:t>
      </w:r>
      <w:r>
        <w:rPr>
          <w:rFonts w:ascii="Times New Roman" w:hAnsi="Times New Roman" w:cs="Times New Roman"/>
          <w:sz w:val="36"/>
          <w:szCs w:val="36"/>
        </w:rPr>
        <w:t xml:space="preserve">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119"/>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lastRenderedPageBreak/>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120"/>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réglementés  à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121"/>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122"/>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123"/>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124"/>
      </w:r>
      <w:r w:rsidRPr="004103B3">
        <w:rPr>
          <w:rFonts w:ascii="Times New Roman" w:hAnsi="Times New Roman" w:cs="Times New Roman"/>
          <w:sz w:val="36"/>
          <w:szCs w:val="36"/>
        </w:rPr>
        <w:t xml:space="preserve">… sans </w:t>
      </w:r>
      <w:r w:rsidRPr="004103B3">
        <w:rPr>
          <w:rFonts w:ascii="Times New Roman" w:hAnsi="Times New Roman" w:cs="Times New Roman"/>
          <w:sz w:val="36"/>
          <w:szCs w:val="36"/>
        </w:rPr>
        <w:lastRenderedPageBreak/>
        <w:t xml:space="preserve">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058C3641" w14:textId="6FC30932"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La CRE (Commission de Régulation de l'Energie) a publié</w:t>
      </w:r>
      <w:r>
        <w:rPr>
          <w:rStyle w:val="Appelnotedebasdep"/>
          <w:rFonts w:ascii="Times New Roman" w:hAnsi="Times New Roman" w:cs="Times New Roman"/>
          <w:sz w:val="36"/>
          <w:szCs w:val="36"/>
        </w:rPr>
        <w:footnoteReference w:id="125"/>
      </w:r>
      <w:r w:rsidRPr="00DD4E41">
        <w:rPr>
          <w:rFonts w:ascii="Times New Roman" w:hAnsi="Times New Roman" w:cs="Times New Roman"/>
          <w:sz w:val="36"/>
          <w:szCs w:val="36"/>
        </w:rPr>
        <w:t xml:space="preserve"> le 14 novembre 2023 des références de prix d’offres d’électricité hors taxes pour l’année 2024, à destination des petites et moyennes entreprises (PME), les collectivités territoriales et les acheteurs soumis au code de la commande publique (tels que les bailleurs sociaux)</w:t>
      </w:r>
      <w:r w:rsidR="00512BD9">
        <w:rPr>
          <w:rFonts w:ascii="Times New Roman" w:hAnsi="Times New Roman" w:cs="Times New Roman"/>
          <w:sz w:val="36"/>
          <w:szCs w:val="36"/>
        </w:rPr>
        <w:t xml:space="preserve">, </w:t>
      </w:r>
      <w:r w:rsidRPr="00DD4E41">
        <w:rPr>
          <w:rFonts w:ascii="Times New Roman" w:hAnsi="Times New Roman" w:cs="Times New Roman"/>
          <w:sz w:val="36"/>
          <w:szCs w:val="36"/>
        </w:rPr>
        <w:t xml:space="preserve">avec notamment un prix de référence de 188 euros le MWH HT pour les clients "profil bleu" option base. Ce prix , hors taxes,  inclut conjointement la part énergie et la part acheminement ( qui ne constitue pas la part majoritaire de l'offre). Il représente prés de cinq fois le niveau de prix Arenh à 42 euros le MWh, prix fixe depuis 11 ans pour la production nucléaire cédée depuis 2012 par EDF aux fournisseurs dits alternatifs...sans pouvoir financer le renouvellement du parc nucléaire. Ceci illustre, par le très grand écart entre le niveau de prix Arenh et la part énergie des offres </w:t>
      </w:r>
      <w:r w:rsidRPr="00DD4E41">
        <w:rPr>
          <w:rFonts w:ascii="Times New Roman" w:hAnsi="Times New Roman" w:cs="Times New Roman"/>
          <w:sz w:val="36"/>
          <w:szCs w:val="36"/>
        </w:rPr>
        <w:lastRenderedPageBreak/>
        <w:t>proposées, s'il en était encore besoin,  l'aberration de la régulation actuelle.</w:t>
      </w:r>
    </w:p>
    <w:p w14:paraId="6F0A0BA4" w14:textId="4FB3A95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Le même jour du 14 novembre 2023, un nouvel accord EDF Etat</w:t>
      </w:r>
      <w:r>
        <w:rPr>
          <w:rStyle w:val="Appelnotedebasdep"/>
          <w:rFonts w:ascii="Times New Roman" w:hAnsi="Times New Roman" w:cs="Times New Roman"/>
          <w:sz w:val="36"/>
          <w:szCs w:val="36"/>
        </w:rPr>
        <w:footnoteReference w:id="126"/>
      </w:r>
      <w:r w:rsidRPr="00DD4E41">
        <w:rPr>
          <w:rFonts w:ascii="Times New Roman" w:hAnsi="Times New Roman" w:cs="Times New Roman"/>
          <w:sz w:val="36"/>
          <w:szCs w:val="36"/>
        </w:rPr>
        <w:t xml:space="preserve"> donnerait un point de repère utile pour le coût de la production nucléaire incluant le financement des nouveaux réacteurs autour de 70 euros le MWh. Mais les modalités de cet accord sont encore très loin d'être explicites. Il sera à étudier à la loupe pour examiner comment le risque industriel est porté, maitrisé  et justement rémunéré, et comment le consommateur final comme le contribuable seront protégés contre des intermédiaires abusifs </w:t>
      </w:r>
      <w:r w:rsidR="00A13DE6">
        <w:rPr>
          <w:rFonts w:ascii="Times New Roman" w:hAnsi="Times New Roman" w:cs="Times New Roman"/>
          <w:sz w:val="36"/>
          <w:szCs w:val="36"/>
        </w:rPr>
        <w:t xml:space="preserve">spéculatifs </w:t>
      </w:r>
      <w:r w:rsidRPr="00DD4E41">
        <w:rPr>
          <w:rFonts w:ascii="Times New Roman" w:hAnsi="Times New Roman" w:cs="Times New Roman"/>
          <w:sz w:val="36"/>
          <w:szCs w:val="36"/>
        </w:rPr>
        <w:t>ou contre des mécanismes de financement public opaques susceptibles de détourner des marges disponibles vers des finalités autres que l'efficacité ou l'intérêt général au service du plus grand nombre.</w:t>
      </w:r>
    </w:p>
    <w:p w14:paraId="6F6D7CF9" w14:textId="02027DE4" w:rsidR="00DD4E41" w:rsidRP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A ce titre, il demeure très important que le producteur public nucléaire d'électricité puisse demeurer durablement  un producteur intégré permettant de mettre à disposition ses propres offres commerciales sur du long terme, notamment  pour des périodes de cinq à dix ans,  </w:t>
      </w:r>
      <w:r w:rsidR="00520332">
        <w:rPr>
          <w:rFonts w:ascii="Times New Roman" w:hAnsi="Times New Roman" w:cs="Times New Roman"/>
          <w:sz w:val="36"/>
          <w:szCs w:val="36"/>
        </w:rPr>
        <w:t xml:space="preserve">voire plus, </w:t>
      </w:r>
      <w:r w:rsidRPr="00DD4E41">
        <w:rPr>
          <w:rFonts w:ascii="Times New Roman" w:hAnsi="Times New Roman" w:cs="Times New Roman"/>
          <w:sz w:val="36"/>
          <w:szCs w:val="36"/>
        </w:rPr>
        <w:t>au travers de contrats  conclus, soit avec d'autres fournisseurs, soit avec des entreprises consommatrices</w:t>
      </w:r>
      <w:r w:rsidR="00520332">
        <w:rPr>
          <w:rFonts w:ascii="Times New Roman" w:hAnsi="Times New Roman" w:cs="Times New Roman"/>
          <w:sz w:val="36"/>
          <w:szCs w:val="36"/>
        </w:rPr>
        <w:t xml:space="preserve"> ou de gros utilisateurs ( comme pour les pertes sur le réseau électrique de transport ou de distribution – 40 TWh annuel). </w:t>
      </w:r>
    </w:p>
    <w:p w14:paraId="566059F6" w14:textId="08E50437" w:rsidR="00DD4E41" w:rsidRDefault="00DD4E41" w:rsidP="00DD4E41">
      <w:pPr>
        <w:spacing w:before="100" w:beforeAutospacing="1" w:after="100" w:afterAutospacing="1" w:line="240" w:lineRule="auto"/>
        <w:jc w:val="both"/>
        <w:rPr>
          <w:rFonts w:ascii="Times New Roman" w:hAnsi="Times New Roman" w:cs="Times New Roman"/>
          <w:sz w:val="36"/>
          <w:szCs w:val="36"/>
        </w:rPr>
      </w:pPr>
      <w:r w:rsidRPr="00DD4E41">
        <w:rPr>
          <w:rFonts w:ascii="Times New Roman" w:hAnsi="Times New Roman" w:cs="Times New Roman"/>
          <w:sz w:val="36"/>
          <w:szCs w:val="36"/>
        </w:rPr>
        <w:t xml:space="preserve">Les offres de long terme proposées par EDF depuis l’automne 2023, révèlent des prix, pour la part énergie,  de 83 à 85 euros le MWh à l’horizon 2027, et de 77 euros le MWh à l'horizon 2028. </w:t>
      </w:r>
      <w:r w:rsidR="00A04FBC" w:rsidRPr="00A04FBC">
        <w:rPr>
          <w:rFonts w:ascii="Times New Roman" w:hAnsi="Times New Roman" w:cs="Times New Roman"/>
          <w:sz w:val="36"/>
          <w:szCs w:val="36"/>
        </w:rPr>
        <w:t xml:space="preserve">le Groupe développe </w:t>
      </w:r>
      <w:r w:rsidR="00A04FBC">
        <w:rPr>
          <w:rFonts w:ascii="Times New Roman" w:hAnsi="Times New Roman" w:cs="Times New Roman"/>
          <w:sz w:val="36"/>
          <w:szCs w:val="36"/>
        </w:rPr>
        <w:t xml:space="preserve">également </w:t>
      </w:r>
      <w:r w:rsidR="00A04FBC" w:rsidRPr="00A04FBC">
        <w:rPr>
          <w:rFonts w:ascii="Times New Roman" w:hAnsi="Times New Roman" w:cs="Times New Roman"/>
          <w:sz w:val="36"/>
          <w:szCs w:val="36"/>
        </w:rPr>
        <w:t xml:space="preserve">des partenariats </w:t>
      </w:r>
      <w:r w:rsidR="00A04FBC" w:rsidRPr="00A04FBC">
        <w:rPr>
          <w:rFonts w:ascii="Times New Roman" w:hAnsi="Times New Roman" w:cs="Times New Roman"/>
          <w:sz w:val="36"/>
          <w:szCs w:val="36"/>
        </w:rPr>
        <w:lastRenderedPageBreak/>
        <w:t>industriels de long terme adossés au parc nucléaire historique (contrats d’allocation de production nucléaire)</w:t>
      </w:r>
      <w:r w:rsidR="00A04FBC">
        <w:rPr>
          <w:rStyle w:val="Appelnotedebasdep"/>
          <w:rFonts w:ascii="Times New Roman" w:hAnsi="Times New Roman" w:cs="Times New Roman"/>
          <w:sz w:val="36"/>
          <w:szCs w:val="36"/>
        </w:rPr>
        <w:footnoteReference w:id="127"/>
      </w:r>
      <w:r w:rsidR="00A04FBC" w:rsidRPr="00A04FBC">
        <w:rPr>
          <w:rFonts w:ascii="Times New Roman" w:hAnsi="Times New Roman" w:cs="Times New Roman"/>
          <w:sz w:val="36"/>
          <w:szCs w:val="36"/>
        </w:rPr>
        <w:t>.</w:t>
      </w:r>
    </w:p>
    <w:p w14:paraId="6DF43220" w14:textId="77777777" w:rsidR="00A04FBC" w:rsidRPr="00DD4E41" w:rsidRDefault="00A04FBC" w:rsidP="00DD4E41">
      <w:pPr>
        <w:spacing w:before="100" w:beforeAutospacing="1" w:after="100" w:afterAutospacing="1" w:line="240" w:lineRule="auto"/>
        <w:jc w:val="both"/>
        <w:rPr>
          <w:rFonts w:ascii="Times New Roman" w:hAnsi="Times New Roman" w:cs="Times New Roman"/>
          <w:sz w:val="36"/>
          <w:szCs w:val="36"/>
        </w:rPr>
      </w:pPr>
    </w:p>
    <w:p w14:paraId="38029F21" w14:textId="13CDAE56" w:rsidR="00BF6465" w:rsidRPr="00A516FA" w:rsidRDefault="00BF6465">
      <w:pPr>
        <w:rPr>
          <w:rFonts w:ascii="Times New Roman" w:hAnsi="Times New Roman" w:cs="Times New Roman"/>
          <w:b/>
          <w:bCs/>
          <w:i/>
          <w:iCs/>
          <w:sz w:val="36"/>
          <w:szCs w:val="36"/>
        </w:rPr>
      </w:pPr>
      <w:r w:rsidRPr="00A516FA">
        <w:rPr>
          <w:rFonts w:ascii="Times New Roman" w:hAnsi="Times New Roman" w:cs="Times New Roman"/>
          <w:b/>
          <w:bCs/>
          <w:i/>
          <w:iCs/>
          <w:sz w:val="36"/>
          <w:szCs w:val="36"/>
        </w:rPr>
        <w:t>2024, poursuite de l’incohérence</w:t>
      </w:r>
      <w:r w:rsidR="00A516FA" w:rsidRPr="00A516FA">
        <w:rPr>
          <w:rFonts w:ascii="Times New Roman" w:hAnsi="Times New Roman" w:cs="Times New Roman"/>
          <w:b/>
          <w:bCs/>
          <w:i/>
          <w:iCs/>
          <w:sz w:val="36"/>
          <w:szCs w:val="36"/>
        </w:rPr>
        <w:t xml:space="preserve"> du côté des tarifs réglementés</w:t>
      </w:r>
      <w:r w:rsidR="00A516FA">
        <w:rPr>
          <w:rFonts w:ascii="Times New Roman" w:hAnsi="Times New Roman" w:cs="Times New Roman"/>
          <w:b/>
          <w:bCs/>
          <w:i/>
          <w:iCs/>
          <w:sz w:val="36"/>
          <w:szCs w:val="36"/>
        </w:rPr>
        <w:t xml:space="preserve"> dans un contexte où en 2024, l’Arenh demeure toujours maintenue à 42 euros le MWh</w:t>
      </w:r>
      <w:r w:rsidR="00352C62">
        <w:rPr>
          <w:rFonts w:ascii="Times New Roman" w:hAnsi="Times New Roman" w:cs="Times New Roman"/>
          <w:b/>
          <w:bCs/>
          <w:i/>
          <w:iCs/>
          <w:sz w:val="36"/>
          <w:szCs w:val="36"/>
        </w:rPr>
        <w:t>, et la France redevenue largement exportatrice</w:t>
      </w:r>
      <w:r w:rsidR="00A516FA">
        <w:rPr>
          <w:rFonts w:ascii="Times New Roman" w:hAnsi="Times New Roman" w:cs="Times New Roman"/>
          <w:b/>
          <w:bCs/>
          <w:i/>
          <w:iCs/>
          <w:sz w:val="36"/>
          <w:szCs w:val="36"/>
        </w:rPr>
        <w:t>….</w:t>
      </w:r>
    </w:p>
    <w:p w14:paraId="1F7511DF" w14:textId="3DB31F76" w:rsidR="0043769A" w:rsidRDefault="00352C62" w:rsidP="00A516FA">
      <w:pPr>
        <w:jc w:val="both"/>
        <w:rPr>
          <w:rFonts w:ascii="Times New Roman" w:hAnsi="Times New Roman" w:cs="Times New Roman"/>
          <w:sz w:val="36"/>
          <w:szCs w:val="36"/>
        </w:rPr>
      </w:pPr>
      <w:r>
        <w:rPr>
          <w:rFonts w:ascii="Times New Roman" w:hAnsi="Times New Roman" w:cs="Times New Roman"/>
          <w:sz w:val="36"/>
          <w:szCs w:val="36"/>
        </w:rPr>
        <w:t>L</w:t>
      </w:r>
      <w:r w:rsidR="00BF6465" w:rsidRPr="00BF6465">
        <w:rPr>
          <w:rFonts w:ascii="Times New Roman" w:hAnsi="Times New Roman" w:cs="Times New Roman"/>
          <w:sz w:val="36"/>
          <w:szCs w:val="36"/>
        </w:rPr>
        <w:t xml:space="preserve">’évolution tarifaire </w:t>
      </w:r>
      <w:r w:rsidR="00A516FA">
        <w:rPr>
          <w:rFonts w:ascii="Times New Roman" w:hAnsi="Times New Roman" w:cs="Times New Roman"/>
          <w:sz w:val="36"/>
          <w:szCs w:val="36"/>
        </w:rPr>
        <w:t>en 2024</w:t>
      </w:r>
      <w:r w:rsidR="00D8202B">
        <w:rPr>
          <w:rFonts w:ascii="Times New Roman" w:hAnsi="Times New Roman" w:cs="Times New Roman"/>
          <w:sz w:val="36"/>
          <w:szCs w:val="36"/>
        </w:rPr>
        <w:t xml:space="preserve"> </w:t>
      </w:r>
      <w:r w:rsidR="00A516FA">
        <w:rPr>
          <w:rFonts w:ascii="Times New Roman" w:hAnsi="Times New Roman" w:cs="Times New Roman"/>
          <w:sz w:val="36"/>
          <w:szCs w:val="36"/>
        </w:rPr>
        <w:t>de pr</w:t>
      </w:r>
      <w:r>
        <w:rPr>
          <w:rFonts w:ascii="Times New Roman" w:hAnsi="Times New Roman" w:cs="Times New Roman"/>
          <w:sz w:val="36"/>
          <w:szCs w:val="36"/>
        </w:rPr>
        <w:t>è</w:t>
      </w:r>
      <w:r w:rsidR="00A516FA">
        <w:rPr>
          <w:rFonts w:ascii="Times New Roman" w:hAnsi="Times New Roman" w:cs="Times New Roman"/>
          <w:sz w:val="36"/>
          <w:szCs w:val="36"/>
        </w:rPr>
        <w:t xml:space="preserve">s de 10 % au 1er février 2024  </w:t>
      </w:r>
      <w:r w:rsidR="00BF6465" w:rsidRPr="00BF6465">
        <w:rPr>
          <w:rFonts w:ascii="Times New Roman" w:hAnsi="Times New Roman" w:cs="Times New Roman"/>
          <w:sz w:val="36"/>
          <w:szCs w:val="36"/>
        </w:rPr>
        <w:t>est liée à la</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hausse d'une taxe sur l’électricité</w:t>
      </w:r>
      <w:r w:rsidR="00BF6465">
        <w:rPr>
          <w:rFonts w:ascii="Times New Roman" w:hAnsi="Times New Roman" w:cs="Times New Roman"/>
          <w:sz w:val="36"/>
          <w:szCs w:val="36"/>
        </w:rPr>
        <w:t xml:space="preserve">, </w:t>
      </w:r>
      <w:r w:rsidR="00EF2F92">
        <w:rPr>
          <w:rFonts w:ascii="Times New Roman" w:hAnsi="Times New Roman" w:cs="Times New Roman"/>
          <w:sz w:val="36"/>
          <w:szCs w:val="36"/>
        </w:rPr>
        <w:t xml:space="preserve">l’accise sur l’électricité, </w:t>
      </w:r>
      <w:r w:rsidR="00BF6465" w:rsidRPr="00BF6465">
        <w:rPr>
          <w:rFonts w:ascii="Times New Roman" w:hAnsi="Times New Roman" w:cs="Times New Roman"/>
          <w:sz w:val="36"/>
          <w:szCs w:val="36"/>
        </w:rPr>
        <w:t xml:space="preserve">anciennement appelée </w:t>
      </w:r>
      <w:r w:rsidR="00EF2F92">
        <w:rPr>
          <w:rFonts w:ascii="Times New Roman" w:hAnsi="Times New Roman" w:cs="Times New Roman"/>
          <w:sz w:val="36"/>
          <w:szCs w:val="36"/>
        </w:rPr>
        <w:t xml:space="preserve">Contribution au service public de l’électricité (CSPE), puis </w:t>
      </w:r>
      <w:r w:rsidR="00BF6465" w:rsidRPr="00BF6465">
        <w:rPr>
          <w:rFonts w:ascii="Times New Roman" w:hAnsi="Times New Roman" w:cs="Times New Roman"/>
          <w:sz w:val="36"/>
          <w:szCs w:val="36"/>
        </w:rPr>
        <w:t>taxe intérieure à la</w:t>
      </w:r>
      <w:r w:rsidR="00EF2F92">
        <w:rPr>
          <w:rFonts w:ascii="Times New Roman" w:hAnsi="Times New Roman" w:cs="Times New Roman"/>
          <w:sz w:val="36"/>
          <w:szCs w:val="36"/>
        </w:rPr>
        <w:t xml:space="preserve"> </w:t>
      </w:r>
      <w:r w:rsidR="00BF6465" w:rsidRPr="00BF6465">
        <w:rPr>
          <w:rFonts w:ascii="Times New Roman" w:hAnsi="Times New Roman" w:cs="Times New Roman"/>
          <w:sz w:val="36"/>
          <w:szCs w:val="36"/>
        </w:rPr>
        <w:t>consommation finale d’électricité (TICFE)</w:t>
      </w:r>
      <w:r>
        <w:rPr>
          <w:rFonts w:ascii="Times New Roman" w:hAnsi="Times New Roman" w:cs="Times New Roman"/>
          <w:sz w:val="36"/>
          <w:szCs w:val="36"/>
        </w:rPr>
        <w:t xml:space="preserve">. Cette taxe </w:t>
      </w:r>
      <w:r w:rsidR="00BF6465" w:rsidRPr="00BF6465">
        <w:rPr>
          <w:rFonts w:ascii="Times New Roman" w:hAnsi="Times New Roman" w:cs="Times New Roman"/>
          <w:sz w:val="36"/>
          <w:szCs w:val="36"/>
        </w:rPr>
        <w:t>fait augmenter le prix</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consommations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des clients de 24 euros</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par</w:t>
      </w:r>
      <w:r w:rsidR="00BF6465">
        <w:rPr>
          <w:rFonts w:ascii="Times New Roman" w:hAnsi="Times New Roman" w:cs="Times New Roman"/>
          <w:sz w:val="36"/>
          <w:szCs w:val="36"/>
        </w:rPr>
        <w:t xml:space="preserve"> m</w:t>
      </w:r>
      <w:r w:rsidR="00BF6465" w:rsidRPr="00BF6465">
        <w:rPr>
          <w:rFonts w:ascii="Times New Roman" w:hAnsi="Times New Roman" w:cs="Times New Roman"/>
          <w:sz w:val="36"/>
          <w:szCs w:val="36"/>
        </w:rPr>
        <w:t>égawattheure</w:t>
      </w:r>
      <w:r w:rsidR="00BF6465">
        <w:rPr>
          <w:rFonts w:ascii="Times New Roman" w:hAnsi="Times New Roman" w:cs="Times New Roman"/>
          <w:sz w:val="36"/>
          <w:szCs w:val="36"/>
        </w:rPr>
        <w:t xml:space="preserve"> </w:t>
      </w:r>
      <w:r w:rsidR="00BF6465" w:rsidRPr="00BF6465">
        <w:rPr>
          <w:rFonts w:ascii="Times New Roman" w:hAnsi="Times New Roman" w:cs="Times New Roman"/>
          <w:sz w:val="36"/>
          <w:szCs w:val="36"/>
        </w:rPr>
        <w:t>toutes taxes comprise</w:t>
      </w:r>
      <w:r w:rsidR="00BF6465">
        <w:rPr>
          <w:rFonts w:ascii="Times New Roman" w:hAnsi="Times New Roman" w:cs="Times New Roman"/>
          <w:sz w:val="36"/>
          <w:szCs w:val="36"/>
        </w:rPr>
        <w:t>s</w:t>
      </w:r>
      <w:r w:rsidR="0043769A">
        <w:rPr>
          <w:rStyle w:val="Appelnotedebasdep"/>
          <w:rFonts w:ascii="Times New Roman" w:hAnsi="Times New Roman" w:cs="Times New Roman"/>
          <w:sz w:val="36"/>
          <w:szCs w:val="36"/>
        </w:rPr>
        <w:footnoteReference w:id="128"/>
      </w:r>
      <w:r w:rsidR="00BF6465">
        <w:rPr>
          <w:rFonts w:ascii="Times New Roman" w:hAnsi="Times New Roman" w:cs="Times New Roman"/>
          <w:sz w:val="36"/>
          <w:szCs w:val="36"/>
        </w:rPr>
        <w:t xml:space="preserve">. </w:t>
      </w:r>
    </w:p>
    <w:p w14:paraId="2369B991" w14:textId="77777777" w:rsidR="00EF2F92" w:rsidRDefault="0043769A" w:rsidP="00BF6465">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F5E5F9B" wp14:editId="48B1E100">
            <wp:extent cx="5760720" cy="3199130"/>
            <wp:effectExtent l="0" t="0" r="0" b="1270"/>
            <wp:docPr id="869027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7701" name="Image 869027701"/>
                    <pic:cNvPicPr/>
                  </pic:nvPicPr>
                  <pic:blipFill>
                    <a:blip r:embed="rId28">
                      <a:extLst>
                        <a:ext uri="{28A0092B-C50C-407E-A947-70E740481C1C}">
                          <a14:useLocalDpi xmlns:a14="http://schemas.microsoft.com/office/drawing/2010/main" val="0"/>
                        </a:ext>
                      </a:extLst>
                    </a:blip>
                    <a:stretch>
                      <a:fillRect/>
                    </a:stretch>
                  </pic:blipFill>
                  <pic:spPr>
                    <a:xfrm>
                      <a:off x="0" y="0"/>
                      <a:ext cx="5760720" cy="3199130"/>
                    </a:xfrm>
                    <a:prstGeom prst="rect">
                      <a:avLst/>
                    </a:prstGeom>
                  </pic:spPr>
                </pic:pic>
              </a:graphicData>
            </a:graphic>
          </wp:inline>
        </w:drawing>
      </w:r>
    </w:p>
    <w:p w14:paraId="799631C3" w14:textId="77777777" w:rsidR="00EF2F92" w:rsidRDefault="00EF2F92" w:rsidP="00BF6465">
      <w:pPr>
        <w:rPr>
          <w:rFonts w:ascii="Times New Roman" w:hAnsi="Times New Roman" w:cs="Times New Roman"/>
          <w:sz w:val="36"/>
          <w:szCs w:val="36"/>
        </w:rPr>
      </w:pPr>
    </w:p>
    <w:p w14:paraId="69A4A8FB" w14:textId="77777777" w:rsidR="00EF2F92" w:rsidRDefault="00EF2F92" w:rsidP="00BF6465">
      <w:pPr>
        <w:rPr>
          <w:rFonts w:ascii="Times New Roman" w:hAnsi="Times New Roman" w:cs="Times New Roman"/>
          <w:sz w:val="36"/>
          <w:szCs w:val="36"/>
        </w:rPr>
      </w:pPr>
      <w:r>
        <w:rPr>
          <w:rFonts w:ascii="Times New Roman" w:hAnsi="Times New Roman" w:cs="Times New Roman"/>
          <w:sz w:val="36"/>
          <w:szCs w:val="36"/>
        </w:rPr>
        <w:t xml:space="preserve">Dans le même temps, les prix baissent significativement sur les marchés de gros. </w:t>
      </w:r>
    </w:p>
    <w:p w14:paraId="58760BA5" w14:textId="209B9040" w:rsidR="00EF2F92" w:rsidRDefault="00EF2F92" w:rsidP="00BF6465">
      <w:pPr>
        <w:rPr>
          <w:rFonts w:ascii="Times New Roman" w:hAnsi="Times New Roman" w:cs="Times New Roman"/>
          <w:sz w:val="36"/>
          <w:szCs w:val="36"/>
        </w:rPr>
      </w:pPr>
      <w:r>
        <w:rPr>
          <w:rFonts w:ascii="Times New Roman" w:hAnsi="Times New Roman" w:cs="Times New Roman"/>
          <w:sz w:val="36"/>
          <w:szCs w:val="36"/>
        </w:rPr>
        <w:t>Après une baisse à 74,75 euros le MWh le 22 janvier 2024, le ruban 202</w:t>
      </w:r>
      <w:r w:rsidR="00A516FA">
        <w:rPr>
          <w:rFonts w:ascii="Times New Roman" w:hAnsi="Times New Roman" w:cs="Times New Roman"/>
          <w:sz w:val="36"/>
          <w:szCs w:val="36"/>
        </w:rPr>
        <w:t>4</w:t>
      </w:r>
      <w:r>
        <w:rPr>
          <w:rFonts w:ascii="Times New Roman" w:hAnsi="Times New Roman" w:cs="Times New Roman"/>
          <w:sz w:val="36"/>
          <w:szCs w:val="36"/>
        </w:rPr>
        <w:t xml:space="preserve"> demeure en dessous de 80 euros le MWh, et le ruban 2026 s’établit autour de 70 euros le MWh après un minima de 69,49 euros le MWh le 22 janvier 2024. </w:t>
      </w:r>
    </w:p>
    <w:p w14:paraId="29DBE7C1" w14:textId="2F64711C" w:rsidR="00A516FA" w:rsidRDefault="00A516FA" w:rsidP="00BF6465">
      <w:pPr>
        <w:rPr>
          <w:rFonts w:ascii="Times New Roman" w:hAnsi="Times New Roman" w:cs="Times New Roman"/>
          <w:sz w:val="36"/>
          <w:szCs w:val="36"/>
        </w:rPr>
      </w:pPr>
      <w:r>
        <w:rPr>
          <w:rFonts w:ascii="Times New Roman" w:hAnsi="Times New Roman" w:cs="Times New Roman"/>
          <w:sz w:val="36"/>
          <w:szCs w:val="36"/>
        </w:rPr>
        <w:t xml:space="preserve">Pour mémoire le ruban 2023 avait dépassé les 1000 euros le MWh le 26 août 2022. </w:t>
      </w:r>
    </w:p>
    <w:p w14:paraId="375D7DE3" w14:textId="77777777" w:rsidR="00EF2F92" w:rsidRDefault="00EF2F92" w:rsidP="00BF6465">
      <w:pPr>
        <w:rPr>
          <w:rFonts w:ascii="Times New Roman" w:hAnsi="Times New Roman" w:cs="Times New Roman"/>
          <w:sz w:val="36"/>
          <w:szCs w:val="36"/>
        </w:rPr>
      </w:pPr>
    </w:p>
    <w:p w14:paraId="2CE399A0" w14:textId="77777777" w:rsidR="00EF2F92" w:rsidRDefault="00EF2F92" w:rsidP="00BF6465">
      <w:pPr>
        <w:rPr>
          <w:rFonts w:ascii="Times New Roman" w:hAnsi="Times New Roman" w:cs="Times New Roman"/>
          <w:sz w:val="36"/>
          <w:szCs w:val="36"/>
        </w:rPr>
      </w:pPr>
    </w:p>
    <w:p w14:paraId="56604899" w14:textId="6CF39A5E" w:rsidR="00A13DE6" w:rsidRDefault="00A13DE6" w:rsidP="00BF6465">
      <w:pPr>
        <w:rPr>
          <w:rFonts w:ascii="Times New Roman" w:hAnsi="Times New Roman" w:cs="Times New Roman"/>
          <w:sz w:val="36"/>
          <w:szCs w:val="36"/>
        </w:rPr>
      </w:pPr>
      <w:r>
        <w:rPr>
          <w:rFonts w:ascii="Times New Roman" w:hAnsi="Times New Roman" w:cs="Times New Roman"/>
          <w:sz w:val="36"/>
          <w:szCs w:val="36"/>
        </w:rPr>
        <w:br w:type="page"/>
      </w:r>
    </w:p>
    <w:p w14:paraId="459FF47D" w14:textId="14492D6C" w:rsidR="00B7298B" w:rsidRPr="00A13DE6" w:rsidRDefault="00B7298B" w:rsidP="00B7298B">
      <w:pPr>
        <w:jc w:val="both"/>
        <w:rPr>
          <w:rFonts w:ascii="Times New Roman" w:hAnsi="Times New Roman" w:cs="Times New Roman"/>
          <w:sz w:val="36"/>
          <w:szCs w:val="36"/>
        </w:rPr>
      </w:pPr>
      <w:r w:rsidRPr="00395727">
        <w:rPr>
          <w:rFonts w:ascii="Times New Roman" w:hAnsi="Times New Roman" w:cs="Times New Roman"/>
          <w:b/>
          <w:bCs/>
          <w:i/>
          <w:iCs/>
          <w:sz w:val="36"/>
          <w:szCs w:val="36"/>
        </w:rPr>
        <w:lastRenderedPageBreak/>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9"/>
                    <a:stretch>
                      <a:fillRect/>
                    </a:stretch>
                  </pic:blipFill>
                  <pic:spPr>
                    <a:xfrm>
                      <a:off x="0" y="0"/>
                      <a:ext cx="5760720" cy="3240405"/>
                    </a:xfrm>
                    <a:prstGeom prst="rect">
                      <a:avLst/>
                    </a:prstGeom>
                  </pic:spPr>
                </pic:pic>
              </a:graphicData>
            </a:graphic>
          </wp:inline>
        </w:drawing>
      </w:r>
    </w:p>
    <w:p w14:paraId="4781551E" w14:textId="589356FA"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correspondrait à un</w:t>
      </w:r>
      <w:r w:rsidR="00FE1087">
        <w:rPr>
          <w:rFonts w:ascii="Times New Roman" w:hAnsi="Times New Roman" w:cs="Times New Roman"/>
          <w:sz w:val="36"/>
          <w:szCs w:val="36"/>
        </w:rPr>
        <w:t xml:space="preserve"> effondrement, un</w:t>
      </w:r>
      <w:r>
        <w:rPr>
          <w:rFonts w:ascii="Times New Roman" w:hAnsi="Times New Roman" w:cs="Times New Roman"/>
          <w:sz w:val="36"/>
          <w:szCs w:val="36"/>
        </w:rPr>
        <w:t xml:space="preserve">e chute brutale, volontaire ou subie, </w:t>
      </w:r>
      <w:r w:rsidR="00FE1087">
        <w:rPr>
          <w:rFonts w:ascii="Times New Roman" w:hAnsi="Times New Roman" w:cs="Times New Roman"/>
          <w:sz w:val="36"/>
          <w:szCs w:val="36"/>
        </w:rPr>
        <w:t xml:space="preserve">encore plus forte de celle aujourd’hui constatée depuis ces dernières années, </w:t>
      </w:r>
      <w:r>
        <w:rPr>
          <w:rFonts w:ascii="Times New Roman" w:hAnsi="Times New Roman" w:cs="Times New Roman"/>
          <w:sz w:val="36"/>
          <w:szCs w:val="36"/>
        </w:rPr>
        <w:t>de la demande, avec décroissance rapide et démission des acteurs, avec incidence directe sur le niveau de vie et le lien social, avec remise en cause de notre bien-être en société et érosion rapide de notre patrimoine</w:t>
      </w:r>
      <w:r w:rsidR="00FE1087">
        <w:rPr>
          <w:rFonts w:ascii="Times New Roman" w:hAnsi="Times New Roman" w:cs="Times New Roman"/>
          <w:sz w:val="36"/>
          <w:szCs w:val="36"/>
        </w:rPr>
        <w:t>.</w:t>
      </w:r>
      <w:r>
        <w:rPr>
          <w:rFonts w:ascii="Times New Roman" w:hAnsi="Times New Roman" w:cs="Times New Roman"/>
          <w:sz w:val="36"/>
          <w:szCs w:val="36"/>
        </w:rPr>
        <w:t xml:space="preserve"> Le risque d’un tel </w:t>
      </w:r>
      <w:r w:rsidR="00FE1087">
        <w:rPr>
          <w:rFonts w:ascii="Times New Roman" w:hAnsi="Times New Roman" w:cs="Times New Roman"/>
          <w:sz w:val="36"/>
          <w:szCs w:val="36"/>
        </w:rPr>
        <w:t xml:space="preserve">effondrement </w:t>
      </w:r>
      <w:r>
        <w:rPr>
          <w:rFonts w:ascii="Times New Roman" w:hAnsi="Times New Roman" w:cs="Times New Roman"/>
          <w:sz w:val="36"/>
          <w:szCs w:val="36"/>
        </w:rPr>
        <w:t xml:space="preserve">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33D46DB"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Nous venons de connaitre des situations déplorables, une </w:t>
      </w:r>
      <w:r w:rsidR="00A41181">
        <w:rPr>
          <w:rFonts w:ascii="Times New Roman" w:hAnsi="Times New Roman" w:cs="Times New Roman"/>
          <w:sz w:val="36"/>
          <w:szCs w:val="36"/>
        </w:rPr>
        <w:t>A</w:t>
      </w:r>
      <w:r>
        <w:rPr>
          <w:rFonts w:ascii="Times New Roman" w:hAnsi="Times New Roman" w:cs="Times New Roman"/>
          <w:sz w:val="36"/>
          <w:szCs w:val="36"/>
        </w:rPr>
        <w:t>renh qui a été une catastrophe, et pour le consommateur, et pour l’opérateur historique et pour le contribuable ! L’arrêt de Fessemheim mais aussi d’autres réacteurs en excellent état de marche en Europe. Des prix de folie sur le marché</w:t>
      </w:r>
      <w:r w:rsidR="00FE1087">
        <w:rPr>
          <w:rFonts w:ascii="Times New Roman" w:hAnsi="Times New Roman" w:cs="Times New Roman"/>
          <w:sz w:val="36"/>
          <w:szCs w:val="36"/>
        </w:rPr>
        <w:t xml:space="preserve"> complétement décorrélés de la réalité physique et économique</w:t>
      </w:r>
      <w:r>
        <w:rPr>
          <w:rFonts w:ascii="Times New Roman" w:hAnsi="Times New Roman" w:cs="Times New Roman"/>
          <w:sz w:val="36"/>
          <w:szCs w:val="36"/>
        </w:rPr>
        <w:t xml:space="preserve">.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de poursuivre avec des bulles successives qui nous explosent successivement à la figure au détriment du plus grand nombre, avec quelques petites castes hors sol qui s’imagineraient pouvoir à elles-seules détenir la clé magique</w:t>
      </w:r>
      <w:r w:rsidR="00FE1087">
        <w:rPr>
          <w:rFonts w:ascii="Times New Roman" w:hAnsi="Times New Roman" w:cs="Times New Roman"/>
          <w:sz w:val="36"/>
          <w:szCs w:val="36"/>
        </w:rPr>
        <w:t>, avec la dite intelligence artificielle comme booster</w:t>
      </w:r>
      <w:r>
        <w:rPr>
          <w:rFonts w:ascii="Times New Roman" w:hAnsi="Times New Roman" w:cs="Times New Roman"/>
          <w:sz w:val="36"/>
          <w:szCs w:val="36"/>
        </w:rPr>
        <w:t xml:space="preserv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nous-mêmes,  et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 xml:space="preserve">Mais aussi en retravaillant notre gouvernance publique qui préside à nos destinées, qu’elle soit au niveau France ou au niveau Europe, voire mondial. En rétablissant ce qu’il nous appartient de faire dans le quotidien, et ce qui relève de l’intérêt </w:t>
      </w:r>
      <w:r w:rsidRPr="00A41181">
        <w:rPr>
          <w:rFonts w:ascii="Times New Roman" w:hAnsi="Times New Roman" w:cs="Times New Roman"/>
          <w:sz w:val="36"/>
          <w:szCs w:val="36"/>
        </w:rPr>
        <w:lastRenderedPageBreak/>
        <w:t>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30">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cette demande en électricité, avec tous les enjeux sociaux, 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w:t>
      </w:r>
      <w:r w:rsidR="00B956EF">
        <w:rPr>
          <w:rFonts w:ascii="Times New Roman" w:hAnsi="Times New Roman" w:cs="Times New Roman"/>
          <w:sz w:val="36"/>
          <w:szCs w:val="36"/>
        </w:rPr>
        <w:lastRenderedPageBreak/>
        <w:t xml:space="preserve">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et la contre-partie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29"/>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constituer l’alpha et l’omega de toute politique publique, législation ou réglementation.</w:t>
      </w:r>
      <w:r w:rsidR="00736C50">
        <w:rPr>
          <w:rFonts w:ascii="Times New Roman" w:hAnsi="Times New Roman" w:cs="Times New Roman"/>
          <w:sz w:val="36"/>
          <w:szCs w:val="36"/>
        </w:rPr>
        <w:t xml:space="preserve"> </w:t>
      </w:r>
    </w:p>
    <w:p w14:paraId="720A39E3" w14:textId="5A5B7BAF" w:rsidR="00426054" w:rsidRDefault="00426054" w:rsidP="00AE7889">
      <w:pPr>
        <w:jc w:val="both"/>
        <w:rPr>
          <w:rFonts w:ascii="Times New Roman" w:hAnsi="Times New Roman" w:cs="Times New Roman"/>
          <w:sz w:val="36"/>
          <w:szCs w:val="36"/>
        </w:rPr>
      </w:pPr>
      <w:r>
        <w:rPr>
          <w:rFonts w:ascii="Times New Roman" w:hAnsi="Times New Roman" w:cs="Times New Roman"/>
          <w:sz w:val="36"/>
          <w:szCs w:val="36"/>
        </w:rPr>
        <w:t xml:space="preserve">Le conseil de l’union Européenne est parvenu le 17 octobre 2023 </w:t>
      </w:r>
      <w:r w:rsidRPr="00426054">
        <w:rPr>
          <w:rFonts w:ascii="Times New Roman" w:hAnsi="Times New Roman" w:cs="Times New Roman"/>
          <w:sz w:val="36"/>
          <w:szCs w:val="36"/>
        </w:rPr>
        <w:t>à un accord d’orientation générale</w:t>
      </w:r>
      <w:r w:rsidRPr="00426054">
        <w:rPr>
          <w:rFonts w:ascii="Times New Roman" w:hAnsi="Times New Roman" w:cs="Times New Roman"/>
          <w:sz w:val="36"/>
          <w:szCs w:val="36"/>
        </w:rPr>
        <w:footnoteReference w:id="130"/>
      </w:r>
      <w:r w:rsidRPr="00426054">
        <w:rPr>
          <w:rFonts w:ascii="Times New Roman" w:hAnsi="Times New Roman" w:cs="Times New Roman"/>
          <w:sz w:val="36"/>
          <w:szCs w:val="36"/>
        </w:rPr>
        <w:t xml:space="preserve"> sur une proposition visant à modifier l'</w:t>
      </w:r>
      <w:r w:rsidRPr="00426054">
        <w:rPr>
          <w:rFonts w:ascii="Times New Roman" w:hAnsi="Times New Roman" w:cs="Times New Roman"/>
          <w:b/>
          <w:bCs/>
          <w:sz w:val="36"/>
          <w:szCs w:val="36"/>
        </w:rPr>
        <w:t>organisation du marché de l'électricité</w:t>
      </w:r>
      <w:r w:rsidRPr="00426054">
        <w:rPr>
          <w:rFonts w:ascii="Times New Roman" w:hAnsi="Times New Roman" w:cs="Times New Roman"/>
          <w:sz w:val="36"/>
          <w:szCs w:val="36"/>
        </w:rPr>
        <w:t xml:space="preserve"> de l'UE. Cela permettra à la présidence du Conseil d'entamer des négociations avec le Parlement européen en vue de parvenir à un accord final.</w:t>
      </w:r>
      <w:r>
        <w:rPr>
          <w:rFonts w:ascii="Times New Roman" w:hAnsi="Times New Roman" w:cs="Times New Roman"/>
          <w:sz w:val="36"/>
          <w:szCs w:val="36"/>
        </w:rPr>
        <w:t xml:space="preserve"> </w:t>
      </w:r>
    </w:p>
    <w:p w14:paraId="5EF8CD8B" w14:textId="2548FA18" w:rsidR="00426054" w:rsidRPr="00426054" w:rsidRDefault="00426054" w:rsidP="00426054">
      <w:pPr>
        <w:pStyle w:val="NormalWeb"/>
        <w:rPr>
          <w:i/>
          <w:iCs/>
          <w:sz w:val="32"/>
          <w:szCs w:val="32"/>
        </w:rPr>
      </w:pPr>
      <w:r>
        <w:rPr>
          <w:i/>
          <w:iCs/>
          <w:sz w:val="32"/>
          <w:szCs w:val="32"/>
        </w:rPr>
        <w:t>« </w:t>
      </w:r>
      <w:r w:rsidRPr="00426054">
        <w:rPr>
          <w:i/>
          <w:iCs/>
          <w:sz w:val="32"/>
          <w:szCs w:val="32"/>
        </w:rPr>
        <w:t xml:space="preserve">La réforme vise à stabiliser les marchés de l'électricité à long terme en stimulant le marché des accords d'achat d'électricité (AAE), en </w:t>
      </w:r>
      <w:r w:rsidRPr="00426054">
        <w:rPr>
          <w:i/>
          <w:iCs/>
          <w:sz w:val="32"/>
          <w:szCs w:val="32"/>
        </w:rPr>
        <w:lastRenderedPageBreak/>
        <w:t>généralisant les contrats d'écart compensatoire bidirectionnels et en améliorant la liquidité du marché à terme.</w:t>
      </w:r>
    </w:p>
    <w:p w14:paraId="09F23606" w14:textId="77777777" w:rsidR="00426054" w:rsidRPr="00426054" w:rsidRDefault="00426054" w:rsidP="00426054">
      <w:pPr>
        <w:pStyle w:val="NormalWeb"/>
        <w:rPr>
          <w:i/>
          <w:iCs/>
          <w:sz w:val="32"/>
          <w:szCs w:val="32"/>
        </w:rPr>
      </w:pPr>
      <w:r w:rsidRPr="00426054">
        <w:rPr>
          <w:i/>
          <w:iCs/>
          <w:sz w:val="32"/>
          <w:szCs w:val="32"/>
        </w:rPr>
        <w:t xml:space="preserve">Le Conseil est convenu que les États membres encourageraient le recours aux </w:t>
      </w:r>
      <w:r w:rsidRPr="00426054">
        <w:rPr>
          <w:rStyle w:val="lev"/>
          <w:i/>
          <w:iCs/>
          <w:sz w:val="32"/>
          <w:szCs w:val="32"/>
        </w:rPr>
        <w:t>accords d'achat d'électricité</w:t>
      </w:r>
      <w:r w:rsidRPr="00426054">
        <w:rPr>
          <w:i/>
          <w:iCs/>
          <w:sz w:val="32"/>
          <w:szCs w:val="32"/>
        </w:rPr>
        <w:t>, en supprimant les barrières injustifiées et les procédures ou les frais disproportionnés ou discriminatoires. Les mesures peuvent comprendre, entre autres, des régimes de garantie aux prix du marché soutenus par l'État, des garanties privées ou des structures mutualisant la demande d'AAE.</w:t>
      </w:r>
    </w:p>
    <w:p w14:paraId="2C0F4691" w14:textId="77777777" w:rsidR="00426054" w:rsidRPr="00426054" w:rsidRDefault="00426054" w:rsidP="00426054">
      <w:pPr>
        <w:pStyle w:val="NormalWeb"/>
        <w:rPr>
          <w:i/>
          <w:iCs/>
          <w:sz w:val="32"/>
          <w:szCs w:val="32"/>
        </w:rPr>
      </w:pPr>
      <w:r w:rsidRPr="00426054">
        <w:rPr>
          <w:i/>
          <w:iCs/>
          <w:sz w:val="32"/>
          <w:szCs w:val="32"/>
        </w:rPr>
        <w:t xml:space="preserve">Le Conseil est convenu que les </w:t>
      </w:r>
      <w:r w:rsidRPr="00426054">
        <w:rPr>
          <w:rStyle w:val="lev"/>
          <w:i/>
          <w:iCs/>
          <w:sz w:val="32"/>
          <w:szCs w:val="32"/>
        </w:rPr>
        <w:t>contrats d'écart compensatoire bidirectionnels</w:t>
      </w:r>
      <w:r w:rsidRPr="00426054">
        <w:rPr>
          <w:i/>
          <w:iCs/>
          <w:sz w:val="32"/>
          <w:szCs w:val="32"/>
        </w:rPr>
        <w:t xml:space="preserve"> (contrats à long terme conclus par des entités publiques pour soutenir les investissements, qui complètent le prix du marché lorsqu'il est bas et demandent au producteur de rembourser un certain montant lorsque le prix du marché est supérieur à une limite donnée afin d'éviter des profits inattendus excessifs) seraient le modèle obligatoire utilisé lorsqu'un financement public intervient dans des contrats à long terme, à quelques exceptions près.</w:t>
      </w:r>
    </w:p>
    <w:p w14:paraId="4C6B986E" w14:textId="77777777" w:rsidR="00426054" w:rsidRDefault="00426054" w:rsidP="00426054">
      <w:pPr>
        <w:pStyle w:val="NormalWeb"/>
        <w:rPr>
          <w:i/>
          <w:iCs/>
          <w:sz w:val="32"/>
          <w:szCs w:val="32"/>
        </w:rPr>
      </w:pPr>
      <w:r w:rsidRPr="00426054">
        <w:rPr>
          <w:i/>
          <w:iCs/>
          <w:sz w:val="32"/>
          <w:szCs w:val="32"/>
        </w:rPr>
        <w:t xml:space="preserve">Les contrats d'écart compensatoire bidirectionnels s'appliqueraient aux </w:t>
      </w:r>
      <w:r w:rsidRPr="00426054">
        <w:rPr>
          <w:rStyle w:val="lev"/>
          <w:i/>
          <w:iCs/>
          <w:sz w:val="32"/>
          <w:szCs w:val="32"/>
        </w:rPr>
        <w:t>investissements dans de nouvelles installations de production d'électricité à partir de l'énergie éolienne, l'énergie solaire, l'énergie géothermique, l'hydroélectricité sans réservoir et l'énergie nucléaire</w:t>
      </w:r>
      <w:r w:rsidRPr="00426054">
        <w:rPr>
          <w:i/>
          <w:iCs/>
          <w:sz w:val="32"/>
          <w:szCs w:val="32"/>
        </w:rPr>
        <w:t>. La prévisibilité et la sécurité s'en verraient augmentées.</w:t>
      </w:r>
      <w:r>
        <w:rPr>
          <w:i/>
          <w:iCs/>
          <w:sz w:val="32"/>
          <w:szCs w:val="32"/>
        </w:rPr>
        <w:t xml:space="preserve"> » </w:t>
      </w:r>
    </w:p>
    <w:p w14:paraId="39EEC143" w14:textId="7F88220F"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A noter que le caractére pilotable de l’énergie nucléaire par rapport aux énergies intermittentes que sont l’éolien et le photovoltaique, n’est en aucun cas souligné à ce stade. </w:t>
      </w:r>
    </w:p>
    <w:p w14:paraId="01A2FEDB" w14:textId="258B7D89"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 xml:space="preserve">Il conviendra de veiller à ce que la nouvelle régulation n’ouvre pas la porte à un développement inapproprié et destructeur de valeur des acteurs intermédiaires entre la production et la vente finale aux consommateurs. </w:t>
      </w:r>
    </w:p>
    <w:p w14:paraId="21818AFA" w14:textId="797BF07A" w:rsidR="000A58A8" w:rsidRDefault="000A58A8" w:rsidP="0072533C">
      <w:pPr>
        <w:jc w:val="both"/>
        <w:rPr>
          <w:rFonts w:ascii="Times New Roman" w:hAnsi="Times New Roman" w:cs="Times New Roman"/>
          <w:sz w:val="36"/>
          <w:szCs w:val="36"/>
        </w:rPr>
      </w:pPr>
      <w:r>
        <w:rPr>
          <w:rFonts w:ascii="Times New Roman" w:hAnsi="Times New Roman" w:cs="Times New Roman"/>
          <w:sz w:val="36"/>
          <w:szCs w:val="36"/>
        </w:rPr>
        <w:t>I</w:t>
      </w:r>
      <w:r w:rsidR="00352C62">
        <w:rPr>
          <w:rFonts w:ascii="Times New Roman" w:hAnsi="Times New Roman" w:cs="Times New Roman"/>
          <w:sz w:val="36"/>
          <w:szCs w:val="36"/>
        </w:rPr>
        <w:t>l</w:t>
      </w:r>
      <w:r>
        <w:rPr>
          <w:rFonts w:ascii="Times New Roman" w:hAnsi="Times New Roman" w:cs="Times New Roman"/>
          <w:sz w:val="36"/>
          <w:szCs w:val="36"/>
        </w:rPr>
        <w:t xml:space="preserve"> conviendra enfin de veiller à que les modalités de prises en compte des missions d’intérêt général, de service pu</w:t>
      </w:r>
      <w:r w:rsidR="00A13DE6">
        <w:rPr>
          <w:rFonts w:ascii="Times New Roman" w:hAnsi="Times New Roman" w:cs="Times New Roman"/>
          <w:sz w:val="36"/>
          <w:szCs w:val="36"/>
        </w:rPr>
        <w:t>bl</w:t>
      </w:r>
      <w:r>
        <w:rPr>
          <w:rFonts w:ascii="Times New Roman" w:hAnsi="Times New Roman" w:cs="Times New Roman"/>
          <w:sz w:val="36"/>
          <w:szCs w:val="36"/>
        </w:rPr>
        <w:t xml:space="preserve">ic, de maintien de l’accès à l’énergie </w:t>
      </w:r>
      <w:r w:rsidR="00A13DE6">
        <w:rPr>
          <w:rFonts w:ascii="Times New Roman" w:hAnsi="Times New Roman" w:cs="Times New Roman"/>
          <w:sz w:val="36"/>
          <w:szCs w:val="36"/>
        </w:rPr>
        <w:t>d</w:t>
      </w:r>
      <w:r>
        <w:rPr>
          <w:rFonts w:ascii="Times New Roman" w:hAnsi="Times New Roman" w:cs="Times New Roman"/>
          <w:sz w:val="36"/>
          <w:szCs w:val="36"/>
        </w:rPr>
        <w:t xml:space="preserve">écarbonée à un coût abordable </w:t>
      </w:r>
      <w:r>
        <w:rPr>
          <w:rFonts w:ascii="Times New Roman" w:hAnsi="Times New Roman" w:cs="Times New Roman"/>
          <w:sz w:val="36"/>
          <w:szCs w:val="36"/>
        </w:rPr>
        <w:lastRenderedPageBreak/>
        <w:t xml:space="preserve">pour le plus grand nombre puissent être respectées, notamment avec le maintien de la possibilité d’un tarif réglementé pour la population, et les artisans et petites entreprises. </w:t>
      </w:r>
    </w:p>
    <w:p w14:paraId="147D5DEF" w14:textId="77777777" w:rsidR="000A58A8" w:rsidRDefault="000A58A8" w:rsidP="0072533C">
      <w:pPr>
        <w:jc w:val="both"/>
        <w:rPr>
          <w:rFonts w:ascii="Times New Roman" w:hAnsi="Times New Roman" w:cs="Times New Roman"/>
          <w:sz w:val="36"/>
          <w:szCs w:val="36"/>
        </w:rPr>
      </w:pPr>
    </w:p>
    <w:p w14:paraId="14DF5760" w14:textId="7CD07ED5"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sur les enjeux et les modalités de cette régulation</w:t>
      </w:r>
      <w:r w:rsidR="00352C62">
        <w:rPr>
          <w:rFonts w:ascii="Times New Roman" w:hAnsi="Times New Roman" w:cs="Times New Roman"/>
          <w:sz w:val="36"/>
          <w:szCs w:val="36"/>
        </w:rPr>
        <w:t xml:space="preserve">, en tenant compte des spécificités du système électrique.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La ré-ind</w:t>
      </w:r>
      <w:r w:rsidR="006B2D21">
        <w:rPr>
          <w:rFonts w:ascii="Times New Roman" w:hAnsi="Times New Roman" w:cs="Times New Roman"/>
          <w:sz w:val="36"/>
          <w:szCs w:val="36"/>
        </w:rPr>
        <w:t>us</w:t>
      </w:r>
      <w:r>
        <w:rPr>
          <w:rFonts w:ascii="Times New Roman" w:hAnsi="Times New Roman" w:cs="Times New Roman"/>
          <w:sz w:val="36"/>
          <w:szCs w:val="36"/>
        </w:rPr>
        <w:t xml:space="preserve">trialisation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fut-il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r w:rsidRPr="00DF3DD5">
        <w:rPr>
          <w:rFonts w:ascii="Times New Roman" w:hAnsi="Times New Roman" w:cs="Times New Roman"/>
          <w:i/>
          <w:iCs/>
          <w:sz w:val="36"/>
          <w:szCs w:val="36"/>
        </w:rPr>
        <w:t>nuclear bashing</w:t>
      </w:r>
      <w:r>
        <w:rPr>
          <w:rFonts w:ascii="Times New Roman" w:hAnsi="Times New Roman" w:cs="Times New Roman"/>
          <w:sz w:val="36"/>
          <w:szCs w:val="36"/>
        </w:rPr>
        <w:t xml:space="preserve"> ». Chaque pays doit rester libre de s’engager ou pas dans cette voie, avec tous les avantages qu’elle </w:t>
      </w:r>
      <w:r>
        <w:rPr>
          <w:rFonts w:ascii="Times New Roman" w:hAnsi="Times New Roman" w:cs="Times New Roman"/>
          <w:sz w:val="36"/>
          <w:szCs w:val="36"/>
        </w:rPr>
        <w:lastRenderedPageBreak/>
        <w:t>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31"/>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xml:space="preserve">, et in -fine, du consommateur </w:t>
      </w:r>
      <w:r w:rsidR="00B956EF">
        <w:rPr>
          <w:rFonts w:ascii="Times New Roman" w:hAnsi="Times New Roman" w:cs="Times New Roman"/>
          <w:sz w:val="36"/>
          <w:szCs w:val="36"/>
        </w:rPr>
        <w:lastRenderedPageBreak/>
        <w:t>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32"/>
      </w:r>
      <w:r>
        <w:rPr>
          <w:rFonts w:ascii="Times New Roman" w:hAnsi="Times New Roman" w:cs="Times New Roman"/>
          <w:sz w:val="36"/>
          <w:szCs w:val="36"/>
        </w:rPr>
        <w:t xml:space="preserve">, </w:t>
      </w:r>
      <w:r>
        <w:rPr>
          <w:rFonts w:ascii="Times New Roman" w:hAnsi="Times New Roman" w:cs="Times New Roman"/>
          <w:sz w:val="36"/>
          <w:szCs w:val="36"/>
        </w:rPr>
        <w:lastRenderedPageBreak/>
        <w:t>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557ABBDC"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t xml:space="preserve">Que l’électricité est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 xml:space="preserve">du système électrique que pour la </w:t>
      </w:r>
      <w:r w:rsidR="00A3635B">
        <w:rPr>
          <w:rFonts w:ascii="Times New Roman" w:hAnsi="Times New Roman" w:cs="Times New Roman"/>
          <w:sz w:val="36"/>
          <w:szCs w:val="36"/>
        </w:rPr>
        <w:t xml:space="preserve">nécessaire </w:t>
      </w:r>
      <w:r>
        <w:rPr>
          <w:rFonts w:ascii="Times New Roman" w:hAnsi="Times New Roman" w:cs="Times New Roman"/>
          <w:sz w:val="36"/>
          <w:szCs w:val="36"/>
        </w:rPr>
        <w:t>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de la production pilotable décarbonée</w:t>
      </w:r>
      <w:r w:rsidR="000A58A8">
        <w:rPr>
          <w:rFonts w:ascii="Times New Roman" w:hAnsi="Times New Roman" w:cs="Times New Roman"/>
          <w:sz w:val="36"/>
          <w:szCs w:val="36"/>
        </w:rPr>
        <w:t xml:space="preserve"> sur laquelle doit porter de manière prioritaire, dans une vision de long terme</w:t>
      </w:r>
      <w:r w:rsidR="00A3635B">
        <w:rPr>
          <w:rFonts w:ascii="Times New Roman" w:hAnsi="Times New Roman" w:cs="Times New Roman"/>
          <w:sz w:val="36"/>
          <w:szCs w:val="36"/>
        </w:rPr>
        <w:t xml:space="preserve"> et dans la réalité économique</w:t>
      </w:r>
      <w:r w:rsidR="000A58A8">
        <w:rPr>
          <w:rFonts w:ascii="Times New Roman" w:hAnsi="Times New Roman" w:cs="Times New Roman"/>
          <w:sz w:val="36"/>
          <w:szCs w:val="36"/>
        </w:rPr>
        <w:t xml:space="preserve">, </w:t>
      </w:r>
      <w:r w:rsidR="00A3635B">
        <w:rPr>
          <w:rFonts w:ascii="Times New Roman" w:hAnsi="Times New Roman" w:cs="Times New Roman"/>
          <w:sz w:val="36"/>
          <w:szCs w:val="36"/>
        </w:rPr>
        <w:t xml:space="preserve">toute </w:t>
      </w:r>
      <w:r w:rsidR="000A58A8">
        <w:rPr>
          <w:rFonts w:ascii="Times New Roman" w:hAnsi="Times New Roman" w:cs="Times New Roman"/>
          <w:sz w:val="36"/>
          <w:szCs w:val="36"/>
        </w:rPr>
        <w:t xml:space="preserve">l’attention des Pouvoirs Publics. </w:t>
      </w:r>
    </w:p>
    <w:p w14:paraId="2CAEF02F" w14:textId="6F330879"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 xml:space="preserve">à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A3635B">
        <w:rPr>
          <w:rFonts w:ascii="Times New Roman" w:hAnsi="Times New Roman" w:cs="Times New Roman"/>
          <w:sz w:val="36"/>
          <w:szCs w:val="36"/>
        </w:rPr>
        <w:t xml:space="preserve"> avec la nécessaire culture de sûreté nucléaire partagée entre toutes les parties prenantes</w:t>
      </w:r>
      <w:r w:rsidR="00526928">
        <w:rPr>
          <w:rFonts w:ascii="Times New Roman" w:hAnsi="Times New Roman" w:cs="Times New Roman"/>
          <w:sz w:val="36"/>
          <w:szCs w:val="36"/>
        </w:rPr>
        <w:t xml:space="preserve">. </w:t>
      </w:r>
      <w:r>
        <w:rPr>
          <w:rFonts w:ascii="Times New Roman" w:hAnsi="Times New Roman" w:cs="Times New Roman"/>
          <w:sz w:val="36"/>
          <w:szCs w:val="36"/>
        </w:rPr>
        <w:t xml:space="preserve">Au </w:t>
      </w:r>
      <w:r>
        <w:rPr>
          <w:rFonts w:ascii="Times New Roman" w:hAnsi="Times New Roman" w:cs="Times New Roman"/>
          <w:sz w:val="36"/>
          <w:szCs w:val="36"/>
        </w:rPr>
        <w:lastRenderedPageBreak/>
        <w:t>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r w:rsidR="00BC32C5">
        <w:rPr>
          <w:rFonts w:ascii="Times New Roman" w:hAnsi="Times New Roman" w:cs="Times New Roman"/>
          <w:sz w:val="36"/>
          <w:szCs w:val="36"/>
        </w:rPr>
        <w:t xml:space="preserve">Que ce soit en France, en Europe, ou à travers le monde pour lequel nous devons garder un espoir de paix et de progrès pour le plus grand nombre. </w:t>
      </w:r>
    </w:p>
    <w:p w14:paraId="1F3708E9" w14:textId="5D522EF0"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r w:rsidR="00167E6C">
        <w:rPr>
          <w:rFonts w:ascii="Times New Roman" w:hAnsi="Times New Roman" w:cs="Times New Roman"/>
          <w:sz w:val="36"/>
          <w:szCs w:val="36"/>
        </w:rPr>
        <w:t xml:space="preserve"> et me tiens à présent à votre </w:t>
      </w:r>
      <w:r w:rsidR="006B7B48">
        <w:rPr>
          <w:rFonts w:ascii="Times New Roman" w:hAnsi="Times New Roman" w:cs="Times New Roman"/>
          <w:sz w:val="36"/>
          <w:szCs w:val="36"/>
        </w:rPr>
        <w:t xml:space="preserve">entière </w:t>
      </w:r>
      <w:r w:rsidR="00167E6C">
        <w:rPr>
          <w:rFonts w:ascii="Times New Roman" w:hAnsi="Times New Roman" w:cs="Times New Roman"/>
          <w:sz w:val="36"/>
          <w:szCs w:val="36"/>
        </w:rPr>
        <w:t>disposition pour toute question</w:t>
      </w:r>
      <w:r w:rsidR="006B7B48">
        <w:rPr>
          <w:rFonts w:ascii="Times New Roman" w:hAnsi="Times New Roman" w:cs="Times New Roman"/>
          <w:sz w:val="36"/>
          <w:szCs w:val="36"/>
        </w:rPr>
        <w:t xml:space="preserve"> et échange de points de vue sur ces différents éléments. </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31"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 xml:space="preserve">et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32"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290B5" w14:textId="77777777" w:rsidR="00EB6CEA" w:rsidRDefault="00EB6CEA" w:rsidP="00E653D9">
      <w:pPr>
        <w:spacing w:after="0" w:line="240" w:lineRule="auto"/>
      </w:pPr>
      <w:r>
        <w:separator/>
      </w:r>
    </w:p>
  </w:endnote>
  <w:endnote w:type="continuationSeparator" w:id="0">
    <w:p w14:paraId="78F49C56" w14:textId="77777777" w:rsidR="00EB6CEA" w:rsidRDefault="00EB6CEA"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B0D" w14:textId="1C1CFA0B" w:rsidR="00E653D9" w:rsidRDefault="00B14990">
    <w:pPr>
      <w:pStyle w:val="Pieddepage"/>
    </w:pPr>
    <w:r>
      <w:t>Energie où allons</w:t>
    </w:r>
    <w:r w:rsidR="00174271">
      <w:t>-</w:t>
    </w:r>
    <w:r>
      <w:t>nous ? Quelques repères….</w:t>
    </w:r>
    <w:r>
      <w:ptab w:relativeTo="margin" w:alignment="center" w:leader="none"/>
    </w:r>
    <w:r>
      <w:t>Bernard Maillard</w:t>
    </w:r>
    <w:r>
      <w:ptab w:relativeTo="margin" w:alignment="right" w:leader="none"/>
    </w:r>
    <w:r w:rsidR="00024FA6">
      <w:t>Millau 7 mars 2024</w:t>
    </w:r>
  </w:p>
  <w:p w14:paraId="0F5341D2" w14:textId="77777777" w:rsidR="00024FA6" w:rsidRDefault="00024F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70B20" w14:textId="77777777" w:rsidR="00EB6CEA" w:rsidRDefault="00EB6CEA" w:rsidP="00E653D9">
      <w:pPr>
        <w:spacing w:after="0" w:line="240" w:lineRule="auto"/>
      </w:pPr>
      <w:r>
        <w:separator/>
      </w:r>
    </w:p>
  </w:footnote>
  <w:footnote w:type="continuationSeparator" w:id="0">
    <w:p w14:paraId="5FBB73CE" w14:textId="77777777" w:rsidR="00EB6CEA" w:rsidRDefault="00EB6CEA" w:rsidP="00E653D9">
      <w:pPr>
        <w:spacing w:after="0" w:line="240" w:lineRule="auto"/>
      </w:pPr>
      <w:r>
        <w:continuationSeparator/>
      </w:r>
    </w:p>
  </w:footnote>
  <w:footnote w:id="1">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besoin  de 30 TWh par an, avec une possibilité d’étaler la puissance appelée , énergie pouvant être  couverte pour une large partie par une paire d’EPR</w:t>
      </w:r>
    </w:p>
  </w:footnote>
  <w:footnote w:id="2">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3">
    <w:p w14:paraId="6BB5ED98" w14:textId="54B9A9A8" w:rsidR="00CC6A88" w:rsidRDefault="00CC6A88">
      <w:pPr>
        <w:pStyle w:val="Notedebasdepage"/>
      </w:pPr>
      <w:r>
        <w:rPr>
          <w:rStyle w:val="Appelnotedebasdep"/>
        </w:rPr>
        <w:footnoteRef/>
      </w:r>
      <w:r>
        <w:t xml:space="preserve"> La consommation réelle de 2001 avait été de 452 TWh. </w:t>
      </w:r>
      <w:r w:rsidR="00425B0A" w:rsidRPr="00425B0A">
        <w:t>https://assets.rte-france.com/analyse-et-donnees/2024-02/Bilan électrique 2023 synthèse V7.pdf</w:t>
      </w:r>
    </w:p>
  </w:footnote>
  <w:footnote w:id="4">
    <w:p w14:paraId="107BC0C6" w14:textId="02EF6FCB" w:rsidR="00297A05" w:rsidRDefault="00297A05">
      <w:pPr>
        <w:pStyle w:val="Notedebasdepage"/>
      </w:pPr>
      <w:r>
        <w:rPr>
          <w:rStyle w:val="Appelnotedebasdep"/>
        </w:rPr>
        <w:footnoteRef/>
      </w:r>
      <w:r>
        <w:t xml:space="preserve"> Les énergies fossiles fortement émettrices de gaz à effet de serre représent</w:t>
      </w:r>
      <w:r w:rsidR="00691303">
        <w:t>ent</w:t>
      </w:r>
      <w:r>
        <w:t xml:space="preserve"> encor</w:t>
      </w:r>
      <w:r w:rsidR="00691303">
        <w:t>e</w:t>
      </w:r>
      <w:r>
        <w:t xml:space="preserve"> plus d’un tiers de la consommation énergétique dans le résidentiel et le tertiaire en France,  </w:t>
      </w:r>
      <w:r w:rsidRPr="00297A05">
        <w:t>https://malicorne.over-blog.com/2020/01/4-priorites-pour-le-climat-et-l-energie-en-france.html</w:t>
      </w:r>
    </w:p>
  </w:footnote>
  <w:footnote w:id="5">
    <w:p w14:paraId="515E870E" w14:textId="7164CD34" w:rsidR="00297A05" w:rsidRDefault="00297A05">
      <w:pPr>
        <w:pStyle w:val="Notedebasdepage"/>
      </w:pPr>
      <w:r>
        <w:rPr>
          <w:rStyle w:val="Appelnotedebasdep"/>
        </w:rPr>
        <w:footnoteRef/>
      </w:r>
      <w:r>
        <w:t xml:space="preserve"> Les énergies fossiles fortement émettrices de gaz à effet de serre représent</w:t>
      </w:r>
      <w:r w:rsidR="00691303">
        <w:t xml:space="preserve">ent </w:t>
      </w:r>
      <w:r>
        <w:t xml:space="preserve"> plus de 90 % de la consommation énergétique de la mobilité en France </w:t>
      </w:r>
      <w:r w:rsidRPr="00297A05">
        <w:t>https://malicorne.over-blog.com/2020/01/4-priorites-pour-le-climat-et-l-energie-en-france.html</w:t>
      </w:r>
    </w:p>
  </w:footnote>
  <w:footnote w:id="6">
    <w:p w14:paraId="0A2CF0D1" w14:textId="242CD1F5" w:rsidR="00AE21AB" w:rsidRDefault="00AE21AB">
      <w:pPr>
        <w:pStyle w:val="Notedebasdepage"/>
      </w:pPr>
      <w:r>
        <w:rPr>
          <w:rStyle w:val="Appelnotedebasdep"/>
        </w:rPr>
        <w:footnoteRef/>
      </w:r>
      <w:r>
        <w:t xml:space="preserve"> L’Irlande, le Danemark, et les pays nordiques ont à cet égard en Europe une politique particulièrement volontariste. </w:t>
      </w:r>
    </w:p>
  </w:footnote>
  <w:footnote w:id="7">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8">
    <w:p w14:paraId="4789AAA5" w14:textId="6B3DC286" w:rsidR="00E84041" w:rsidRDefault="00E84041">
      <w:pPr>
        <w:pStyle w:val="Notedebasdepage"/>
      </w:pPr>
      <w:r>
        <w:rPr>
          <w:rStyle w:val="Appelnotedebasdep"/>
        </w:rPr>
        <w:footnoteRef/>
      </w:r>
      <w:r>
        <w:t xml:space="preserve"> </w:t>
      </w:r>
      <w:hyperlink r:id="rId1" w:history="1">
        <w:r w:rsidRPr="005E0499">
          <w:rPr>
            <w:rStyle w:val="Lienhypertexte"/>
          </w:rPr>
          <w:t>https://assets.rte-france.com/analyse-et-donnees/2024-02/Bilan électrique 2023 synthèse V7.pdf</w:t>
        </w:r>
      </w:hyperlink>
    </w:p>
    <w:p w14:paraId="0C728A26" w14:textId="77777777" w:rsidR="00E84041" w:rsidRDefault="00E84041">
      <w:pPr>
        <w:pStyle w:val="Notedebasdepage"/>
      </w:pPr>
    </w:p>
  </w:footnote>
  <w:footnote w:id="9">
    <w:p w14:paraId="628B3E61" w14:textId="59F2E2F3" w:rsidR="007D0D5D" w:rsidRDefault="007D0D5D">
      <w:pPr>
        <w:pStyle w:val="Notedebasdepage"/>
      </w:pPr>
      <w:r>
        <w:rPr>
          <w:rStyle w:val="Appelnotedebasdep"/>
        </w:rPr>
        <w:footnoteRef/>
      </w:r>
      <w:r>
        <w:t xml:space="preserve"> </w:t>
      </w:r>
      <w:hyperlink r:id="rId2" w:history="1">
        <w:r w:rsidR="00042BF8" w:rsidRPr="002101DC">
          <w:rPr>
            <w:rStyle w:val="Lienhypertexte"/>
          </w:rPr>
          <w:t>https://www.iea.org/reports/electricity-2024</w:t>
        </w:r>
      </w:hyperlink>
    </w:p>
    <w:p w14:paraId="332009BA" w14:textId="77777777" w:rsidR="00042BF8" w:rsidRDefault="00042BF8">
      <w:pPr>
        <w:pStyle w:val="Notedebasdepage"/>
      </w:pPr>
    </w:p>
  </w:footnote>
  <w:footnote w:id="10">
    <w:p w14:paraId="5ECA37C5" w14:textId="7C44F821" w:rsidR="000841AE" w:rsidRDefault="000841AE">
      <w:pPr>
        <w:pStyle w:val="Notedebasdepage"/>
      </w:pPr>
      <w:r>
        <w:rPr>
          <w:rStyle w:val="Appelnotedebasdep"/>
        </w:rPr>
        <w:footnoteRef/>
      </w:r>
      <w:r>
        <w:t xml:space="preserve"> Estimée par AIE</w:t>
      </w:r>
    </w:p>
  </w:footnote>
  <w:footnote w:id="11">
    <w:p w14:paraId="00C3BD82" w14:textId="08D33C8F" w:rsidR="0091396A" w:rsidRDefault="0091396A">
      <w:pPr>
        <w:pStyle w:val="Notedebasdepage"/>
      </w:pPr>
      <w:r>
        <w:rPr>
          <w:rStyle w:val="Appelnotedebasdep"/>
        </w:rPr>
        <w:footnoteRef/>
      </w:r>
      <w:r>
        <w:t xml:space="preserve"> Chiffre réajuste de 1,9 % à 2,4 % ^pour la croissance de la demande entre 2022 et 2022, entre les publications 2023 et 2024 de l’AIE</w:t>
      </w:r>
    </w:p>
  </w:footnote>
  <w:footnote w:id="12">
    <w:p w14:paraId="03C16BBA" w14:textId="50F8B69C" w:rsidR="002676D7" w:rsidRDefault="002676D7">
      <w:pPr>
        <w:pStyle w:val="Notedebasdepage"/>
      </w:pPr>
      <w:r>
        <w:rPr>
          <w:rStyle w:val="Appelnotedebasdep"/>
        </w:rPr>
        <w:footnoteRef/>
      </w:r>
      <w:r>
        <w:t xml:space="preserve"> Afrique du Sud, Arabie Saoudite, Brésil, Chine, Egypte, Emirats Arabes Unis, Ethiopie, Inde, Iran, Russie</w:t>
      </w:r>
      <w:r w:rsidR="000841AE">
        <w:t xml:space="preserve">. L’Argentine, initialement proposée, s’est finalement retirée. </w:t>
      </w:r>
    </w:p>
  </w:footnote>
  <w:footnote w:id="13">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14">
    <w:p w14:paraId="3AC01D9C" w14:textId="77777777" w:rsidR="00C213F0" w:rsidRPr="00C213F0" w:rsidRDefault="00C213F0" w:rsidP="00C213F0">
      <w:pPr>
        <w:jc w:val="both"/>
        <w:rPr>
          <w:sz w:val="20"/>
          <w:szCs w:val="20"/>
        </w:rPr>
      </w:pPr>
      <w:r>
        <w:rPr>
          <w:rStyle w:val="Appelnotedebasdep"/>
        </w:rPr>
        <w:footnoteRef/>
      </w:r>
      <w:r>
        <w:t xml:space="preserve"> </w:t>
      </w:r>
      <w:hyperlink r:id="rId3"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15">
    <w:p w14:paraId="6BD77295" w14:textId="46869CBA"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 xml:space="preserve">magnétique qui circule </w:t>
      </w:r>
      <w:r w:rsidR="0096083E">
        <w:t xml:space="preserve">dans une onde </w:t>
      </w:r>
      <w:r>
        <w:t>le long des conducteurs et qui fait bouger les électrons</w:t>
      </w:r>
      <w:r w:rsidR="0094177F">
        <w:t>, et non l’inverse ! Comme les cailloux sur une plage emportés par la houle</w:t>
      </w:r>
      <w:r w:rsidR="005B5540">
        <w:t xml:space="preserve"> de l’océan</w:t>
      </w:r>
    </w:p>
  </w:footnote>
  <w:footnote w:id="16">
    <w:p w14:paraId="2FB09E2B" w14:textId="20BF14CC" w:rsidR="0096083E" w:rsidRDefault="0096083E">
      <w:pPr>
        <w:pStyle w:val="Notedebasdepage"/>
      </w:pPr>
      <w:r>
        <w:rPr>
          <w:rStyle w:val="Appelnotedebasdep"/>
        </w:rPr>
        <w:footnoteRef/>
      </w:r>
      <w:r>
        <w:t xml:space="preserve"> Ce qui justifie des dispositions spécifiques, encadrées par la Loi, pour la défense du patrimoine en conséquence</w:t>
      </w:r>
    </w:p>
  </w:footnote>
  <w:footnote w:id="17">
    <w:p w14:paraId="13B3CCE0" w14:textId="4C082651" w:rsidR="00EF41C3" w:rsidRDefault="00EF41C3">
      <w:pPr>
        <w:pStyle w:val="Notedebasdepage"/>
      </w:pPr>
      <w:r>
        <w:rPr>
          <w:rStyle w:val="Appelnotedebasdep"/>
        </w:rPr>
        <w:footnoteRef/>
      </w:r>
      <w:r>
        <w:t xml:space="preserve"> Je garde </w:t>
      </w:r>
      <w:r w:rsidR="00FD34A5">
        <w:t xml:space="preserve">ainsi </w:t>
      </w:r>
      <w:r>
        <w:t xml:space="preserve">en mémoire </w:t>
      </w:r>
      <w:r w:rsidR="00FD34A5">
        <w:t xml:space="preserve">pour le site de Flamanville dans le Cotentin </w:t>
      </w:r>
      <w:r>
        <w:t xml:space="preserve">les conventions avec tous les partenaires scientifiques ou les associations engagées dans la </w:t>
      </w:r>
      <w:r w:rsidR="00FD34A5">
        <w:t xml:space="preserve">surveillance et la </w:t>
      </w:r>
      <w:r>
        <w:t>défense de l’environnement, les conventions de suivi scientifique de l’environnement marin avec l’Ifremer, et les partenariats de suivi des cétacés au large du Cotentin avec le Groupe d’Etude des Cétacés du Cotentin</w:t>
      </w:r>
      <w:r w:rsidR="00FD34A5">
        <w:t xml:space="preserve"> </w:t>
      </w:r>
      <w:r w:rsidR="00FD34A5" w:rsidRPr="00FD34A5">
        <w:t>https://www.gecc-normandie.org/</w:t>
      </w:r>
    </w:p>
  </w:footnote>
  <w:footnote w:id="18">
    <w:p w14:paraId="18E06015" w14:textId="2E6C5A2A" w:rsidR="00332D30" w:rsidRDefault="00332D30">
      <w:pPr>
        <w:pStyle w:val="Notedebasdepage"/>
      </w:pPr>
      <w:r>
        <w:rPr>
          <w:rStyle w:val="Appelnotedebasdep"/>
        </w:rPr>
        <w:footnoteRef/>
      </w:r>
      <w:r>
        <w:t xml:space="preserve"> </w:t>
      </w:r>
      <w:hyperlink r:id="rId4" w:history="1">
        <w:r w:rsidRPr="005E0499">
          <w:rPr>
            <w:rStyle w:val="Lienhypertexte"/>
          </w:rPr>
          <w:t>https://malicorne.over-blog.com/2014/01/prix-n%C3%A9gatifs-de-l-%C3%A9lectricit%C3%A9-jusqu-o%C3%B9.html</w:t>
        </w:r>
      </w:hyperlink>
    </w:p>
    <w:p w14:paraId="7EF38073" w14:textId="77777777" w:rsidR="00332D30" w:rsidRDefault="00332D30">
      <w:pPr>
        <w:pStyle w:val="Notedebasdepage"/>
      </w:pPr>
    </w:p>
  </w:footnote>
  <w:footnote w:id="19">
    <w:p w14:paraId="1E78BBED" w14:textId="5053A7BD" w:rsidR="00F87963" w:rsidRDefault="00F87963" w:rsidP="00F87963">
      <w:pPr>
        <w:spacing w:before="100" w:beforeAutospacing="1" w:after="100" w:afterAutospacing="1" w:line="240" w:lineRule="auto"/>
        <w:outlineLvl w:val="0"/>
      </w:pPr>
      <w:r>
        <w:rPr>
          <w:rStyle w:val="Appelnotedebasdep"/>
        </w:rPr>
        <w:footnoteRef/>
      </w:r>
      <w:r>
        <w:t xml:space="preserve"> Page 296 </w:t>
      </w:r>
      <w:r w:rsidRPr="00A009D6">
        <w:t>Futurs énergétiques 2050 : les scénarios de mix de production à l’étude permettant d’atteindre la neutralité carbone à l’horizon 2050</w:t>
      </w:r>
      <w:r>
        <w:t xml:space="preserve"> </w:t>
      </w:r>
      <w:r w:rsidRPr="00F87963">
        <w:rPr>
          <w:rStyle w:val="Lienhypertexte"/>
          <w:sz w:val="20"/>
          <w:szCs w:val="20"/>
        </w:rPr>
        <w:t>https://www.rte-france.com/analyses-tendances-et-prospectives/bilan-previsionnel-2050-futurs-energetiques</w:t>
      </w:r>
    </w:p>
  </w:footnote>
  <w:footnote w:id="20">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5"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21">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22">
    <w:p w14:paraId="5E8E83E0" w14:textId="7D711DD0" w:rsidR="0096083E" w:rsidRDefault="0096083E">
      <w:pPr>
        <w:pStyle w:val="Notedebasdepage"/>
      </w:pPr>
      <w:r>
        <w:rPr>
          <w:rStyle w:val="Appelnotedebasdep"/>
        </w:rPr>
        <w:footnoteRef/>
      </w:r>
      <w:r>
        <w:t xml:space="preserve"> </w:t>
      </w:r>
      <w:r w:rsidR="00D90DD0">
        <w:t>Au 4 février 2024</w:t>
      </w:r>
    </w:p>
  </w:footnote>
  <w:footnote w:id="23">
    <w:p w14:paraId="7DC8DB87" w14:textId="09CE4ED5" w:rsidR="007D0D5D" w:rsidRDefault="007D0D5D" w:rsidP="008F3558">
      <w:r>
        <w:rPr>
          <w:rStyle w:val="Appelnotedebasdep"/>
        </w:rPr>
        <w:footnoteRef/>
      </w:r>
      <w:r>
        <w:t xml:space="preserve"> </w:t>
      </w:r>
      <w:hyperlink r:id="rId6" w:history="1">
        <w:r w:rsidRPr="007D0D5D">
          <w:rPr>
            <w:sz w:val="20"/>
            <w:szCs w:val="20"/>
          </w:rPr>
          <w:t>https://www.iea.org/reports/electricity-market-report-2023</w:t>
        </w:r>
      </w:hyperlink>
      <w:r w:rsidR="008F3558">
        <w:rPr>
          <w:sz w:val="20"/>
          <w:szCs w:val="20"/>
        </w:rPr>
        <w:t xml:space="preserve"> </w:t>
      </w:r>
    </w:p>
  </w:footnote>
  <w:footnote w:id="24">
    <w:p w14:paraId="1231EAE5" w14:textId="3B38B6EC" w:rsidR="008F3558" w:rsidRDefault="008F3558">
      <w:pPr>
        <w:pStyle w:val="Notedebasdepage"/>
      </w:pPr>
      <w:r>
        <w:rPr>
          <w:rStyle w:val="Appelnotedebasdep"/>
        </w:rPr>
        <w:footnoteRef/>
      </w:r>
      <w:r>
        <w:t xml:space="preserve"> </w:t>
      </w:r>
      <w:r w:rsidRPr="008F3558">
        <w:t>https://www.iea.org/reports/electricity-2024</w:t>
      </w:r>
    </w:p>
  </w:footnote>
  <w:footnote w:id="25">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Pour les données 2022 , cf https://analysesetdonnees.rte-france.com/bilan-electrique-synthese</w:t>
      </w:r>
    </w:p>
    <w:p w14:paraId="7775D181" w14:textId="77777777" w:rsidR="00BB3B24" w:rsidRDefault="00BB3B24" w:rsidP="00BB3B24">
      <w:pPr>
        <w:pStyle w:val="Notedebasdepage"/>
      </w:pPr>
    </w:p>
  </w:footnote>
  <w:footnote w:id="26">
    <w:p w14:paraId="5B775E7D" w14:textId="17EBE072" w:rsidR="006F722A" w:rsidRDefault="006F722A">
      <w:pPr>
        <w:pStyle w:val="Notedebasdepage"/>
      </w:pPr>
      <w:r>
        <w:rPr>
          <w:rStyle w:val="Appelnotedebasdep"/>
        </w:rPr>
        <w:footnoteRef/>
      </w:r>
      <w:r>
        <w:t xml:space="preserve"> Chiffre provisoire en attente publication RTE bilan annuel 2023</w:t>
      </w:r>
    </w:p>
  </w:footnote>
  <w:footnote w:id="27">
    <w:p w14:paraId="2AAD461D" w14:textId="4C45416D" w:rsidR="006F722A" w:rsidRDefault="006F722A">
      <w:pPr>
        <w:pStyle w:val="Notedebasdepage"/>
      </w:pPr>
      <w:r>
        <w:rPr>
          <w:rStyle w:val="Appelnotedebasdep"/>
        </w:rPr>
        <w:footnoteRef/>
      </w:r>
      <w:r>
        <w:t xml:space="preserve"> Chiffre provisoire en attente publication rapport annuel RTE 2023</w:t>
      </w:r>
    </w:p>
  </w:footnote>
  <w:footnote w:id="28">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29">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30">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31">
    <w:p w14:paraId="2F76A38C" w14:textId="64E92E70" w:rsidR="007A5D58" w:rsidRDefault="007A5D58" w:rsidP="007A5D58">
      <w:pPr>
        <w:pStyle w:val="Notedebasdepage"/>
      </w:pPr>
      <w:r>
        <w:rPr>
          <w:rStyle w:val="Appelnotedebasdep"/>
        </w:rPr>
        <w:footnoteRef/>
      </w:r>
      <w:r>
        <w:t xml:space="preserve"> les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Un vent de folie , l’éolien en France, mensonge et arnaque», chapitre 6).</w:t>
      </w:r>
    </w:p>
  </w:footnote>
  <w:footnote w:id="32">
    <w:p w14:paraId="680E434F" w14:textId="77777777" w:rsidR="00854B09" w:rsidRDefault="00854B09" w:rsidP="00854B09">
      <w:pPr>
        <w:pStyle w:val="Notedebasdepage"/>
      </w:pPr>
      <w:r>
        <w:rPr>
          <w:rStyle w:val="Appelnotedebasdep"/>
        </w:rPr>
        <w:footnoteRef/>
      </w:r>
      <w:r>
        <w:t xml:space="preserve"> </w:t>
      </w:r>
      <w:hyperlink r:id="rId7" w:history="1">
        <w:r w:rsidRPr="0098644A">
          <w:rPr>
            <w:rStyle w:val="Lienhypertexte"/>
          </w:rPr>
          <w:t>https://commission.europa.eu/strategy-and-policy/priorities-2019-2024/european-green-deal/delivering-european-green-deal_fr</w:t>
        </w:r>
      </w:hyperlink>
    </w:p>
    <w:p w14:paraId="063927E9" w14:textId="77777777" w:rsidR="00854B09" w:rsidRDefault="00854B09" w:rsidP="00854B09">
      <w:pPr>
        <w:pStyle w:val="Notedebasdepage"/>
      </w:pPr>
    </w:p>
  </w:footnote>
  <w:footnote w:id="33">
    <w:p w14:paraId="4F5EF970" w14:textId="36269816" w:rsidR="00F77F71" w:rsidRDefault="00F77F71" w:rsidP="00F77F71">
      <w:pPr>
        <w:pStyle w:val="Notedebasdepage"/>
      </w:pPr>
      <w:r>
        <w:rPr>
          <w:rStyle w:val="Appelnotedebasdep"/>
        </w:rPr>
        <w:footnoteRef/>
      </w:r>
      <w:r>
        <w:t xml:space="preserve"> </w:t>
      </w:r>
      <w:hyperlink r:id="rId8"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34">
    <w:p w14:paraId="23FDD350" w14:textId="05B4EA81" w:rsidR="00854B09" w:rsidRDefault="00854B09">
      <w:pPr>
        <w:pStyle w:val="Notedebasdepage"/>
      </w:pPr>
      <w:r>
        <w:rPr>
          <w:rStyle w:val="Appelnotedebasdep"/>
        </w:rPr>
        <w:footnoteRef/>
      </w:r>
      <w:r>
        <w:t xml:space="preserve"> </w:t>
      </w:r>
      <w:hyperlink r:id="rId9" w:history="1">
        <w:r w:rsidRPr="0098644A">
          <w:rPr>
            <w:rStyle w:val="Lienhypertexte"/>
          </w:rPr>
          <w:t>https://commission.europa.eu/strategy-and-policy/priorities-2019-2024/european-green-deal/delivering-european-green-deal_fr</w:t>
        </w:r>
      </w:hyperlink>
    </w:p>
    <w:p w14:paraId="3259A842" w14:textId="77777777" w:rsidR="00854B09" w:rsidRDefault="00854B09">
      <w:pPr>
        <w:pStyle w:val="Notedebasdepage"/>
      </w:pPr>
    </w:p>
  </w:footnote>
  <w:footnote w:id="35">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36">
    <w:p w14:paraId="54CAD440" w14:textId="0E0C544D" w:rsidR="00AB0CBA" w:rsidRDefault="00F77F71" w:rsidP="00481FF2">
      <w:r>
        <w:rPr>
          <w:rStyle w:val="Appelnotedebasdep"/>
        </w:rPr>
        <w:footnoteRef/>
      </w:r>
      <w:r>
        <w:t xml:space="preserve"> </w:t>
      </w:r>
      <w:hyperlink r:id="rId10" w:history="1">
        <w:r w:rsidR="00AB0CBA" w:rsidRPr="003D4645">
          <w:rPr>
            <w:rStyle w:val="Lienhypertexte"/>
          </w:rPr>
          <w:t>https://www.ecologie.gouv.fr/eolien-en-mer-0</w:t>
        </w:r>
      </w:hyperlink>
    </w:p>
  </w:footnote>
  <w:footnote w:id="37">
    <w:p w14:paraId="3BE15ABE" w14:textId="4EC70CFD" w:rsidR="009D2A0C" w:rsidRDefault="009D2A0C">
      <w:pPr>
        <w:pStyle w:val="Notedebasdepage"/>
      </w:pPr>
      <w:r>
        <w:rPr>
          <w:rStyle w:val="Appelnotedebasdep"/>
        </w:rPr>
        <w:footnoteRef/>
      </w:r>
      <w:r>
        <w:t xml:space="preserve"> </w:t>
      </w:r>
      <w:r w:rsidRPr="009D2A0C">
        <w:t>https://www.latribune.fr/climat/energie-environnement/reseau-electrique-rte-concocte-un-plan-d-investissement-colossal-de-pres-de-100-milliards-d-euros-985125.html</w:t>
      </w:r>
    </w:p>
  </w:footnote>
  <w:footnote w:id="38">
    <w:p w14:paraId="0E977B8A" w14:textId="77777777" w:rsidR="00483998" w:rsidRDefault="00483998" w:rsidP="00483998">
      <w:pPr>
        <w:pStyle w:val="Notedebasdepage"/>
      </w:pPr>
      <w:r>
        <w:rPr>
          <w:rStyle w:val="Appelnotedebasdep"/>
        </w:rPr>
        <w:footnoteRef/>
      </w:r>
      <w:r>
        <w:t xml:space="preserve"> Sources ENTSOE, RTE, </w:t>
      </w:r>
    </w:p>
  </w:footnote>
  <w:footnote w:id="39">
    <w:p w14:paraId="0B2934FB" w14:textId="76DBC721" w:rsidR="00696343" w:rsidRDefault="00696343">
      <w:pPr>
        <w:pStyle w:val="Notedebasdepage"/>
      </w:pPr>
      <w:r>
        <w:rPr>
          <w:rStyle w:val="Appelnotedebasdep"/>
        </w:rPr>
        <w:footnoteRef/>
      </w:r>
      <w:r>
        <w:t xml:space="preserve"> i</w:t>
      </w:r>
      <w:r w:rsidR="00481FF2">
        <w:t>l</w:t>
      </w:r>
      <w:r>
        <w:t xml:space="preserve">l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40">
    <w:p w14:paraId="4EBE741B" w14:textId="56B854CD" w:rsidR="00C546F0" w:rsidRDefault="00C546F0">
      <w:pPr>
        <w:pStyle w:val="Notedebasdepage"/>
      </w:pPr>
      <w:r>
        <w:rPr>
          <w:rStyle w:val="Appelnotedebasdep"/>
        </w:rPr>
        <w:footnoteRef/>
      </w:r>
      <w:r>
        <w:t xml:space="preserve"> Chiffre provisoire dans l’attente de la publication du bilan annuel RTE</w:t>
      </w:r>
    </w:p>
  </w:footnote>
  <w:footnote w:id="41">
    <w:p w14:paraId="2C8C44C6" w14:textId="470E7E00"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EB6CC2">
        <w:t xml:space="preserve"> - en 2023 : Pakistan 23 janvier , Brésil 15 août,  Kenya 25 aout , Nigeria 14 septembre </w:t>
      </w:r>
    </w:p>
  </w:footnote>
  <w:footnote w:id="42">
    <w:p w14:paraId="1D8BF5D6" w14:textId="7E31177A" w:rsidR="006D6B98" w:rsidRDefault="006D6B98">
      <w:pPr>
        <w:pStyle w:val="Notedebasdepage"/>
      </w:pPr>
      <w:r>
        <w:rPr>
          <w:rStyle w:val="Appelnotedebasdep"/>
        </w:rPr>
        <w:footnoteRef/>
      </w:r>
      <w:r>
        <w:t xml:space="preserve"> L’h</w:t>
      </w:r>
      <w:r w:rsidR="00894F83">
        <w:t xml:space="preserve">ydraulique </w:t>
      </w:r>
      <w:r>
        <w:t xml:space="preserve"> a joué un rôle important pour redresser la sit</w:t>
      </w:r>
      <w:r w:rsidR="00894F83">
        <w:t>uation</w:t>
      </w:r>
      <w:r>
        <w:t xml:space="preserve"> et éviter un incident généralisé le 4 novembre 2006 dans l’Europe de l’Ouest </w:t>
      </w:r>
      <w:hyperlink r:id="rId11"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43">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impliquant , non seulement </w:t>
      </w:r>
      <w:r w:rsidR="003E5833">
        <w:t>c</w:t>
      </w:r>
      <w:r>
        <w:t xml:space="preserve">ertains sites hydrauliques, mais aussi les capacités d’ilotage </w:t>
      </w:r>
      <w:r w:rsidR="003E5833">
        <w:t>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pourrait  créer des situa</w:t>
      </w:r>
      <w:r w:rsidR="00A13989">
        <w:t>tions</w:t>
      </w:r>
      <w:r w:rsidR="003E5833">
        <w:t xml:space="preserve"> de crise très profonde</w:t>
      </w:r>
    </w:p>
  </w:footnote>
  <w:footnote w:id="44">
    <w:p w14:paraId="03EE121F" w14:textId="2E0940C3" w:rsidR="005A11E9" w:rsidRDefault="005A11E9">
      <w:pPr>
        <w:pStyle w:val="Notedebasdepage"/>
      </w:pPr>
      <w:r>
        <w:rPr>
          <w:rStyle w:val="Appelnotedebasdep"/>
        </w:rPr>
        <w:footnoteRef/>
      </w:r>
      <w:r>
        <w:t xml:space="preserve"> Le potentiel hydroélectrique est évalué en France à 653 MW en sites vierges et à 368 MW  pour l’équipement de seuils déjà existants. </w:t>
      </w:r>
      <w:r w:rsidRPr="005A11E9">
        <w:t>https://www.ecologie.gouv.fr/hydroelectricite</w:t>
      </w:r>
    </w:p>
  </w:footnote>
  <w:footnote w:id="45">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46">
    <w:p w14:paraId="073DB45D" w14:textId="1506C773" w:rsidR="00C546F0" w:rsidRDefault="00C546F0">
      <w:pPr>
        <w:pStyle w:val="Notedebasdepage"/>
      </w:pPr>
      <w:r>
        <w:rPr>
          <w:rStyle w:val="Appelnotedebasdep"/>
        </w:rPr>
        <w:footnoteRef/>
      </w:r>
      <w:r>
        <w:t xml:space="preserve"> Chiffre provisoire, en attente publication bilan annuel RTE 2023</w:t>
      </w:r>
    </w:p>
  </w:footnote>
  <w:footnote w:id="47">
    <w:p w14:paraId="2378D274" w14:textId="5F0A7800" w:rsidR="00AE3637" w:rsidRDefault="00AE3637">
      <w:pPr>
        <w:pStyle w:val="Notedebasdepage"/>
      </w:pPr>
      <w:r>
        <w:rPr>
          <w:rStyle w:val="Appelnotedebasdep"/>
        </w:rPr>
        <w:footnoteRef/>
      </w:r>
      <w:r>
        <w:t xml:space="preserve"> Cf réacteurs nucléaires d’Oklo en Afrique</w:t>
      </w:r>
      <w:r w:rsidR="00D91550">
        <w:t xml:space="preserve"> a produit, il y a deux milliards d’années, des centaines de tonnes de plutonium et des produits de fission. Ces données sont importantes pour la démonstration de sûreté passive apportée par la future installation CIGEO à Bure  pour le stockage ultime des déchets nucléaires à vie longue. </w:t>
      </w:r>
    </w:p>
  </w:footnote>
  <w:footnote w:id="48">
    <w:p w14:paraId="43CDABCD" w14:textId="4C04663B" w:rsidR="00D308FE" w:rsidRDefault="00D308FE">
      <w:pPr>
        <w:pStyle w:val="Notedebasdepage"/>
      </w:pPr>
      <w:r>
        <w:rPr>
          <w:rStyle w:val="Appelnotedebasdep"/>
        </w:rPr>
        <w:footnoteRef/>
      </w:r>
      <w:r>
        <w:t xml:space="preserve"> Source Agence Internationale de l’Energie Atomique </w:t>
      </w:r>
      <w:hyperlink r:id="rId12" w:history="1">
        <w:r w:rsidR="001A416C" w:rsidRPr="005936B6">
          <w:rPr>
            <w:rStyle w:val="Lienhypertexte"/>
          </w:rPr>
          <w:t>https://pris.iaea.org/pris/</w:t>
        </w:r>
      </w:hyperlink>
    </w:p>
    <w:p w14:paraId="53EF88A3" w14:textId="77777777" w:rsidR="001A416C" w:rsidRDefault="001A416C">
      <w:pPr>
        <w:pStyle w:val="Notedebasdepage"/>
      </w:pPr>
    </w:p>
  </w:footnote>
  <w:footnote w:id="49">
    <w:p w14:paraId="2ED9FCB2" w14:textId="6AD789B0" w:rsidR="00784688" w:rsidRDefault="00784688">
      <w:pPr>
        <w:pStyle w:val="Notedebasdepage"/>
      </w:pPr>
      <w:r>
        <w:rPr>
          <w:rStyle w:val="Appelnotedebasdep"/>
        </w:rPr>
        <w:footnoteRef/>
      </w:r>
      <w:r>
        <w:t xml:space="preserve"> Projections AIEA au 6 octobre 2023 </w:t>
      </w:r>
      <w:r w:rsidRPr="00784688">
        <w:t>https://pris.iaea.org/pris/</w:t>
      </w:r>
    </w:p>
  </w:footnote>
  <w:footnote w:id="50">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Fincantieri et d'une société de technologie nucléaire, a déclaré Ugo Salerno, PDG de RINA, à l'agence Reuters.M.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51">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52">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53">
    <w:p w14:paraId="5896A42A" w14:textId="77777777" w:rsidR="00FA1FF7" w:rsidRDefault="00FA1FF7" w:rsidP="00FA1FF7">
      <w:pPr>
        <w:pStyle w:val="Notedebasdepage"/>
      </w:pPr>
      <w:r>
        <w:rPr>
          <w:rStyle w:val="Appelnotedebasdep"/>
        </w:rPr>
        <w:footnoteRef/>
      </w:r>
      <w:r>
        <w:t xml:space="preserve"> </w:t>
      </w:r>
      <w:hyperlink r:id="rId13"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54">
    <w:p w14:paraId="6B1437C9" w14:textId="77777777" w:rsidR="00FA1FF7" w:rsidRDefault="00FA1FF7" w:rsidP="00FA1FF7">
      <w:pPr>
        <w:pStyle w:val="Notedebasdepage"/>
      </w:pPr>
      <w:r>
        <w:rPr>
          <w:rStyle w:val="Appelnotedebasdep"/>
        </w:rPr>
        <w:footnoteRef/>
      </w:r>
      <w:r>
        <w:t xml:space="preserve"> </w:t>
      </w:r>
      <w:hyperlink r:id="rId14"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55">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56">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57">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prologement de tous les réacteurs nucléaires qui peuvent l’être et le lancement d'un grand programme de nouveaux réacteurs nucléaires </w:t>
      </w:r>
      <w:r w:rsidRPr="00344B5B">
        <w:t>https://www.elysee.fr/emmanuel-macron/2022/02/10/reprendre-en-main-notre-destin-energetique</w:t>
      </w:r>
    </w:p>
  </w:footnote>
  <w:footnote w:id="58">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59">
    <w:p w14:paraId="4D40DAF4" w14:textId="77777777" w:rsidR="00FA1FF7" w:rsidRDefault="00FA1FF7" w:rsidP="00FA1FF7">
      <w:pPr>
        <w:pStyle w:val="Notedebasdepage"/>
      </w:pPr>
      <w:r>
        <w:rPr>
          <w:rStyle w:val="Appelnotedebasdep"/>
        </w:rPr>
        <w:footnoteRef/>
      </w:r>
      <w:r>
        <w:t xml:space="preserve">Voir les projets de Type SFR, Sodium-cooled Fast Reactor à travers le monde  </w:t>
      </w:r>
      <w:r w:rsidRPr="00584A25">
        <w:t>https://aris.iaea.org/sites/overview.html</w:t>
      </w:r>
    </w:p>
  </w:footnote>
  <w:footnote w:id="60">
    <w:p w14:paraId="5A2C8BFE" w14:textId="775B2792" w:rsidR="00FA1FF7" w:rsidRDefault="00FA1FF7">
      <w:pPr>
        <w:pStyle w:val="Notedebasdepage"/>
      </w:pPr>
      <w:r>
        <w:rPr>
          <w:rStyle w:val="Appelnotedebasdep"/>
        </w:rPr>
        <w:footnoteRef/>
      </w:r>
      <w:r>
        <w:t xml:space="preserve"> Le suivi de charge</w:t>
      </w:r>
      <w:r w:rsidR="00864F9F">
        <w:t xml:space="preserve">, en fonction des variations quotidiennes de la demande en électricité, </w:t>
      </w:r>
      <w:r>
        <w:t>a été intégré d</w:t>
      </w:r>
      <w:r w:rsidR="00BA670A">
        <w:t>è</w:t>
      </w:r>
      <w:r>
        <w:t>s la conception dans les réacteurs français aujourd’hui en exploitation ou en développement</w:t>
      </w:r>
    </w:p>
  </w:footnote>
  <w:footnote w:id="61">
    <w:p w14:paraId="6BB9865F" w14:textId="407CF367" w:rsidR="00FA1FF7" w:rsidRDefault="00FA1FF7">
      <w:pPr>
        <w:pStyle w:val="Notedebasdepage"/>
      </w:pPr>
      <w:r>
        <w:rPr>
          <w:rStyle w:val="Appelnotedebasdep"/>
        </w:rPr>
        <w:footnoteRef/>
      </w:r>
      <w:r>
        <w:t xml:space="preserve"> 6 g de CO2 par kWh</w:t>
      </w:r>
    </w:p>
  </w:footnote>
  <w:footnote w:id="62">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63">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64">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Daichi 1 2 et 3 ,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Daichi 4, à l’arrêt </w:t>
      </w:r>
      <w:r w:rsidR="00586874">
        <w:t xml:space="preserve">programmé </w:t>
      </w:r>
      <w:r>
        <w:t xml:space="preserve">lors du tsunami, et Fukushima  Daichi 56 et Fukushima Daini 1234, plus récents, exposés aux mêmes vagues, mais mieux protégés, n’ont pas subi de fusion du cœur. </w:t>
      </w:r>
    </w:p>
  </w:footnote>
  <w:footnote w:id="65">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kilomètres , Fukushima Daini, avec 4 réacteurs, n’ont pas été accidentés bien que soumis aux mêmes vagues. </w:t>
      </w:r>
    </w:p>
  </w:footnote>
  <w:footnote w:id="66">
    <w:p w14:paraId="12666789" w14:textId="0088FD19" w:rsidR="00756DBC" w:rsidRDefault="00756DBC">
      <w:pPr>
        <w:pStyle w:val="Notedebasdepage"/>
      </w:pPr>
      <w:r>
        <w:rPr>
          <w:rStyle w:val="Appelnotedebasdep"/>
        </w:rPr>
        <w:footnoteRef/>
      </w:r>
      <w:r>
        <w:t xml:space="preserve"> Le développement de l’intelligence dite artificielle entraine des dispositions complémentaires , voir Nouveaux réacteurs, Intelligence artificielle et Sûreté Nucléaire </w:t>
      </w:r>
      <w:r w:rsidRPr="00756DBC">
        <w:t>https://malicorne.over-blog.com/2023/02/nouveaux-reacteurs-et-surete-nucleaire.html</w:t>
      </w:r>
    </w:p>
  </w:footnote>
  <w:footnote w:id="67">
    <w:p w14:paraId="21518B13" w14:textId="47794085" w:rsidR="002A27F8" w:rsidRDefault="002A27F8">
      <w:pPr>
        <w:pStyle w:val="Notedebasdepage"/>
      </w:pPr>
      <w:r>
        <w:rPr>
          <w:rStyle w:val="Appelnotedebasdep"/>
        </w:rPr>
        <w:footnoteRef/>
      </w:r>
      <w:r>
        <w:t xml:space="preserve"> </w:t>
      </w:r>
      <w:hyperlink r:id="rId15" w:history="1">
        <w:r w:rsidRPr="00F24E79">
          <w:rPr>
            <w:rStyle w:val="Lienhypertexte"/>
          </w:rPr>
          <w:t>http://www.hctisn.fr/</w:t>
        </w:r>
      </w:hyperlink>
    </w:p>
    <w:p w14:paraId="7E351F00" w14:textId="77777777" w:rsidR="002A27F8" w:rsidRDefault="002A27F8">
      <w:pPr>
        <w:pStyle w:val="Notedebasdepage"/>
      </w:pPr>
    </w:p>
  </w:footnote>
  <w:footnote w:id="68">
    <w:p w14:paraId="427E0FE5" w14:textId="71BC12DB" w:rsidR="002A27F8" w:rsidRDefault="002A27F8">
      <w:pPr>
        <w:pStyle w:val="Notedebasdepage"/>
      </w:pPr>
      <w:r>
        <w:rPr>
          <w:rStyle w:val="Appelnotedebasdep"/>
        </w:rPr>
        <w:footnoteRef/>
      </w:r>
      <w:r>
        <w:t xml:space="preserve"> </w:t>
      </w:r>
      <w:hyperlink r:id="rId16" w:history="1">
        <w:r w:rsidRPr="00F24E79">
          <w:rPr>
            <w:rStyle w:val="Lienhypertexte"/>
          </w:rPr>
          <w:t>http://www.senat.fr/opecst/</w:t>
        </w:r>
      </w:hyperlink>
    </w:p>
    <w:p w14:paraId="24E99486" w14:textId="77777777" w:rsidR="002A27F8" w:rsidRDefault="002A27F8">
      <w:pPr>
        <w:pStyle w:val="Notedebasdepage"/>
      </w:pPr>
    </w:p>
  </w:footnote>
  <w:footnote w:id="69">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l’attitude,  Rigueur, Prudence, Attitude interrogative, Communication, Transparence… INSAG ( International Nuclear Safety Advisory Group ) est un groupe d’experts de l’AIEA</w:t>
      </w:r>
    </w:p>
  </w:footnote>
  <w:footnote w:id="70">
    <w:p w14:paraId="2B317DDD" w14:textId="77777777" w:rsidR="00143986" w:rsidRDefault="00143986" w:rsidP="00143986">
      <w:pPr>
        <w:pStyle w:val="Notedebasdepage"/>
      </w:pPr>
      <w:r>
        <w:rPr>
          <w:rStyle w:val="Appelnotedebasdep"/>
        </w:rPr>
        <w:footnoteRef/>
      </w:r>
      <w:r>
        <w:t xml:space="preserve"> WANO World Association of Nuclear Operators </w:t>
      </w:r>
      <w:r w:rsidRPr="00D308FE">
        <w:t>https://www.wano.info/</w:t>
      </w:r>
    </w:p>
  </w:footnote>
  <w:footnote w:id="71">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r w:rsidRPr="00876AF2">
        <w:t xml:space="preserve">à </w:t>
      </w:r>
      <w:r>
        <w:t xml:space="preserve">Sapporo au japon le 16 avril 2023, </w:t>
      </w:r>
      <w:r w:rsidRPr="00876AF2">
        <w:t>https://malicorne.over-blog.com/2023/04/surete-nucleaire-geopolitique-et-culture-de-surete.html</w:t>
      </w:r>
    </w:p>
  </w:footnote>
  <w:footnote w:id="72">
    <w:p w14:paraId="6353EAA0" w14:textId="00D3452B" w:rsidR="00377727" w:rsidRDefault="00377727">
      <w:pPr>
        <w:pStyle w:val="Notedebasdepage"/>
      </w:pPr>
      <w:r>
        <w:rPr>
          <w:rStyle w:val="Appelnotedebasdep"/>
        </w:rPr>
        <w:footnoteRef/>
      </w:r>
      <w:r>
        <w:t xml:space="preserve"> De par leur nature,  au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me électrique</w:t>
      </w:r>
      <w:r w:rsidR="00A43168">
        <w:t xml:space="preserve"> ou d’autres infrastructures vitales pour la population et l’économie. </w:t>
      </w:r>
    </w:p>
  </w:footnote>
  <w:footnote w:id="73">
    <w:p w14:paraId="7BF16457" w14:textId="78EA1150" w:rsidR="00976382" w:rsidRDefault="00976382">
      <w:pPr>
        <w:pStyle w:val="Notedebasdepage"/>
      </w:pPr>
      <w:r>
        <w:rPr>
          <w:rStyle w:val="Appelnotedebasdep"/>
        </w:rPr>
        <w:footnoteRef/>
      </w:r>
      <w:r>
        <w:t xml:space="preserve"> En incluant les risques de cyber attaques dans un contexte de plus en plus numérique mais aussi </w:t>
      </w:r>
      <w:r w:rsidR="005E7964">
        <w:t xml:space="preserve">de plus en plus </w:t>
      </w:r>
      <w:r>
        <w:t>chaotique</w:t>
      </w:r>
    </w:p>
  </w:footnote>
  <w:footnote w:id="74">
    <w:p w14:paraId="1669609F" w14:textId="2AA05349" w:rsidR="00535711" w:rsidRDefault="00535711">
      <w:pPr>
        <w:pStyle w:val="Notedebasdepage"/>
      </w:pPr>
      <w:r>
        <w:rPr>
          <w:rStyle w:val="Appelnotedebasdep"/>
        </w:rPr>
        <w:footnoteRef/>
      </w:r>
      <w:r>
        <w:t xml:space="preserve"> Voir notamment le dossier de demande d’autorisation de Création de CIGEO déposé le 16 janvier 2023 dont le dossier est disponible à </w:t>
      </w:r>
      <w:r w:rsidRPr="00535711">
        <w:t>https://www.andra.fr/cigeo/les-documents-de-reference</w:t>
      </w:r>
    </w:p>
  </w:footnote>
  <w:footnote w:id="75">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76">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auprés du Conseil d’Etat le 9 aout 2022. </w:t>
      </w:r>
    </w:p>
  </w:footnote>
  <w:footnote w:id="77">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 Milliards d’euros pour le Groupe EDF pour 2022, dont 23,8 MdEuros pour la gestion de l’aval du cycle du combustible nucléaire et le traitement ultime des déchets nucléaires en France, et 19,5 MdEuros pour la déconstruction des centrales et dernier cœur en France, cf note 15 page 429 du rapport financier annuel d’EDF pour 2022</w:t>
      </w:r>
    </w:p>
    <w:p w14:paraId="6609EB82" w14:textId="66807061" w:rsidR="003029FE" w:rsidRDefault="00000000" w:rsidP="004B422D">
      <w:pPr>
        <w:pStyle w:val="NormalWeb"/>
        <w:spacing w:before="0" w:beforeAutospacing="0" w:after="0" w:afterAutospacing="0"/>
        <w:rPr>
          <w:rStyle w:val="Lienhypertexte"/>
          <w:rFonts w:asciiTheme="minorHAnsi" w:eastAsiaTheme="minorHAnsi" w:hAnsiTheme="minorHAnsi" w:cstheme="minorBidi"/>
          <w:sz w:val="20"/>
          <w:szCs w:val="20"/>
          <w:lang w:eastAsia="en-US"/>
        </w:rPr>
      </w:pPr>
      <w:hyperlink r:id="rId17"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31C226ED" w14:textId="7F5DE60B" w:rsidR="00222714"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ces provisions s’élevent à 60 206 Milliards d’euros à fin 2023. </w:t>
      </w:r>
      <w:hyperlink r:id="rId18" w:history="1">
        <w:r w:rsidRPr="005E0499">
          <w:rPr>
            <w:rStyle w:val="Lienhypertexte"/>
            <w:rFonts w:asciiTheme="minorHAnsi" w:eastAsiaTheme="minorHAnsi" w:hAnsiTheme="minorHAnsi" w:cstheme="minorBidi"/>
            <w:sz w:val="20"/>
            <w:szCs w:val="20"/>
            <w:lang w:eastAsia="en-US"/>
          </w:rPr>
          <w:t>https://www.edf.fr/groupe-edf/espaces-dedies/journalistes/tous-les-communiques-de-presse/resultats-annuels-2023-production-nucleaire-en-france-en-forte-progression-bonne-performance-operationnelle-densemble-nouvelle-politique-commerciale-reduction-de-la-dette-financiere</w:t>
        </w:r>
      </w:hyperlink>
    </w:p>
    <w:p w14:paraId="1C1C381F" w14:textId="77777777" w:rsidR="00222714" w:rsidRPr="004B422D" w:rsidRDefault="00222714" w:rsidP="004B422D">
      <w:pPr>
        <w:pStyle w:val="NormalWeb"/>
        <w:spacing w:before="0" w:beforeAutospacing="0" w:after="0" w:afterAutospacing="0"/>
        <w:rPr>
          <w:rFonts w:asciiTheme="minorHAnsi" w:eastAsiaTheme="minorHAnsi" w:hAnsiTheme="minorHAnsi" w:cstheme="minorBidi"/>
          <w:sz w:val="20"/>
          <w:szCs w:val="20"/>
          <w:lang w:eastAsia="en-US"/>
        </w:rPr>
      </w:pPr>
    </w:p>
    <w:p w14:paraId="7D195221" w14:textId="733E52A1" w:rsidR="004B422D" w:rsidRDefault="004B422D">
      <w:pPr>
        <w:pStyle w:val="Notedebasdepage"/>
      </w:pPr>
    </w:p>
  </w:footnote>
  <w:footnote w:id="78">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79">
    <w:p w14:paraId="3A584015" w14:textId="77777777" w:rsidR="001A1153" w:rsidRPr="00DD4E41" w:rsidRDefault="001A1153" w:rsidP="001A1153">
      <w:pPr>
        <w:spacing w:before="100" w:beforeAutospacing="1" w:after="100" w:afterAutospacing="1" w:line="240" w:lineRule="auto"/>
        <w:jc w:val="both"/>
        <w:rPr>
          <w:rFonts w:ascii="Times New Roman" w:eastAsia="Times New Roman" w:hAnsi="Times New Roman" w:cs="Times New Roman"/>
          <w:sz w:val="24"/>
          <w:szCs w:val="24"/>
          <w:lang w:eastAsia="fr-FR"/>
        </w:rPr>
      </w:pPr>
      <w:r>
        <w:rPr>
          <w:rStyle w:val="Appelnotedebasdep"/>
        </w:rPr>
        <w:footnoteRef/>
      </w:r>
      <w:r>
        <w:t xml:space="preserve"> </w:t>
      </w:r>
      <w:hyperlink r:id="rId19" w:history="1">
        <w:r w:rsidRPr="00DD4E41">
          <w:rPr>
            <w:rFonts w:ascii="Times New Roman" w:eastAsia="Times New Roman" w:hAnsi="Times New Roman" w:cs="Times New Roman"/>
            <w:color w:val="0000FF"/>
            <w:sz w:val="24"/>
            <w:szCs w:val="24"/>
            <w:u w:val="single"/>
            <w:lang w:eastAsia="fr-FR"/>
          </w:rPr>
          <w:t>https://www.latribune.fr/climat/energie-environnement/l-etat-et-edf-mettent-fin-a-leur-bras-de-fer-et-trouvent-un-accord-sur-les-prix-de-l-electricite-nucleaire-983123.html</w:t>
        </w:r>
      </w:hyperlink>
    </w:p>
    <w:p w14:paraId="3E078185" w14:textId="669F4190" w:rsidR="001A1153" w:rsidRDefault="001A1153">
      <w:pPr>
        <w:pStyle w:val="Notedebasdepage"/>
      </w:pPr>
    </w:p>
  </w:footnote>
  <w:footnote w:id="80">
    <w:p w14:paraId="3B5C214D" w14:textId="65E9E5E4" w:rsidR="00CD4DF1" w:rsidRDefault="00CD4DF1">
      <w:pPr>
        <w:pStyle w:val="Notedebasdepage"/>
      </w:pPr>
      <w:r>
        <w:rPr>
          <w:rStyle w:val="Appelnotedebasdep"/>
        </w:rPr>
        <w:footnoteRef/>
      </w:r>
      <w:r>
        <w:t xml:space="preserve"> sur les réacteurs à eau bouillante, à chimie plus agressive, ce phénomène est plus courant</w:t>
      </w:r>
    </w:p>
  </w:footnote>
  <w:footnote w:id="81">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82">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83">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20"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84">
    <w:p w14:paraId="60B21F5B" w14:textId="370CF7C6" w:rsidR="00E97433" w:rsidRDefault="00E97433">
      <w:pPr>
        <w:pStyle w:val="Notedebasdepage"/>
      </w:pPr>
      <w:r>
        <w:rPr>
          <w:rStyle w:val="Appelnotedebasdep"/>
        </w:rPr>
        <w:footnoteRef/>
      </w:r>
      <w:r>
        <w:t xml:space="preserve"> Audition de Luc rémont au Parlement, 19 juillet 2023, </w:t>
      </w:r>
      <w:hyperlink r:id="rId21"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85">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86">
    <w:p w14:paraId="05C6827A" w14:textId="50A4697E" w:rsidR="008441F2" w:rsidRDefault="008441F2">
      <w:pPr>
        <w:pStyle w:val="Notedebasdepage"/>
      </w:pPr>
      <w:r>
        <w:rPr>
          <w:rStyle w:val="Appelnotedebasdep"/>
        </w:rPr>
        <w:footnoteRef/>
      </w:r>
      <w:r>
        <w:t xml:space="preserve"> tubes et coudes selon communique EDF du 18 mai 2022</w:t>
      </w:r>
    </w:p>
  </w:footnote>
  <w:footnote w:id="87">
    <w:p w14:paraId="2ED06E10" w14:textId="145AF9B9" w:rsidR="00F23E0A" w:rsidRDefault="00F23E0A">
      <w:pPr>
        <w:pStyle w:val="Notedebasdepage"/>
      </w:pPr>
      <w:r>
        <w:rPr>
          <w:rStyle w:val="Appelnotedebasdep"/>
        </w:rPr>
        <w:footnoteRef/>
      </w:r>
      <w:r>
        <w:t xml:space="preserve"> </w:t>
      </w:r>
      <w:hyperlink r:id="rId22"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88">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Italie le 28 septembre 2003</w:t>
      </w:r>
      <w:r w:rsidR="003E38C3">
        <w:t xml:space="preserve"> , l’incident du 4 novembre 2006 sur toute l’Europe de l’Ouest,</w:t>
      </w:r>
      <w:r w:rsidR="00665A9A">
        <w:t xml:space="preserve"> </w:t>
      </w:r>
      <w:r w:rsidR="00D4358C">
        <w:t>rappellent</w:t>
      </w:r>
      <w:r w:rsidR="003E38C3">
        <w:t xml:space="preserve"> la nécessité de préserver une attitude prudente au regard du risque de black out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89">
    <w:p w14:paraId="7DA5E6E1" w14:textId="1524C8AB" w:rsidR="008E6A1F" w:rsidRDefault="008E6A1F">
      <w:pPr>
        <w:pStyle w:val="Notedebasdepage"/>
      </w:pPr>
      <w:r>
        <w:rPr>
          <w:rStyle w:val="Appelnotedebasdep"/>
        </w:rPr>
        <w:footnoteRef/>
      </w:r>
      <w:r>
        <w:t xml:space="preserve"> Maximum France à l’exportation est désormais de  </w:t>
      </w:r>
      <w:r w:rsidRPr="008E6A1F">
        <w:t>17 636  MW le 31 mars 2023</w:t>
      </w:r>
    </w:p>
  </w:footnote>
  <w:footnote w:id="90">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91">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et  qui mettra probablement plusieurs années à ses réaliser</w:t>
      </w:r>
    </w:p>
  </w:footnote>
  <w:footnote w:id="92">
    <w:p w14:paraId="663471B7" w14:textId="61F41079" w:rsidR="009E5450" w:rsidRDefault="009E5450">
      <w:pPr>
        <w:pStyle w:val="Notedebasdepage"/>
      </w:pPr>
      <w:r>
        <w:rPr>
          <w:rStyle w:val="Appelnotedebasdep"/>
        </w:rPr>
        <w:footnoteRef/>
      </w:r>
      <w:r>
        <w:t xml:space="preserve"> Les deux réacteurs EPR à Taishan en Chine</w:t>
      </w:r>
      <w:r w:rsidR="008E6A1F">
        <w:t xml:space="preserve">, dont le premier couplage ont éu lieu respectivement le 29 juin 2018 pour Taishan 1 et Taishan 2 , le 23 juin 2019, </w:t>
      </w:r>
      <w:r>
        <w:t xml:space="preserve"> ont déjà produit 73 TWh à fin 2022</w:t>
      </w:r>
      <w:r w:rsidR="008E6A1F">
        <w:t xml:space="preserve">. Maximum de production annuelle, Taishan 2 avec 12,5 TWh. </w:t>
      </w:r>
    </w:p>
  </w:footnote>
  <w:footnote w:id="93">
    <w:p w14:paraId="4702A277" w14:textId="0130D452" w:rsidR="00C158BD" w:rsidRDefault="00C158BD">
      <w:pPr>
        <w:pStyle w:val="Notedebasdepage"/>
      </w:pPr>
      <w:r>
        <w:rPr>
          <w:rStyle w:val="Appelnotedebasdep"/>
        </w:rPr>
        <w:footnoteRef/>
      </w:r>
      <w:r>
        <w:t xml:space="preserve"> Premier couplage de Olkiluoto 3 , 12 mars 2022</w:t>
      </w:r>
    </w:p>
  </w:footnote>
  <w:footnote w:id="94">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95">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96">
    <w:p w14:paraId="07F5A022" w14:textId="23AE9E7E" w:rsidR="009F49DC" w:rsidRPr="009F49DC" w:rsidRDefault="009F49DC">
      <w:pPr>
        <w:pStyle w:val="Notedebasdepage"/>
      </w:pPr>
      <w:r>
        <w:rPr>
          <w:rStyle w:val="Appelnotedebasdep"/>
        </w:rPr>
        <w:footnoteRef/>
      </w:r>
      <w:r w:rsidRPr="009F49DC">
        <w:t xml:space="preserve"> </w:t>
      </w:r>
      <w:hyperlink r:id="rId23"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l’industrie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97">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98">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 cf « projets « </w:t>
      </w:r>
      <w:r w:rsidRPr="002B6F6C">
        <w:rPr>
          <w:i/>
          <w:iCs/>
        </w:rPr>
        <w:t>starts ups</w:t>
      </w:r>
      <w:r>
        <w:t> »…)</w:t>
      </w:r>
    </w:p>
  </w:footnote>
  <w:footnote w:id="99">
    <w:p w14:paraId="6344443D" w14:textId="1CBCCE30" w:rsidR="004C0258" w:rsidRDefault="004C0258">
      <w:pPr>
        <w:pStyle w:val="Notedebasdepage"/>
      </w:pPr>
      <w:r>
        <w:rPr>
          <w:rStyle w:val="Appelnotedebasdep"/>
        </w:rPr>
        <w:footnoteRef/>
      </w:r>
      <w:r>
        <w:t xml:space="preserve"> Voir plus loin la cible de 70 Euros le MWh établie en 2023 entre le Gouvernement français et EDF dans le cadre de la discussion sur le financement du nouveau nucléaire et la régulation du nucléaire</w:t>
      </w:r>
    </w:p>
  </w:footnote>
  <w:footnote w:id="100">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101">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102">
    <w:p w14:paraId="728E3A42" w14:textId="77777777" w:rsidR="002557D6" w:rsidRDefault="002557D6" w:rsidP="002557D6">
      <w:pPr>
        <w:pStyle w:val="Notedebasdepage"/>
      </w:pPr>
      <w:r>
        <w:rPr>
          <w:rStyle w:val="Appelnotedebasdep"/>
        </w:rPr>
        <w:footnoteRef/>
      </w:r>
      <w:r>
        <w:t xml:space="preserve"> Les 51,7 milliards d’euros se décomposent en 3,8 Meuros en cout de développement du palier EPR2, 16,9 Meuros pour la paire Penly, 15,8 Meuros pour la paire Gravelines, et 15,3 Meuros pour une paire en bord de riviére. Cf Dossier Maitre d’ouvrage EPR 2 Penly. </w:t>
      </w:r>
    </w:p>
  </w:footnote>
  <w:footnote w:id="103">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104">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105">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106">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24"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107">
    <w:p w14:paraId="5EC8AAA7" w14:textId="0AD20551" w:rsidR="00A83C30" w:rsidRDefault="00A83C30">
      <w:pPr>
        <w:pStyle w:val="Notedebasdepage"/>
      </w:pPr>
      <w:r>
        <w:rPr>
          <w:rStyle w:val="Appelnotedebasdep"/>
        </w:rPr>
        <w:footnoteRef/>
      </w:r>
      <w:r>
        <w:t xml:space="preserve"> Délai annoncé par EDF Nuward, 40 mois entre le premier béton et le couplage</w:t>
      </w:r>
    </w:p>
  </w:footnote>
  <w:footnote w:id="108">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109">
    <w:p w14:paraId="174FCAAB" w14:textId="0E0132AA" w:rsidR="00F45B04" w:rsidRDefault="00F45B04">
      <w:pPr>
        <w:pStyle w:val="Notedebasdepage"/>
      </w:pPr>
      <w:r>
        <w:rPr>
          <w:rStyle w:val="Appelnotedebasdep"/>
        </w:rPr>
        <w:footnoteRef/>
      </w:r>
      <w:r>
        <w:t xml:space="preserve"> Voir notamment le projet US Phoenix de petits réacteurs SMR  susceptible de se déployer en République Tchèque, en Roumanie et en Pologne </w:t>
      </w:r>
      <w:r w:rsidRPr="00F45B04">
        <w:t>https://malicorne.over-blog.com/2023/10/petits-reacteurs-en-europe-surete-nucleaire-et-souverainete-energetique.html</w:t>
      </w:r>
    </w:p>
  </w:footnote>
  <w:footnote w:id="110">
    <w:p w14:paraId="75719748" w14:textId="322CBCCC" w:rsidR="000B31B4" w:rsidRDefault="000B31B4">
      <w:pPr>
        <w:pStyle w:val="Notedebasdepage"/>
      </w:pPr>
      <w:r>
        <w:rPr>
          <w:rStyle w:val="Appelnotedebasdep"/>
        </w:rPr>
        <w:footnoteRef/>
      </w:r>
      <w:r>
        <w:t xml:space="preserve"> </w:t>
      </w:r>
    </w:p>
  </w:footnote>
  <w:footnote w:id="111">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112">
    <w:p w14:paraId="242A0D51" w14:textId="038892D2" w:rsidR="00AF25BE" w:rsidRDefault="00AF25BE" w:rsidP="004E7BDE">
      <w:pPr>
        <w:pStyle w:val="Notedebasdepage"/>
      </w:pPr>
      <w:r>
        <w:rPr>
          <w:rStyle w:val="Appelnotedebasdep"/>
        </w:rPr>
        <w:footnoteRef/>
      </w:r>
      <w:r>
        <w:t xml:space="preserve"> Par exemple </w:t>
      </w:r>
      <w:r w:rsidR="004E7BDE">
        <w:t xml:space="preserve">Les quatre arrêts d’urgence par baisse de la réactivité (AURN) survenus en 1989 et 1990 sur Phénix restent inexpliqués ; l’explication privilégiée est une vibration d’origine mécanique engendrant une modification de la géométrie du cœur ayant entraîné, en début de transitoire, une baisse de la réactivité. De même, l’origine des baisses de réactivité survenues dans EBR II (USA) en 1974 et dans Rapsodie (France) en 1978 n’a pas été identifiée. Page 47 </w:t>
      </w:r>
      <w:r w:rsidR="004E7BDE" w:rsidRPr="004E7BDE">
        <w:t>https://www.irsn.fr/sites/default/files/documents/expertise/rapports_expertise/IRSN-Rapport-GenIV_04-2015.pdf</w:t>
      </w:r>
    </w:p>
  </w:footnote>
  <w:footnote w:id="113">
    <w:p w14:paraId="39CA2CAB" w14:textId="31491F2C" w:rsidR="00D608C5" w:rsidRDefault="00D608C5">
      <w:pPr>
        <w:pStyle w:val="Notedebasdepage"/>
      </w:pPr>
      <w:r>
        <w:rPr>
          <w:rStyle w:val="Appelnotedebasdep"/>
        </w:rPr>
        <w:footnoteRef/>
      </w:r>
      <w:r>
        <w:t xml:space="preserve"> </w:t>
      </w:r>
      <w:r w:rsidRPr="00AF5DD6">
        <w:t xml:space="preserve">source Eurostat </w:t>
      </w:r>
      <w:hyperlink r:id="rId25" w:history="1">
        <w:r w:rsidRPr="00AF5DD6">
          <w:t>https://ec.europa.eu/eurostat/databrowser/view/ten00117/default/bar?lang=fr</w:t>
        </w:r>
      </w:hyperlink>
    </w:p>
  </w:footnote>
  <w:footnote w:id="114">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115">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116">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6"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117">
    <w:p w14:paraId="491E1628" w14:textId="561918A6" w:rsidR="0081253B" w:rsidRDefault="0081253B">
      <w:pPr>
        <w:pStyle w:val="Notedebasdepage"/>
      </w:pPr>
      <w:r>
        <w:rPr>
          <w:rStyle w:val="Appelnotedebasdep"/>
        </w:rPr>
        <w:footnoteRef/>
      </w:r>
      <w:r>
        <w:t xml:space="preserve"> En imposant , en pleine crise, à EDF d’élargir le volume de la production mise à disposition de l’Arenh en 2022, le Gouvernement a forcé EDF à aller se couvrir sur un marché en ébullition pour ses propres clients ! </w:t>
      </w:r>
    </w:p>
  </w:footnote>
  <w:footnote w:id="118">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7" w:history="1">
        <w:r w:rsidRPr="00BF57C9">
          <w:rPr>
            <w:sz w:val="20"/>
            <w:szCs w:val="20"/>
          </w:rPr>
          <w:t>https://www.eex.com/en/market-data/power/futures</w:t>
        </w:r>
      </w:hyperlink>
    </w:p>
    <w:p w14:paraId="6DA2F615" w14:textId="1513F852" w:rsidR="00BF57C9" w:rsidRDefault="00BF57C9">
      <w:pPr>
        <w:pStyle w:val="Notedebasdepage"/>
      </w:pPr>
    </w:p>
  </w:footnote>
  <w:footnote w:id="119">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120">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28"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121">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122">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29" w:history="1">
        <w:r w:rsidRPr="008C2894">
          <w:rPr>
            <w:sz w:val="20"/>
            <w:szCs w:val="20"/>
          </w:rPr>
          <w:t>https</w:t>
        </w:r>
      </w:hyperlink>
      <w:hyperlink r:id="rId30" w:history="1">
        <w:r w:rsidRPr="008C2894">
          <w:rPr>
            <w:sz w:val="20"/>
            <w:szCs w:val="20"/>
          </w:rPr>
          <w:t>://www.cre.fr/Actualites/</w:t>
        </w:r>
      </w:hyperlink>
      <w:hyperlink r:id="rId31"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123">
    <w:p w14:paraId="4340C65C" w14:textId="26C1EAA2" w:rsidR="00A331AD" w:rsidRDefault="00A331AD">
      <w:pPr>
        <w:pStyle w:val="Notedebasdepage"/>
      </w:pPr>
      <w:r>
        <w:rPr>
          <w:rStyle w:val="Appelnotedebasdep"/>
        </w:rPr>
        <w:footnoteRef/>
      </w:r>
      <w:r>
        <w:t xml:space="preserve"> </w:t>
      </w:r>
      <w:hyperlink r:id="rId32"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124">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auprés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125">
    <w:p w14:paraId="36FE11EA" w14:textId="6B4D8D91" w:rsidR="00DD4E41" w:rsidRDefault="00DD4E41" w:rsidP="00DD4E41">
      <w:pPr>
        <w:spacing w:before="100" w:beforeAutospacing="1" w:after="100" w:afterAutospacing="1" w:line="240" w:lineRule="auto"/>
        <w:jc w:val="both"/>
      </w:pPr>
      <w:r>
        <w:rPr>
          <w:rStyle w:val="Appelnotedebasdep"/>
        </w:rPr>
        <w:footnoteRef/>
      </w:r>
      <w:hyperlink r:id="rId33" w:history="1">
        <w:r w:rsidRPr="00DD4E41">
          <w:rPr>
            <w:rStyle w:val="Lienhypertexte"/>
            <w:sz w:val="20"/>
            <w:szCs w:val="20"/>
          </w:rPr>
          <w:t>https://www.cre.fr/L-energie-et-vous/references-de-prix-de-l-electricite-pour-les-pme-et-les-collectivites-territoriales</w:t>
        </w:r>
      </w:hyperlink>
    </w:p>
  </w:footnote>
  <w:footnote w:id="126">
    <w:p w14:paraId="58986E00" w14:textId="7B32EA25" w:rsidR="00DD4E41" w:rsidRPr="00DD4E41" w:rsidRDefault="00DD4E41" w:rsidP="00DD4E41">
      <w:pPr>
        <w:spacing w:before="100" w:beforeAutospacing="1" w:after="100" w:afterAutospacing="1" w:line="240" w:lineRule="auto"/>
        <w:jc w:val="both"/>
        <w:rPr>
          <w:rStyle w:val="Lienhypertexte"/>
          <w:sz w:val="20"/>
          <w:szCs w:val="20"/>
        </w:rPr>
      </w:pPr>
      <w:r>
        <w:rPr>
          <w:rStyle w:val="Appelnotedebasdep"/>
        </w:rPr>
        <w:footnoteRef/>
      </w:r>
      <w:hyperlink r:id="rId34" w:history="1">
        <w:r w:rsidRPr="00DD4E41">
          <w:rPr>
            <w:rStyle w:val="Lienhypertexte"/>
            <w:sz w:val="20"/>
            <w:szCs w:val="20"/>
          </w:rPr>
          <w:t>https://www.latribune.fr/climat/energie-environnement/l-etat-et-edf-mettent-fin-a-leur-bras-de-fer-et-trouvent-un-accord-sur-les-prix-de-l-electricite-nucleaire-983123.html</w:t>
        </w:r>
      </w:hyperlink>
    </w:p>
    <w:p w14:paraId="281A068F" w14:textId="6AC0DBC0" w:rsidR="00DD4E41" w:rsidRDefault="00DD4E41">
      <w:pPr>
        <w:pStyle w:val="Notedebasdepage"/>
      </w:pPr>
    </w:p>
  </w:footnote>
  <w:footnote w:id="127">
    <w:p w14:paraId="54DF76D7" w14:textId="7F03D055" w:rsidR="00A04FBC" w:rsidRDefault="00A04FBC">
      <w:pPr>
        <w:pStyle w:val="Notedebasdepage"/>
      </w:pPr>
      <w:r>
        <w:rPr>
          <w:rStyle w:val="Appelnotedebasdep"/>
        </w:rPr>
        <w:footnoteRef/>
      </w:r>
      <w:r>
        <w:t xml:space="preserve"> </w:t>
      </w:r>
      <w:hyperlink r:id="rId35" w:history="1">
        <w:r w:rsidRPr="005E0499">
          <w:rPr>
            <w:rStyle w:val="Lienhypertexte"/>
          </w:rPr>
          <w:t>https://www.edf.fr/groupe-edf/espaces-dedies/journalistes/tous-les-communiques-de-presse/resultats-annuels-2023-production-nucleaire-en-france-en-forte-progression-bonne-performance-operationnelle-densemble-nouvelle-politique-commerciale-reduction-de-la-dette-financiere</w:t>
        </w:r>
      </w:hyperlink>
    </w:p>
    <w:p w14:paraId="51018C1A" w14:textId="77777777" w:rsidR="00A04FBC" w:rsidRDefault="00A04FBC">
      <w:pPr>
        <w:pStyle w:val="Notedebasdepage"/>
      </w:pPr>
    </w:p>
  </w:footnote>
  <w:footnote w:id="128">
    <w:p w14:paraId="0E7D55C4" w14:textId="6317D8A8" w:rsidR="0043769A" w:rsidRDefault="0043769A">
      <w:pPr>
        <w:pStyle w:val="Notedebasdepage"/>
      </w:pPr>
      <w:r>
        <w:rPr>
          <w:rStyle w:val="Appelnotedebasdep"/>
        </w:rPr>
        <w:footnoteRef/>
      </w:r>
      <w:r>
        <w:t xml:space="preserve"> </w:t>
      </w:r>
      <w:hyperlink r:id="rId36" w:history="1">
        <w:r w:rsidR="00A04FBC" w:rsidRPr="005E0499">
          <w:rPr>
            <w:rStyle w:val="Lienhypertexte"/>
          </w:rPr>
          <w:t>https://www.economie.gouv.fr/actualites/tout-comprendre-sur-la-hausse-de-votre-facture-delectricite-au-1er-fevrier-2024</w:t>
        </w:r>
      </w:hyperlink>
    </w:p>
    <w:p w14:paraId="0A6EC899" w14:textId="77777777" w:rsidR="00A04FBC" w:rsidRDefault="00A04FBC">
      <w:pPr>
        <w:pStyle w:val="Notedebasdepage"/>
      </w:pPr>
    </w:p>
  </w:footnote>
  <w:footnote w:id="129">
    <w:p w14:paraId="41BBC1AE" w14:textId="5B277FE6" w:rsidR="00736C50" w:rsidRDefault="00736C50">
      <w:pPr>
        <w:pStyle w:val="Notedebasdepage"/>
      </w:pPr>
      <w:r>
        <w:rPr>
          <w:rStyle w:val="Appelnotedebasdep"/>
        </w:rPr>
        <w:footnoteRef/>
      </w:r>
      <w:r>
        <w:t xml:space="preserve"> Page 37 Manifeste pour la France, Au chant des Abeilles, Bernard Maillard, éditions Edilivre</w:t>
      </w:r>
    </w:p>
  </w:footnote>
  <w:footnote w:id="130">
    <w:p w14:paraId="1DB9B873" w14:textId="43397D61" w:rsidR="00426054" w:rsidRDefault="00426054">
      <w:pPr>
        <w:pStyle w:val="Notedebasdepage"/>
      </w:pPr>
      <w:r>
        <w:rPr>
          <w:rStyle w:val="Appelnotedebasdep"/>
        </w:rPr>
        <w:footnoteRef/>
      </w:r>
      <w:r>
        <w:t xml:space="preserve"> </w:t>
      </w:r>
      <w:r w:rsidRPr="00426054">
        <w:t>https://www.consilium.europa.eu/fr/press/press-releases/2023/10/17/reform-of-electricity-market-design-council-reaches-agreement/</w:t>
      </w:r>
    </w:p>
  </w:footnote>
  <w:footnote w:id="131">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d’Oklo, repose sur des interactions fortes et faibles dont la nature intime nous est aussi inconnue que celle de la gravitation  qui préside à l’énergie hydraulique ! </w:t>
      </w:r>
    </w:p>
  </w:footnote>
  <w:footnote w:id="132">
    <w:p w14:paraId="5A9991F7" w14:textId="6568CB1B" w:rsidR="00D07926" w:rsidRDefault="00D07926">
      <w:pPr>
        <w:pStyle w:val="Notedebasdepage"/>
      </w:pPr>
      <w:r>
        <w:rPr>
          <w:rStyle w:val="Appelnotedebasdep"/>
        </w:rPr>
        <w:footnoteRef/>
      </w:r>
      <w:r>
        <w:t xml:space="preserve"> J’ai in</w:t>
      </w:r>
      <w:r w:rsidR="0000456E">
        <w:t xml:space="preserve">itié, alors que j’étais Délégué Régional EDF en Bretagne, avec l’appui de la R&amp;D et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r>
        <w:t xml:space="preserve">dés le départ du projet, avec les professionnels et usagers de la mer. </w:t>
      </w:r>
      <w:r w:rsidR="0000456E">
        <w:t>Avec une immersion à 35 m de profondeur de l’hydrolienne HQ-OCEAN conçue par la start-up française HydroQuest et construite par CMN (Constructions Mécaniques de Normandie), ce démonstrateur de 1 MW a injecté ses premiers kWh sur le réseau en juin 2019</w:t>
      </w:r>
      <w:r w:rsidR="00B00C53">
        <w:t xml:space="preserve">. </w:t>
      </w:r>
      <w:r w:rsidR="00FB6BD4">
        <w:t>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hyperlink r:id="rId37" w:history="1">
        <w:r w:rsidR="00B00C53" w:rsidRPr="002D3F3C">
          <w:rPr>
            <w:rStyle w:val="Lienhypertexte"/>
          </w:rPr>
          <w:t>https://www.edf.fr/groupe-edf/produire-une-energie-respectueuse-du-climat/accelerer-le-developpement-des-energies-renouvelables/la-mer-une-energie-renouvelable-et-disponible/energie-hydrolienne/paimpol-brehat-un-site-dessais-en-mer-au-profit-du-developpement-de-la-filiere</w:t>
        </w:r>
      </w:hyperlink>
      <w:r w:rsidR="00B00C53">
        <w:t xml:space="preserve">. L’Etat a décidé en 2023 le soutien le développement de 7 hydroliennes Hydroquest de 2,5 MW dans le Raz Blanchard, qui devraient être opérationnelles d’ici 2026 </w:t>
      </w:r>
      <w:hyperlink r:id="rId38" w:history="1">
        <w:r w:rsidR="00B00C53" w:rsidRPr="002D3F3C">
          <w:rPr>
            <w:rStyle w:val="Lienhypertexte"/>
          </w:rPr>
          <w:t>https://www.hydroquest.fr/qair-hydroquest-et-cmn-saluent-lengagement-decisif-de-letat-francais-dans-la-mise-en-oeuvre-de-flowatt/</w:t>
        </w:r>
      </w:hyperlink>
    </w:p>
    <w:p w14:paraId="704C6975" w14:textId="77777777" w:rsidR="00B00C53" w:rsidRDefault="00B00C53">
      <w:pPr>
        <w:pStyle w:val="Notedebasdepage"/>
      </w:pPr>
    </w:p>
    <w:p w14:paraId="04307635" w14:textId="77777777" w:rsidR="00B00C53" w:rsidRDefault="00B00C53">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6A752B"/>
    <w:multiLevelType w:val="hybridMultilevel"/>
    <w:tmpl w:val="74B266C6"/>
    <w:lvl w:ilvl="0" w:tplc="32CAE70A">
      <w:start w:val="1"/>
      <w:numFmt w:val="bullet"/>
      <w:lvlText w:val="•"/>
      <w:lvlJc w:val="left"/>
      <w:pPr>
        <w:tabs>
          <w:tab w:val="num" w:pos="720"/>
        </w:tabs>
        <w:ind w:left="720" w:hanging="360"/>
      </w:pPr>
      <w:rPr>
        <w:rFonts w:ascii="Arial" w:hAnsi="Arial" w:hint="default"/>
      </w:rPr>
    </w:lvl>
    <w:lvl w:ilvl="1" w:tplc="1E0612FC">
      <w:start w:val="1"/>
      <w:numFmt w:val="bullet"/>
      <w:lvlText w:val="•"/>
      <w:lvlJc w:val="left"/>
      <w:pPr>
        <w:tabs>
          <w:tab w:val="num" w:pos="1440"/>
        </w:tabs>
        <w:ind w:left="1440" w:hanging="360"/>
      </w:pPr>
      <w:rPr>
        <w:rFonts w:ascii="Arial" w:hAnsi="Arial" w:hint="default"/>
      </w:rPr>
    </w:lvl>
    <w:lvl w:ilvl="2" w:tplc="9C98EC56" w:tentative="1">
      <w:start w:val="1"/>
      <w:numFmt w:val="bullet"/>
      <w:lvlText w:val="•"/>
      <w:lvlJc w:val="left"/>
      <w:pPr>
        <w:tabs>
          <w:tab w:val="num" w:pos="2160"/>
        </w:tabs>
        <w:ind w:left="2160" w:hanging="360"/>
      </w:pPr>
      <w:rPr>
        <w:rFonts w:ascii="Arial" w:hAnsi="Arial" w:hint="default"/>
      </w:rPr>
    </w:lvl>
    <w:lvl w:ilvl="3" w:tplc="522CE242" w:tentative="1">
      <w:start w:val="1"/>
      <w:numFmt w:val="bullet"/>
      <w:lvlText w:val="•"/>
      <w:lvlJc w:val="left"/>
      <w:pPr>
        <w:tabs>
          <w:tab w:val="num" w:pos="2880"/>
        </w:tabs>
        <w:ind w:left="2880" w:hanging="360"/>
      </w:pPr>
      <w:rPr>
        <w:rFonts w:ascii="Arial" w:hAnsi="Arial" w:hint="default"/>
      </w:rPr>
    </w:lvl>
    <w:lvl w:ilvl="4" w:tplc="9CE0CC24" w:tentative="1">
      <w:start w:val="1"/>
      <w:numFmt w:val="bullet"/>
      <w:lvlText w:val="•"/>
      <w:lvlJc w:val="left"/>
      <w:pPr>
        <w:tabs>
          <w:tab w:val="num" w:pos="3600"/>
        </w:tabs>
        <w:ind w:left="3600" w:hanging="360"/>
      </w:pPr>
      <w:rPr>
        <w:rFonts w:ascii="Arial" w:hAnsi="Arial" w:hint="default"/>
      </w:rPr>
    </w:lvl>
    <w:lvl w:ilvl="5" w:tplc="1684075C" w:tentative="1">
      <w:start w:val="1"/>
      <w:numFmt w:val="bullet"/>
      <w:lvlText w:val="•"/>
      <w:lvlJc w:val="left"/>
      <w:pPr>
        <w:tabs>
          <w:tab w:val="num" w:pos="4320"/>
        </w:tabs>
        <w:ind w:left="4320" w:hanging="360"/>
      </w:pPr>
      <w:rPr>
        <w:rFonts w:ascii="Arial" w:hAnsi="Arial" w:hint="default"/>
      </w:rPr>
    </w:lvl>
    <w:lvl w:ilvl="6" w:tplc="BD5ADE86" w:tentative="1">
      <w:start w:val="1"/>
      <w:numFmt w:val="bullet"/>
      <w:lvlText w:val="•"/>
      <w:lvlJc w:val="left"/>
      <w:pPr>
        <w:tabs>
          <w:tab w:val="num" w:pos="5040"/>
        </w:tabs>
        <w:ind w:left="5040" w:hanging="360"/>
      </w:pPr>
      <w:rPr>
        <w:rFonts w:ascii="Arial" w:hAnsi="Arial" w:hint="default"/>
      </w:rPr>
    </w:lvl>
    <w:lvl w:ilvl="7" w:tplc="74D80A12" w:tentative="1">
      <w:start w:val="1"/>
      <w:numFmt w:val="bullet"/>
      <w:lvlText w:val="•"/>
      <w:lvlJc w:val="left"/>
      <w:pPr>
        <w:tabs>
          <w:tab w:val="num" w:pos="5760"/>
        </w:tabs>
        <w:ind w:left="5760" w:hanging="360"/>
      </w:pPr>
      <w:rPr>
        <w:rFonts w:ascii="Arial" w:hAnsi="Arial" w:hint="default"/>
      </w:rPr>
    </w:lvl>
    <w:lvl w:ilvl="8" w:tplc="BED2F6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10"/>
  </w:num>
  <w:num w:numId="7" w16cid:durableId="690183800">
    <w:abstractNumId w:val="2"/>
  </w:num>
  <w:num w:numId="8" w16cid:durableId="1933389280">
    <w:abstractNumId w:val="4"/>
  </w:num>
  <w:num w:numId="9" w16cid:durableId="1877966349">
    <w:abstractNumId w:val="5"/>
  </w:num>
  <w:num w:numId="10" w16cid:durableId="92481634">
    <w:abstractNumId w:val="9"/>
  </w:num>
  <w:num w:numId="11" w16cid:durableId="13485540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4FA6"/>
    <w:rsid w:val="00026CE1"/>
    <w:rsid w:val="000272C5"/>
    <w:rsid w:val="00027EDD"/>
    <w:rsid w:val="000311EB"/>
    <w:rsid w:val="00036BD3"/>
    <w:rsid w:val="00040289"/>
    <w:rsid w:val="000427CD"/>
    <w:rsid w:val="00042BF8"/>
    <w:rsid w:val="00043807"/>
    <w:rsid w:val="00043981"/>
    <w:rsid w:val="00051085"/>
    <w:rsid w:val="0005352C"/>
    <w:rsid w:val="00053763"/>
    <w:rsid w:val="0006367A"/>
    <w:rsid w:val="00070093"/>
    <w:rsid w:val="000703D4"/>
    <w:rsid w:val="00071FE1"/>
    <w:rsid w:val="00074EA4"/>
    <w:rsid w:val="00074FDC"/>
    <w:rsid w:val="000827E5"/>
    <w:rsid w:val="000841AE"/>
    <w:rsid w:val="0009015A"/>
    <w:rsid w:val="000903F6"/>
    <w:rsid w:val="00090ED6"/>
    <w:rsid w:val="00093FC6"/>
    <w:rsid w:val="00094FC7"/>
    <w:rsid w:val="00095245"/>
    <w:rsid w:val="0009750C"/>
    <w:rsid w:val="000977B3"/>
    <w:rsid w:val="000A58A8"/>
    <w:rsid w:val="000A799A"/>
    <w:rsid w:val="000B1EBA"/>
    <w:rsid w:val="000B2670"/>
    <w:rsid w:val="000B31B4"/>
    <w:rsid w:val="000B618B"/>
    <w:rsid w:val="000B624F"/>
    <w:rsid w:val="000B6FEA"/>
    <w:rsid w:val="000C2A47"/>
    <w:rsid w:val="000C5FD1"/>
    <w:rsid w:val="000D305F"/>
    <w:rsid w:val="000E058E"/>
    <w:rsid w:val="000E5AD8"/>
    <w:rsid w:val="000E5D46"/>
    <w:rsid w:val="000E6B41"/>
    <w:rsid w:val="000F3B8A"/>
    <w:rsid w:val="000F724E"/>
    <w:rsid w:val="001013A1"/>
    <w:rsid w:val="00104746"/>
    <w:rsid w:val="00105460"/>
    <w:rsid w:val="00105BC8"/>
    <w:rsid w:val="00105EBE"/>
    <w:rsid w:val="0011315F"/>
    <w:rsid w:val="001137DB"/>
    <w:rsid w:val="00115205"/>
    <w:rsid w:val="00116942"/>
    <w:rsid w:val="00126AD2"/>
    <w:rsid w:val="001273A3"/>
    <w:rsid w:val="001301BE"/>
    <w:rsid w:val="00131126"/>
    <w:rsid w:val="001328B8"/>
    <w:rsid w:val="00135EBA"/>
    <w:rsid w:val="00143986"/>
    <w:rsid w:val="00146F9D"/>
    <w:rsid w:val="00152B53"/>
    <w:rsid w:val="00154ABE"/>
    <w:rsid w:val="00162D11"/>
    <w:rsid w:val="0016300D"/>
    <w:rsid w:val="00164026"/>
    <w:rsid w:val="0016535F"/>
    <w:rsid w:val="00167E6C"/>
    <w:rsid w:val="0017155C"/>
    <w:rsid w:val="0017419F"/>
    <w:rsid w:val="00174271"/>
    <w:rsid w:val="00175035"/>
    <w:rsid w:val="00175BEF"/>
    <w:rsid w:val="00187937"/>
    <w:rsid w:val="00191BED"/>
    <w:rsid w:val="00191C0A"/>
    <w:rsid w:val="00196E28"/>
    <w:rsid w:val="001A1153"/>
    <w:rsid w:val="001A416C"/>
    <w:rsid w:val="001B4B5A"/>
    <w:rsid w:val="001B67C8"/>
    <w:rsid w:val="001B7377"/>
    <w:rsid w:val="001C5BAB"/>
    <w:rsid w:val="001C6E2C"/>
    <w:rsid w:val="001C6E9F"/>
    <w:rsid w:val="001C7A45"/>
    <w:rsid w:val="001D0E41"/>
    <w:rsid w:val="001D0F2F"/>
    <w:rsid w:val="001D6CBC"/>
    <w:rsid w:val="001E0698"/>
    <w:rsid w:val="001F0103"/>
    <w:rsid w:val="001F2338"/>
    <w:rsid w:val="002118D5"/>
    <w:rsid w:val="002174B9"/>
    <w:rsid w:val="00217BF6"/>
    <w:rsid w:val="00222714"/>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31DE"/>
    <w:rsid w:val="0028610D"/>
    <w:rsid w:val="00291C9B"/>
    <w:rsid w:val="00291CE2"/>
    <w:rsid w:val="00294AC5"/>
    <w:rsid w:val="00297196"/>
    <w:rsid w:val="00297A05"/>
    <w:rsid w:val="002A123B"/>
    <w:rsid w:val="002A15DD"/>
    <w:rsid w:val="002A27F8"/>
    <w:rsid w:val="002A644B"/>
    <w:rsid w:val="002A7375"/>
    <w:rsid w:val="002B4D2E"/>
    <w:rsid w:val="002B5C6D"/>
    <w:rsid w:val="002B6F6C"/>
    <w:rsid w:val="002C3840"/>
    <w:rsid w:val="002C3DE2"/>
    <w:rsid w:val="002C3FE6"/>
    <w:rsid w:val="002C459E"/>
    <w:rsid w:val="002C4B73"/>
    <w:rsid w:val="002D15C0"/>
    <w:rsid w:val="002D49CC"/>
    <w:rsid w:val="002E4C3B"/>
    <w:rsid w:val="002E6643"/>
    <w:rsid w:val="002E695A"/>
    <w:rsid w:val="002F02BA"/>
    <w:rsid w:val="002F1C81"/>
    <w:rsid w:val="002F2065"/>
    <w:rsid w:val="003029FE"/>
    <w:rsid w:val="0030315E"/>
    <w:rsid w:val="00303B3F"/>
    <w:rsid w:val="003071BD"/>
    <w:rsid w:val="0030724D"/>
    <w:rsid w:val="003102D2"/>
    <w:rsid w:val="003159AB"/>
    <w:rsid w:val="00327774"/>
    <w:rsid w:val="00332B4F"/>
    <w:rsid w:val="00332D30"/>
    <w:rsid w:val="0034141D"/>
    <w:rsid w:val="00344B5B"/>
    <w:rsid w:val="00347677"/>
    <w:rsid w:val="00351931"/>
    <w:rsid w:val="00352C62"/>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3A3B"/>
    <w:rsid w:val="003A3B7B"/>
    <w:rsid w:val="003A6386"/>
    <w:rsid w:val="003A6E3D"/>
    <w:rsid w:val="003B013E"/>
    <w:rsid w:val="003B2B37"/>
    <w:rsid w:val="003B310C"/>
    <w:rsid w:val="003B38E8"/>
    <w:rsid w:val="003C30F2"/>
    <w:rsid w:val="003C3A30"/>
    <w:rsid w:val="003C5992"/>
    <w:rsid w:val="003C643F"/>
    <w:rsid w:val="003D1C8B"/>
    <w:rsid w:val="003D741D"/>
    <w:rsid w:val="003E1224"/>
    <w:rsid w:val="003E1895"/>
    <w:rsid w:val="003E38C3"/>
    <w:rsid w:val="003E425A"/>
    <w:rsid w:val="003E5833"/>
    <w:rsid w:val="003E6D28"/>
    <w:rsid w:val="003F08FD"/>
    <w:rsid w:val="003F1B5C"/>
    <w:rsid w:val="00402934"/>
    <w:rsid w:val="004103B3"/>
    <w:rsid w:val="004127BD"/>
    <w:rsid w:val="0041546F"/>
    <w:rsid w:val="00417F57"/>
    <w:rsid w:val="00423219"/>
    <w:rsid w:val="00425B0A"/>
    <w:rsid w:val="00426054"/>
    <w:rsid w:val="00427A71"/>
    <w:rsid w:val="004316E9"/>
    <w:rsid w:val="00432A68"/>
    <w:rsid w:val="00433764"/>
    <w:rsid w:val="0043769A"/>
    <w:rsid w:val="00442C8E"/>
    <w:rsid w:val="004458E8"/>
    <w:rsid w:val="00453B1B"/>
    <w:rsid w:val="0047488B"/>
    <w:rsid w:val="004754A2"/>
    <w:rsid w:val="00475B0C"/>
    <w:rsid w:val="00477F6D"/>
    <w:rsid w:val="00481310"/>
    <w:rsid w:val="00481FF2"/>
    <w:rsid w:val="00483998"/>
    <w:rsid w:val="004855D0"/>
    <w:rsid w:val="00487F0D"/>
    <w:rsid w:val="00490DF1"/>
    <w:rsid w:val="00493410"/>
    <w:rsid w:val="004942D2"/>
    <w:rsid w:val="004A213F"/>
    <w:rsid w:val="004A2389"/>
    <w:rsid w:val="004A359A"/>
    <w:rsid w:val="004A7880"/>
    <w:rsid w:val="004B02E8"/>
    <w:rsid w:val="004B422D"/>
    <w:rsid w:val="004B682D"/>
    <w:rsid w:val="004B74EB"/>
    <w:rsid w:val="004C0258"/>
    <w:rsid w:val="004C2E58"/>
    <w:rsid w:val="004C33A2"/>
    <w:rsid w:val="004C380B"/>
    <w:rsid w:val="004C6A0A"/>
    <w:rsid w:val="004C7570"/>
    <w:rsid w:val="004D12EC"/>
    <w:rsid w:val="004D1EA7"/>
    <w:rsid w:val="004D6B9F"/>
    <w:rsid w:val="004E3798"/>
    <w:rsid w:val="004E4A5A"/>
    <w:rsid w:val="004E5E1C"/>
    <w:rsid w:val="004E7BDE"/>
    <w:rsid w:val="004F16F4"/>
    <w:rsid w:val="004F1774"/>
    <w:rsid w:val="004F25AC"/>
    <w:rsid w:val="004F271D"/>
    <w:rsid w:val="005004D6"/>
    <w:rsid w:val="005025A3"/>
    <w:rsid w:val="00504B7F"/>
    <w:rsid w:val="00507F6A"/>
    <w:rsid w:val="00510304"/>
    <w:rsid w:val="00512A50"/>
    <w:rsid w:val="00512BD9"/>
    <w:rsid w:val="00520332"/>
    <w:rsid w:val="00522D4A"/>
    <w:rsid w:val="005255D2"/>
    <w:rsid w:val="005263E7"/>
    <w:rsid w:val="00526928"/>
    <w:rsid w:val="00531C06"/>
    <w:rsid w:val="0053225D"/>
    <w:rsid w:val="00535711"/>
    <w:rsid w:val="00536E9E"/>
    <w:rsid w:val="0054154C"/>
    <w:rsid w:val="005441C4"/>
    <w:rsid w:val="00545788"/>
    <w:rsid w:val="00550EA5"/>
    <w:rsid w:val="00554E19"/>
    <w:rsid w:val="00557F4F"/>
    <w:rsid w:val="00562859"/>
    <w:rsid w:val="00563661"/>
    <w:rsid w:val="00573BE7"/>
    <w:rsid w:val="00581D64"/>
    <w:rsid w:val="00584A25"/>
    <w:rsid w:val="00585061"/>
    <w:rsid w:val="00586874"/>
    <w:rsid w:val="00591495"/>
    <w:rsid w:val="00592116"/>
    <w:rsid w:val="00592D4A"/>
    <w:rsid w:val="00595C60"/>
    <w:rsid w:val="005A11E9"/>
    <w:rsid w:val="005A1DB4"/>
    <w:rsid w:val="005A7509"/>
    <w:rsid w:val="005B4649"/>
    <w:rsid w:val="005B4AA2"/>
    <w:rsid w:val="005B5540"/>
    <w:rsid w:val="005B59F0"/>
    <w:rsid w:val="005C1BCB"/>
    <w:rsid w:val="005C5D84"/>
    <w:rsid w:val="005D35A0"/>
    <w:rsid w:val="005D4ECD"/>
    <w:rsid w:val="005D573D"/>
    <w:rsid w:val="005D5DCE"/>
    <w:rsid w:val="005D63C3"/>
    <w:rsid w:val="005D6B90"/>
    <w:rsid w:val="005D6CBE"/>
    <w:rsid w:val="005E1F28"/>
    <w:rsid w:val="005E2449"/>
    <w:rsid w:val="005E7964"/>
    <w:rsid w:val="005E7DFC"/>
    <w:rsid w:val="005F4E5A"/>
    <w:rsid w:val="005F4FFB"/>
    <w:rsid w:val="005F6342"/>
    <w:rsid w:val="005F6857"/>
    <w:rsid w:val="005F6C44"/>
    <w:rsid w:val="00601C76"/>
    <w:rsid w:val="00606CB3"/>
    <w:rsid w:val="00607138"/>
    <w:rsid w:val="0061054F"/>
    <w:rsid w:val="00611E9C"/>
    <w:rsid w:val="00615CC3"/>
    <w:rsid w:val="006167A5"/>
    <w:rsid w:val="00616B5C"/>
    <w:rsid w:val="00617304"/>
    <w:rsid w:val="00617E60"/>
    <w:rsid w:val="006222BB"/>
    <w:rsid w:val="006348FE"/>
    <w:rsid w:val="00635813"/>
    <w:rsid w:val="006372EF"/>
    <w:rsid w:val="00641A47"/>
    <w:rsid w:val="00641F02"/>
    <w:rsid w:val="00652E7C"/>
    <w:rsid w:val="00653272"/>
    <w:rsid w:val="006534D4"/>
    <w:rsid w:val="006629A3"/>
    <w:rsid w:val="00663368"/>
    <w:rsid w:val="00664601"/>
    <w:rsid w:val="00665A9A"/>
    <w:rsid w:val="00666564"/>
    <w:rsid w:val="00671971"/>
    <w:rsid w:val="00691303"/>
    <w:rsid w:val="00693AF4"/>
    <w:rsid w:val="00695ABC"/>
    <w:rsid w:val="00695EB9"/>
    <w:rsid w:val="00696343"/>
    <w:rsid w:val="00697759"/>
    <w:rsid w:val="006A02AA"/>
    <w:rsid w:val="006A0E90"/>
    <w:rsid w:val="006A191A"/>
    <w:rsid w:val="006A39F5"/>
    <w:rsid w:val="006A5FC6"/>
    <w:rsid w:val="006B18A4"/>
    <w:rsid w:val="006B19C3"/>
    <w:rsid w:val="006B2D21"/>
    <w:rsid w:val="006B5322"/>
    <w:rsid w:val="006B70A5"/>
    <w:rsid w:val="006B7B48"/>
    <w:rsid w:val="006C0922"/>
    <w:rsid w:val="006C09B7"/>
    <w:rsid w:val="006C0E03"/>
    <w:rsid w:val="006C2F4B"/>
    <w:rsid w:val="006C63BC"/>
    <w:rsid w:val="006D2BF7"/>
    <w:rsid w:val="006D4B64"/>
    <w:rsid w:val="006D4BDA"/>
    <w:rsid w:val="006D6B98"/>
    <w:rsid w:val="006E0C62"/>
    <w:rsid w:val="006F25B4"/>
    <w:rsid w:val="006F64B9"/>
    <w:rsid w:val="006F722A"/>
    <w:rsid w:val="006F7A37"/>
    <w:rsid w:val="00705F05"/>
    <w:rsid w:val="00707AD8"/>
    <w:rsid w:val="00713537"/>
    <w:rsid w:val="0072533C"/>
    <w:rsid w:val="00725DDD"/>
    <w:rsid w:val="0072742E"/>
    <w:rsid w:val="00727ECC"/>
    <w:rsid w:val="00736C50"/>
    <w:rsid w:val="007436AD"/>
    <w:rsid w:val="00743F52"/>
    <w:rsid w:val="007465F2"/>
    <w:rsid w:val="00747945"/>
    <w:rsid w:val="00756DBC"/>
    <w:rsid w:val="00762FF1"/>
    <w:rsid w:val="00766309"/>
    <w:rsid w:val="00767F1A"/>
    <w:rsid w:val="00775905"/>
    <w:rsid w:val="0078231A"/>
    <w:rsid w:val="00784688"/>
    <w:rsid w:val="00791D53"/>
    <w:rsid w:val="00791F5B"/>
    <w:rsid w:val="00792914"/>
    <w:rsid w:val="007936C1"/>
    <w:rsid w:val="007970DB"/>
    <w:rsid w:val="00797BB3"/>
    <w:rsid w:val="007A1172"/>
    <w:rsid w:val="007A1977"/>
    <w:rsid w:val="007A3202"/>
    <w:rsid w:val="007A447A"/>
    <w:rsid w:val="007A4E30"/>
    <w:rsid w:val="007A5D58"/>
    <w:rsid w:val="007A7CB8"/>
    <w:rsid w:val="007B0610"/>
    <w:rsid w:val="007B1336"/>
    <w:rsid w:val="007B68A9"/>
    <w:rsid w:val="007B7878"/>
    <w:rsid w:val="007C0C81"/>
    <w:rsid w:val="007C181E"/>
    <w:rsid w:val="007C1D39"/>
    <w:rsid w:val="007C25E3"/>
    <w:rsid w:val="007C2D09"/>
    <w:rsid w:val="007D01A5"/>
    <w:rsid w:val="007D0674"/>
    <w:rsid w:val="007D0848"/>
    <w:rsid w:val="007D0D5D"/>
    <w:rsid w:val="007D248F"/>
    <w:rsid w:val="007D4DD2"/>
    <w:rsid w:val="007D6515"/>
    <w:rsid w:val="007E0980"/>
    <w:rsid w:val="007E3B36"/>
    <w:rsid w:val="007E3B5B"/>
    <w:rsid w:val="007E6A90"/>
    <w:rsid w:val="007E6AAE"/>
    <w:rsid w:val="007F6222"/>
    <w:rsid w:val="00800040"/>
    <w:rsid w:val="008017BF"/>
    <w:rsid w:val="00811DC3"/>
    <w:rsid w:val="00811DEF"/>
    <w:rsid w:val="0081253B"/>
    <w:rsid w:val="00812A11"/>
    <w:rsid w:val="00813734"/>
    <w:rsid w:val="008208BC"/>
    <w:rsid w:val="008209A3"/>
    <w:rsid w:val="00822F63"/>
    <w:rsid w:val="00823C61"/>
    <w:rsid w:val="008246BE"/>
    <w:rsid w:val="00827876"/>
    <w:rsid w:val="00832363"/>
    <w:rsid w:val="00832B51"/>
    <w:rsid w:val="00837505"/>
    <w:rsid w:val="0084112E"/>
    <w:rsid w:val="0084309D"/>
    <w:rsid w:val="008441F2"/>
    <w:rsid w:val="008454DC"/>
    <w:rsid w:val="00846554"/>
    <w:rsid w:val="00850849"/>
    <w:rsid w:val="00854B09"/>
    <w:rsid w:val="00855815"/>
    <w:rsid w:val="00857189"/>
    <w:rsid w:val="0086064E"/>
    <w:rsid w:val="00863A0D"/>
    <w:rsid w:val="00864F9F"/>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9743E"/>
    <w:rsid w:val="00897987"/>
    <w:rsid w:val="008A5381"/>
    <w:rsid w:val="008A599A"/>
    <w:rsid w:val="008A68EA"/>
    <w:rsid w:val="008A6F9C"/>
    <w:rsid w:val="008A7B2D"/>
    <w:rsid w:val="008B3884"/>
    <w:rsid w:val="008C2894"/>
    <w:rsid w:val="008C4939"/>
    <w:rsid w:val="008C657C"/>
    <w:rsid w:val="008C65E3"/>
    <w:rsid w:val="008E494F"/>
    <w:rsid w:val="008E6A1F"/>
    <w:rsid w:val="008F3558"/>
    <w:rsid w:val="008F6474"/>
    <w:rsid w:val="008F672B"/>
    <w:rsid w:val="00904088"/>
    <w:rsid w:val="009055DA"/>
    <w:rsid w:val="0091053F"/>
    <w:rsid w:val="0091396A"/>
    <w:rsid w:val="009140E1"/>
    <w:rsid w:val="0092130C"/>
    <w:rsid w:val="00921351"/>
    <w:rsid w:val="00924DE1"/>
    <w:rsid w:val="009250AE"/>
    <w:rsid w:val="00927472"/>
    <w:rsid w:val="009274FB"/>
    <w:rsid w:val="00927E98"/>
    <w:rsid w:val="00933C4C"/>
    <w:rsid w:val="00934974"/>
    <w:rsid w:val="0093641E"/>
    <w:rsid w:val="0094113A"/>
    <w:rsid w:val="009411D3"/>
    <w:rsid w:val="0094177F"/>
    <w:rsid w:val="00941AB4"/>
    <w:rsid w:val="009434A3"/>
    <w:rsid w:val="00944B8F"/>
    <w:rsid w:val="009462C1"/>
    <w:rsid w:val="00946ED3"/>
    <w:rsid w:val="009532C1"/>
    <w:rsid w:val="0096083E"/>
    <w:rsid w:val="00960A16"/>
    <w:rsid w:val="00961E0B"/>
    <w:rsid w:val="00974BE8"/>
    <w:rsid w:val="00976382"/>
    <w:rsid w:val="0097755A"/>
    <w:rsid w:val="00981965"/>
    <w:rsid w:val="00992545"/>
    <w:rsid w:val="00994344"/>
    <w:rsid w:val="0099618D"/>
    <w:rsid w:val="00997C71"/>
    <w:rsid w:val="009A2100"/>
    <w:rsid w:val="009B78EA"/>
    <w:rsid w:val="009C09B7"/>
    <w:rsid w:val="009D0393"/>
    <w:rsid w:val="009D0863"/>
    <w:rsid w:val="009D2368"/>
    <w:rsid w:val="009D2A0C"/>
    <w:rsid w:val="009D3880"/>
    <w:rsid w:val="009D6122"/>
    <w:rsid w:val="009D7801"/>
    <w:rsid w:val="009D7F2E"/>
    <w:rsid w:val="009E5450"/>
    <w:rsid w:val="009F14A4"/>
    <w:rsid w:val="009F195B"/>
    <w:rsid w:val="009F42F6"/>
    <w:rsid w:val="009F49DC"/>
    <w:rsid w:val="009F5639"/>
    <w:rsid w:val="00A04FBC"/>
    <w:rsid w:val="00A07442"/>
    <w:rsid w:val="00A07524"/>
    <w:rsid w:val="00A107F1"/>
    <w:rsid w:val="00A10B6B"/>
    <w:rsid w:val="00A11D85"/>
    <w:rsid w:val="00A125F0"/>
    <w:rsid w:val="00A13989"/>
    <w:rsid w:val="00A13DE6"/>
    <w:rsid w:val="00A17558"/>
    <w:rsid w:val="00A21BD9"/>
    <w:rsid w:val="00A230EB"/>
    <w:rsid w:val="00A234AA"/>
    <w:rsid w:val="00A237E6"/>
    <w:rsid w:val="00A24E0D"/>
    <w:rsid w:val="00A250E3"/>
    <w:rsid w:val="00A25D57"/>
    <w:rsid w:val="00A260CD"/>
    <w:rsid w:val="00A2620B"/>
    <w:rsid w:val="00A331AD"/>
    <w:rsid w:val="00A3420A"/>
    <w:rsid w:val="00A35C5D"/>
    <w:rsid w:val="00A3635B"/>
    <w:rsid w:val="00A365E1"/>
    <w:rsid w:val="00A41181"/>
    <w:rsid w:val="00A43168"/>
    <w:rsid w:val="00A444E7"/>
    <w:rsid w:val="00A4782A"/>
    <w:rsid w:val="00A516FA"/>
    <w:rsid w:val="00A55BEF"/>
    <w:rsid w:val="00A6286D"/>
    <w:rsid w:val="00A6599C"/>
    <w:rsid w:val="00A739EE"/>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6C7B"/>
    <w:rsid w:val="00AB740E"/>
    <w:rsid w:val="00AB7E15"/>
    <w:rsid w:val="00AC2774"/>
    <w:rsid w:val="00AC36CE"/>
    <w:rsid w:val="00AD09F5"/>
    <w:rsid w:val="00AD21CF"/>
    <w:rsid w:val="00AD2792"/>
    <w:rsid w:val="00AD2E0E"/>
    <w:rsid w:val="00AD2F24"/>
    <w:rsid w:val="00AD4B90"/>
    <w:rsid w:val="00AD758F"/>
    <w:rsid w:val="00AE0268"/>
    <w:rsid w:val="00AE2180"/>
    <w:rsid w:val="00AE21AB"/>
    <w:rsid w:val="00AE3637"/>
    <w:rsid w:val="00AE3C56"/>
    <w:rsid w:val="00AE4436"/>
    <w:rsid w:val="00AE59EE"/>
    <w:rsid w:val="00AE7889"/>
    <w:rsid w:val="00AF20D4"/>
    <w:rsid w:val="00AF25BE"/>
    <w:rsid w:val="00AF5DD6"/>
    <w:rsid w:val="00AF60F4"/>
    <w:rsid w:val="00AF725D"/>
    <w:rsid w:val="00B00C53"/>
    <w:rsid w:val="00B021BB"/>
    <w:rsid w:val="00B117BE"/>
    <w:rsid w:val="00B11EA0"/>
    <w:rsid w:val="00B14990"/>
    <w:rsid w:val="00B1567A"/>
    <w:rsid w:val="00B1773E"/>
    <w:rsid w:val="00B3113E"/>
    <w:rsid w:val="00B33A81"/>
    <w:rsid w:val="00B524A3"/>
    <w:rsid w:val="00B5546C"/>
    <w:rsid w:val="00B57F72"/>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496"/>
    <w:rsid w:val="00BA15D3"/>
    <w:rsid w:val="00BA4D40"/>
    <w:rsid w:val="00BA58D2"/>
    <w:rsid w:val="00BA670A"/>
    <w:rsid w:val="00BB09CB"/>
    <w:rsid w:val="00BB0C0C"/>
    <w:rsid w:val="00BB207D"/>
    <w:rsid w:val="00BB3B24"/>
    <w:rsid w:val="00BB7612"/>
    <w:rsid w:val="00BC32C5"/>
    <w:rsid w:val="00BD594C"/>
    <w:rsid w:val="00BD7DC9"/>
    <w:rsid w:val="00BE0943"/>
    <w:rsid w:val="00BE45AE"/>
    <w:rsid w:val="00BF57C9"/>
    <w:rsid w:val="00BF6465"/>
    <w:rsid w:val="00BF661A"/>
    <w:rsid w:val="00C0064B"/>
    <w:rsid w:val="00C023AF"/>
    <w:rsid w:val="00C05544"/>
    <w:rsid w:val="00C05AE1"/>
    <w:rsid w:val="00C0643D"/>
    <w:rsid w:val="00C077C3"/>
    <w:rsid w:val="00C1180A"/>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46F0"/>
    <w:rsid w:val="00C54B85"/>
    <w:rsid w:val="00C55D0A"/>
    <w:rsid w:val="00C574AB"/>
    <w:rsid w:val="00C66B86"/>
    <w:rsid w:val="00C73F11"/>
    <w:rsid w:val="00C77304"/>
    <w:rsid w:val="00C87F5F"/>
    <w:rsid w:val="00C90D9D"/>
    <w:rsid w:val="00C962E1"/>
    <w:rsid w:val="00CA4793"/>
    <w:rsid w:val="00CB4F34"/>
    <w:rsid w:val="00CC4F86"/>
    <w:rsid w:val="00CC57E7"/>
    <w:rsid w:val="00CC6A88"/>
    <w:rsid w:val="00CC71C9"/>
    <w:rsid w:val="00CD1210"/>
    <w:rsid w:val="00CD3123"/>
    <w:rsid w:val="00CD3AE9"/>
    <w:rsid w:val="00CD4DF1"/>
    <w:rsid w:val="00CD5363"/>
    <w:rsid w:val="00CE0BD7"/>
    <w:rsid w:val="00CE54B0"/>
    <w:rsid w:val="00CE7974"/>
    <w:rsid w:val="00CF045E"/>
    <w:rsid w:val="00CF0F6A"/>
    <w:rsid w:val="00CF52FD"/>
    <w:rsid w:val="00CF6829"/>
    <w:rsid w:val="00D07926"/>
    <w:rsid w:val="00D17F20"/>
    <w:rsid w:val="00D224D3"/>
    <w:rsid w:val="00D2321B"/>
    <w:rsid w:val="00D24A1B"/>
    <w:rsid w:val="00D24C75"/>
    <w:rsid w:val="00D308FE"/>
    <w:rsid w:val="00D336B2"/>
    <w:rsid w:val="00D36D86"/>
    <w:rsid w:val="00D4358C"/>
    <w:rsid w:val="00D50638"/>
    <w:rsid w:val="00D57A95"/>
    <w:rsid w:val="00D57E55"/>
    <w:rsid w:val="00D608C5"/>
    <w:rsid w:val="00D6195D"/>
    <w:rsid w:val="00D626AD"/>
    <w:rsid w:val="00D65324"/>
    <w:rsid w:val="00D72B78"/>
    <w:rsid w:val="00D73487"/>
    <w:rsid w:val="00D774D4"/>
    <w:rsid w:val="00D77B23"/>
    <w:rsid w:val="00D81653"/>
    <w:rsid w:val="00D8202B"/>
    <w:rsid w:val="00D90DD0"/>
    <w:rsid w:val="00D91550"/>
    <w:rsid w:val="00D91997"/>
    <w:rsid w:val="00D94BF2"/>
    <w:rsid w:val="00D955E3"/>
    <w:rsid w:val="00D971E6"/>
    <w:rsid w:val="00DA1AAD"/>
    <w:rsid w:val="00DB2CB2"/>
    <w:rsid w:val="00DB54D6"/>
    <w:rsid w:val="00DB588E"/>
    <w:rsid w:val="00DC14ED"/>
    <w:rsid w:val="00DC66F2"/>
    <w:rsid w:val="00DC71F5"/>
    <w:rsid w:val="00DD084C"/>
    <w:rsid w:val="00DD090D"/>
    <w:rsid w:val="00DD0AFD"/>
    <w:rsid w:val="00DD4E41"/>
    <w:rsid w:val="00DD6239"/>
    <w:rsid w:val="00DE2C7E"/>
    <w:rsid w:val="00DE41BF"/>
    <w:rsid w:val="00DE4E3E"/>
    <w:rsid w:val="00DF1B53"/>
    <w:rsid w:val="00DF3847"/>
    <w:rsid w:val="00DF3BAA"/>
    <w:rsid w:val="00DF3C85"/>
    <w:rsid w:val="00DF3DD5"/>
    <w:rsid w:val="00DF480F"/>
    <w:rsid w:val="00E032BB"/>
    <w:rsid w:val="00E0499F"/>
    <w:rsid w:val="00E04E6A"/>
    <w:rsid w:val="00E06A28"/>
    <w:rsid w:val="00E10CA9"/>
    <w:rsid w:val="00E11295"/>
    <w:rsid w:val="00E15DF2"/>
    <w:rsid w:val="00E3192D"/>
    <w:rsid w:val="00E40FAC"/>
    <w:rsid w:val="00E42AC3"/>
    <w:rsid w:val="00E456F1"/>
    <w:rsid w:val="00E47605"/>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0D5F"/>
    <w:rsid w:val="00E81B43"/>
    <w:rsid w:val="00E8316B"/>
    <w:rsid w:val="00E84041"/>
    <w:rsid w:val="00E85B17"/>
    <w:rsid w:val="00E91167"/>
    <w:rsid w:val="00E9603C"/>
    <w:rsid w:val="00E97433"/>
    <w:rsid w:val="00EA6F2B"/>
    <w:rsid w:val="00EB6CC2"/>
    <w:rsid w:val="00EB6CEA"/>
    <w:rsid w:val="00EB75DC"/>
    <w:rsid w:val="00EC463C"/>
    <w:rsid w:val="00EC5497"/>
    <w:rsid w:val="00EC6874"/>
    <w:rsid w:val="00EC6B40"/>
    <w:rsid w:val="00EC6E82"/>
    <w:rsid w:val="00ED0A42"/>
    <w:rsid w:val="00ED7804"/>
    <w:rsid w:val="00EE687D"/>
    <w:rsid w:val="00EF1F7A"/>
    <w:rsid w:val="00EF2055"/>
    <w:rsid w:val="00EF2F92"/>
    <w:rsid w:val="00EF32A1"/>
    <w:rsid w:val="00EF3EDD"/>
    <w:rsid w:val="00EF4186"/>
    <w:rsid w:val="00EF41C3"/>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67385"/>
    <w:rsid w:val="00F7232C"/>
    <w:rsid w:val="00F740C3"/>
    <w:rsid w:val="00F75E2D"/>
    <w:rsid w:val="00F762E8"/>
    <w:rsid w:val="00F77F71"/>
    <w:rsid w:val="00F815C5"/>
    <w:rsid w:val="00F81AE0"/>
    <w:rsid w:val="00F87963"/>
    <w:rsid w:val="00FA1FF7"/>
    <w:rsid w:val="00FA2BD2"/>
    <w:rsid w:val="00FA6687"/>
    <w:rsid w:val="00FA7E42"/>
    <w:rsid w:val="00FB170A"/>
    <w:rsid w:val="00FB4A2B"/>
    <w:rsid w:val="00FB6BD4"/>
    <w:rsid w:val="00FC01D4"/>
    <w:rsid w:val="00FC28F3"/>
    <w:rsid w:val="00FC2E7A"/>
    <w:rsid w:val="00FC3415"/>
    <w:rsid w:val="00FC7D3A"/>
    <w:rsid w:val="00FD34A5"/>
    <w:rsid w:val="00FD57D0"/>
    <w:rsid w:val="00FD64FC"/>
    <w:rsid w:val="00FD69A6"/>
    <w:rsid w:val="00FE1087"/>
    <w:rsid w:val="00FE1F18"/>
    <w:rsid w:val="00FE3492"/>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57214923">
      <w:bodyDiv w:val="1"/>
      <w:marLeft w:val="0"/>
      <w:marRight w:val="0"/>
      <w:marTop w:val="0"/>
      <w:marBottom w:val="0"/>
      <w:divBdr>
        <w:top w:val="none" w:sz="0" w:space="0" w:color="auto"/>
        <w:left w:val="none" w:sz="0" w:space="0" w:color="auto"/>
        <w:bottom w:val="none" w:sz="0" w:space="0" w:color="auto"/>
        <w:right w:val="none" w:sz="0" w:space="0" w:color="auto"/>
      </w:divBdr>
    </w:div>
    <w:div w:id="72170774">
      <w:bodyDiv w:val="1"/>
      <w:marLeft w:val="0"/>
      <w:marRight w:val="0"/>
      <w:marTop w:val="0"/>
      <w:marBottom w:val="0"/>
      <w:divBdr>
        <w:top w:val="none" w:sz="0" w:space="0" w:color="auto"/>
        <w:left w:val="none" w:sz="0" w:space="0" w:color="auto"/>
        <w:bottom w:val="none" w:sz="0" w:space="0" w:color="auto"/>
        <w:right w:val="none" w:sz="0" w:space="0" w:color="auto"/>
      </w:divBdr>
      <w:divsChild>
        <w:div w:id="2086105650">
          <w:marLeft w:val="1080"/>
          <w:marRight w:val="0"/>
          <w:marTop w:val="1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671183856">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 w:id="195567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rte-france.com/eco2mix/la-production-delectricite-par-filiere"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malicorne.over-blog.com/tag/energi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s://sevedatome.f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figaro.fr/flash-actu/la-suede-va-construire-de-nouveaux-reacteurs-nucleaires-20221014" TargetMode="External"/><Relationship Id="rId18"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26" Type="http://schemas.openxmlformats.org/officeDocument/2006/relationships/hyperlink" Target="https://www.rte-france.com/eco2mix/les-donnees-de-marche" TargetMode="External"/><Relationship Id="rId21"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34" Type="http://schemas.openxmlformats.org/officeDocument/2006/relationships/hyperlink" Target="https://www.latribune.fr/climat/energie-environnement/l-etat-et-edf-mettent-fin-a-leur-bras-de-fer-et-trouvent-un-accord-sur-les-prix-de-l-electricite-nucleaire-983123.html" TargetMode="External"/><Relationship Id="rId7" Type="http://schemas.openxmlformats.org/officeDocument/2006/relationships/hyperlink" Target="https://commission.europa.eu/strategy-and-policy/priorities-2019-2024/european-green-deal/delivering-european-green-deal_fr" TargetMode="External"/><Relationship Id="rId12" Type="http://schemas.openxmlformats.org/officeDocument/2006/relationships/hyperlink" Target="https://pris.iaea.org/pris/" TargetMode="External"/><Relationship Id="rId17" Type="http://schemas.openxmlformats.org/officeDocument/2006/relationships/hyperlink" Target="https://www.edf.fr/sites/groupe/files/2023-03/edf-urd-rapport-financier-annuel-2022-fr.pdf" TargetMode="External"/><Relationship Id="rId25" Type="http://schemas.openxmlformats.org/officeDocument/2006/relationships/hyperlink" Target="https://ec.europa.eu/eurostat/databrowser/view/ten00117/default/bar?lang=fr" TargetMode="External"/><Relationship Id="rId33" Type="http://schemas.openxmlformats.org/officeDocument/2006/relationships/hyperlink" Target="https://www.cre.fr/L-energie-et-vous/references-de-prix-de-l-electricite-pour-les-pme-et-les-collectivites-territoriales" TargetMode="External"/><Relationship Id="rId38" Type="http://schemas.openxmlformats.org/officeDocument/2006/relationships/hyperlink" Target="https://www.hydroquest.fr/qair-hydroquest-et-cmn-saluent-lengagement-decisif-de-letat-francais-dans-la-mise-en-oeuvre-de-flowatt/" TargetMode="External"/><Relationship Id="rId2" Type="http://schemas.openxmlformats.org/officeDocument/2006/relationships/hyperlink" Target="https://www.iea.org/reports/electricity-2024" TargetMode="External"/><Relationship Id="rId16" Type="http://schemas.openxmlformats.org/officeDocument/2006/relationships/hyperlink" Target="http://www.senat.fr/opecst/" TargetMode="External"/><Relationship Id="rId20"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9" Type="http://schemas.openxmlformats.org/officeDocument/2006/relationships/hyperlink" Target="file:///C:\Users\HP\Documents\&#233;nergie\conf%20BM\https" TargetMode="External"/><Relationship Id="rId1" Type="http://schemas.openxmlformats.org/officeDocument/2006/relationships/hyperlink" Target="https://assets.rte-france.com/analyse-et-donnees/2024-02/Bilan%20e&#769;lectrique%202023%20synthe&#768;se%20V7.pdf" TargetMode="External"/><Relationship Id="rId6" Type="http://schemas.openxmlformats.org/officeDocument/2006/relationships/hyperlink" Target="https://www.iea.org/reports/electricity-market-report-2023" TargetMode="External"/><Relationship Id="rId11" Type="http://schemas.openxmlformats.org/officeDocument/2006/relationships/hyperlink" Target="https://eepublicdownloads.entsoe.eu/clean-documents/pre2015/publications/ce/otherreports/Final-Report-20070130.pdf" TargetMode="External"/><Relationship Id="rId24" Type="http://schemas.openxmlformats.org/officeDocument/2006/relationships/hyperlink" Target="https://www.asn.fr/l-asn-informe/actualites/petits-reacteurs-modulaires-revue-conjointe-realisee-par-trois-autorites-de-surete-europeennes" TargetMode="External"/><Relationship Id="rId32" Type="http://schemas.openxmlformats.org/officeDocument/2006/relationships/hyperlink" Target="https://www.cre.fr/Actualites/la-cre-reevalue-a-la-baisse-les-acomptes-verses-par-l-etat-aux-fournisseurs-d-electricite-dans-le-cadre-des-boucliers-tarifaires-et-des-amortisseurs" TargetMode="External"/><Relationship Id="rId37" Type="http://schemas.openxmlformats.org/officeDocument/2006/relationships/hyperlink" Target="https://www.edf.fr/groupe-edf/produire-une-energie-respectueuse-du-climat/accelerer-le-developpement-des-energies-renouvelables/la-mer-une-energie-renouvelable-et-disponible/energie-hydrolienne/paimpol-brehat-un-site-dessais-en-mer-au-profit-du-developpement-de-la-filiere" TargetMode="External"/><Relationship Id="rId5" Type="http://schemas.openxmlformats.org/officeDocument/2006/relationships/hyperlink" Target="https://app.electricitymaps.com/map?utm_source=electricitymaps.com&amp;utm_medium=website&amp;utm_campaign=banner" TargetMode="External"/><Relationship Id="rId15" Type="http://schemas.openxmlformats.org/officeDocument/2006/relationships/hyperlink" Target="http://www.hctisn.fr/" TargetMode="External"/><Relationship Id="rId23" Type="http://schemas.openxmlformats.org/officeDocument/2006/relationships/hyperlink" Target="https://www.gifen.fr/" TargetMode="External"/><Relationship Id="rId28" Type="http://schemas.openxmlformats.org/officeDocument/2006/relationships/hyperlink" Target="https://www.cre.fr/Actualites/la-cre-a-adresse-au-gouvernement-sa-proposition-d-evolution-des-tarifs-reglementes-de-vente-d-electricite-au-1er-fevrier-2023" TargetMode="External"/><Relationship Id="rId36" Type="http://schemas.openxmlformats.org/officeDocument/2006/relationships/hyperlink" Target="https://www.economie.gouv.fr/actualites/tout-comprendre-sur-la-hausse-de-votre-facture-delectricite-au-1er-fevrier-2024" TargetMode="External"/><Relationship Id="rId10" Type="http://schemas.openxmlformats.org/officeDocument/2006/relationships/hyperlink" Target="https://www.ecologie.gouv.fr/eolien-en-mer-0" TargetMode="External"/><Relationship Id="rId19" Type="http://schemas.openxmlformats.org/officeDocument/2006/relationships/hyperlink" Target="https://www.latribune.fr/climat/energie-environnement/l-etat-et-edf-mettent-fin-a-leur-bras-de-fer-et-trouvent-un-accord-sur-les-prix-de-l-electricite-nucleaire-983123.html" TargetMode="External"/><Relationship Id="rId31" Type="http://schemas.openxmlformats.org/officeDocument/2006/relationships/hyperlink" Target="https://www.cre.fr/Actualites/la-cre-fixe-les-acomptes-verses-par-l-etat-aux-fournisseurs-d-electricite-dans-le-cadre-du-bouclier-tarifaire-et-de-l-amortisseur" TargetMode="External"/><Relationship Id="rId4" Type="http://schemas.openxmlformats.org/officeDocument/2006/relationships/hyperlink" Target="https://malicorne.over-blog.com/2014/01/prix-n%C3%A9gatifs-de-l-%C3%A9lectricit%C3%A9-jusqu-o%C3%B9.html" TargetMode="External"/><Relationship Id="rId9" Type="http://schemas.openxmlformats.org/officeDocument/2006/relationships/hyperlink" Target="https://commission.europa.eu/strategy-and-policy/priorities-2019-2024/european-green-deal/delivering-european-green-deal_fr" TargetMode="External"/><Relationship Id="rId14" Type="http://schemas.openxmlformats.org/officeDocument/2006/relationships/hyperlink" Target="https://energynews.pro/les-pays-bas-se-reconcentrent-sur-le-nucleaire/" TargetMode="External"/><Relationship Id="rId22" Type="http://schemas.openxmlformats.org/officeDocument/2006/relationships/hyperlink" Target="https://www.rte-france.com/actualites/previsions-systeme-electrique-hiver-2022-2023" TargetMode="External"/><Relationship Id="rId27" Type="http://schemas.openxmlformats.org/officeDocument/2006/relationships/hyperlink" Target="https://www.eex.com/en/market-data/power/futures" TargetMode="External"/><Relationship Id="rId30" Type="http://schemas.openxmlformats.org/officeDocument/2006/relationships/hyperlink" Target="https://www.cre.fr/Actualites/la-cre-fixe-les-acomptes-verses-par-l-etat-aux-fournisseurs-d-electricite-dans-le-cadre-du-bouclier-tarifaire-et-de-l-amortisseur" TargetMode="External"/><Relationship Id="rId35" Type="http://schemas.openxmlformats.org/officeDocument/2006/relationships/hyperlink" Target="https://www.edf.fr/groupe-edf/espaces-dedies/journalistes/tous-les-communiques-de-presse/resultats-annuels-2023-production-nucleaire-en-france-en-forte-progression-bonne-performance-operationnelle-densemble-nouvelle-politique-commerciale-reduction-de-la-dette-financiere" TargetMode="External"/><Relationship Id="rId8" Type="http://schemas.openxmlformats.org/officeDocument/2006/relationships/hyperlink" Target="https://eur-lex.europa.eu/legal-content/FR/TXT/PDF/?uri=CELEX:52020DC0741&amp;from=FR" TargetMode="External"/><Relationship Id="rId3" Type="http://schemas.openxmlformats.org/officeDocument/2006/relationships/hyperlink" Target="https://transmission-system-map.entsoe.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92</Pages>
  <Words>18159</Words>
  <Characters>99877</Characters>
  <Application>Microsoft Office Word</Application>
  <DocSecurity>0</DocSecurity>
  <Lines>832</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9</cp:revision>
  <cp:lastPrinted>2023-10-02T16:40:00Z</cp:lastPrinted>
  <dcterms:created xsi:type="dcterms:W3CDTF">2024-02-16T08:27:00Z</dcterms:created>
  <dcterms:modified xsi:type="dcterms:W3CDTF">2024-03-08T23:13:00Z</dcterms:modified>
</cp:coreProperties>
</file>