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120D8F59" w14:textId="77777777" w:rsidR="00327774" w:rsidRDefault="00327774" w:rsidP="00327774">
      <w:pPr>
        <w:ind w:left="2832"/>
        <w:jc w:val="both"/>
        <w:rPr>
          <w:rFonts w:ascii="Times New Roman" w:hAnsi="Times New Roman" w:cs="Times New Roman"/>
          <w:b/>
          <w:bCs/>
          <w:sz w:val="36"/>
          <w:szCs w:val="36"/>
        </w:rPr>
      </w:pPr>
    </w:p>
    <w:p w14:paraId="0BC3F7DB" w14:textId="243B4D34" w:rsidR="00DD6239" w:rsidRDefault="00040289" w:rsidP="00327774">
      <w:pPr>
        <w:ind w:left="2832"/>
        <w:jc w:val="both"/>
        <w:rPr>
          <w:rFonts w:ascii="Times New Roman" w:hAnsi="Times New Roman" w:cs="Times New Roman"/>
          <w:b/>
          <w:bCs/>
          <w:sz w:val="36"/>
          <w:szCs w:val="36"/>
        </w:rPr>
      </w:pPr>
      <w:r>
        <w:rPr>
          <w:rFonts w:ascii="Times New Roman" w:hAnsi="Times New Roman" w:cs="Times New Roman"/>
          <w:b/>
          <w:bCs/>
          <w:sz w:val="36"/>
          <w:szCs w:val="36"/>
        </w:rPr>
        <w:t>Document</w:t>
      </w:r>
      <w:r w:rsidR="00791D53">
        <w:rPr>
          <w:rFonts w:ascii="Times New Roman" w:hAnsi="Times New Roman" w:cs="Times New Roman"/>
          <w:b/>
          <w:bCs/>
          <w:sz w:val="36"/>
          <w:szCs w:val="36"/>
        </w:rPr>
        <w:t xml:space="preserve"> </w:t>
      </w:r>
      <w:r w:rsidR="00327774">
        <w:rPr>
          <w:rFonts w:ascii="Times New Roman" w:hAnsi="Times New Roman" w:cs="Times New Roman"/>
          <w:b/>
          <w:bCs/>
          <w:sz w:val="36"/>
          <w:szCs w:val="36"/>
        </w:rPr>
        <w:t xml:space="preserve">support </w:t>
      </w:r>
      <w:r w:rsidR="00791D53">
        <w:rPr>
          <w:rFonts w:ascii="Times New Roman" w:hAnsi="Times New Roman" w:cs="Times New Roman"/>
          <w:b/>
          <w:bCs/>
          <w:sz w:val="36"/>
          <w:szCs w:val="36"/>
        </w:rPr>
        <w:t xml:space="preserve">de travail </w:t>
      </w:r>
      <w:r w:rsidR="00327774">
        <w:rPr>
          <w:rFonts w:ascii="Times New Roman" w:hAnsi="Times New Roman" w:cs="Times New Roman"/>
          <w:b/>
          <w:bCs/>
          <w:sz w:val="36"/>
          <w:szCs w:val="36"/>
        </w:rPr>
        <w:t xml:space="preserve">pour </w:t>
      </w:r>
      <w:r>
        <w:rPr>
          <w:rFonts w:ascii="Times New Roman" w:hAnsi="Times New Roman" w:cs="Times New Roman"/>
          <w:b/>
          <w:bCs/>
          <w:sz w:val="36"/>
          <w:szCs w:val="36"/>
        </w:rPr>
        <w:t xml:space="preserve">la conférence </w:t>
      </w:r>
      <w:r w:rsidR="00791D53">
        <w:rPr>
          <w:rFonts w:ascii="Times New Roman" w:hAnsi="Times New Roman" w:cs="Times New Roman"/>
          <w:b/>
          <w:bCs/>
          <w:sz w:val="36"/>
          <w:szCs w:val="36"/>
        </w:rPr>
        <w:t xml:space="preserve">donnée </w:t>
      </w:r>
      <w:r>
        <w:rPr>
          <w:rFonts w:ascii="Times New Roman" w:hAnsi="Times New Roman" w:cs="Times New Roman"/>
          <w:b/>
          <w:bCs/>
          <w:sz w:val="36"/>
          <w:szCs w:val="36"/>
        </w:rPr>
        <w:t xml:space="preserve">à </w:t>
      </w:r>
      <w:r w:rsidR="00671971">
        <w:rPr>
          <w:rFonts w:ascii="Times New Roman" w:hAnsi="Times New Roman" w:cs="Times New Roman"/>
          <w:b/>
          <w:bCs/>
          <w:sz w:val="36"/>
          <w:szCs w:val="36"/>
        </w:rPr>
        <w:t>P</w:t>
      </w:r>
      <w:r>
        <w:rPr>
          <w:rFonts w:ascii="Times New Roman" w:hAnsi="Times New Roman" w:cs="Times New Roman"/>
          <w:b/>
          <w:bCs/>
          <w:sz w:val="36"/>
          <w:szCs w:val="36"/>
        </w:rPr>
        <w:t>aris</w:t>
      </w:r>
      <w:r w:rsidR="00791D53">
        <w:rPr>
          <w:rFonts w:ascii="Times New Roman" w:hAnsi="Times New Roman" w:cs="Times New Roman"/>
          <w:b/>
          <w:bCs/>
          <w:sz w:val="36"/>
          <w:szCs w:val="36"/>
        </w:rPr>
        <w:t xml:space="preserve"> </w:t>
      </w:r>
      <w:r>
        <w:rPr>
          <w:rFonts w:ascii="Times New Roman" w:hAnsi="Times New Roman" w:cs="Times New Roman"/>
          <w:b/>
          <w:bCs/>
          <w:sz w:val="36"/>
          <w:szCs w:val="36"/>
        </w:rPr>
        <w:t xml:space="preserve">devant l’Association régionale Paris-Ile de France des anciens auditeurs de l’Institut des Hautes Etudes de </w:t>
      </w:r>
      <w:r w:rsidR="00554E19">
        <w:rPr>
          <w:rFonts w:ascii="Times New Roman" w:hAnsi="Times New Roman" w:cs="Times New Roman"/>
          <w:b/>
          <w:bCs/>
          <w:sz w:val="36"/>
          <w:szCs w:val="36"/>
        </w:rPr>
        <w:t>D</w:t>
      </w:r>
      <w:r>
        <w:rPr>
          <w:rFonts w:ascii="Times New Roman" w:hAnsi="Times New Roman" w:cs="Times New Roman"/>
          <w:b/>
          <w:bCs/>
          <w:sz w:val="36"/>
          <w:szCs w:val="36"/>
        </w:rPr>
        <w:t xml:space="preserve">éfense Nationale, </w:t>
      </w:r>
      <w:r w:rsidR="00C574AB">
        <w:rPr>
          <w:rFonts w:ascii="Times New Roman" w:hAnsi="Times New Roman" w:cs="Times New Roman"/>
          <w:b/>
          <w:bCs/>
          <w:sz w:val="36"/>
          <w:szCs w:val="36"/>
        </w:rPr>
        <w:t xml:space="preserve">le </w:t>
      </w:r>
      <w:r w:rsidR="000B31B4">
        <w:rPr>
          <w:rFonts w:ascii="Times New Roman" w:hAnsi="Times New Roman" w:cs="Times New Roman"/>
          <w:b/>
          <w:bCs/>
          <w:sz w:val="36"/>
          <w:szCs w:val="36"/>
        </w:rPr>
        <w:t>7 novembre</w:t>
      </w:r>
      <w:r w:rsidR="00C574AB">
        <w:rPr>
          <w:rFonts w:ascii="Times New Roman" w:hAnsi="Times New Roman" w:cs="Times New Roman"/>
          <w:b/>
          <w:bCs/>
          <w:sz w:val="36"/>
          <w:szCs w:val="36"/>
        </w:rPr>
        <w:t xml:space="preserve"> 2023</w:t>
      </w:r>
    </w:p>
    <w:p w14:paraId="1272E1CE" w14:textId="77777777" w:rsidR="000903F6" w:rsidRPr="008C65E3" w:rsidRDefault="000903F6" w:rsidP="00AE7889">
      <w:pPr>
        <w:jc w:val="both"/>
        <w:rPr>
          <w:rFonts w:ascii="Times New Roman" w:hAnsi="Times New Roman" w:cs="Times New Roman"/>
          <w:sz w:val="36"/>
          <w:szCs w:val="36"/>
        </w:rPr>
      </w:pPr>
    </w:p>
    <w:p w14:paraId="4C47CD4C" w14:textId="01020FED" w:rsidR="009D2368"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J</w:t>
      </w:r>
      <w:r w:rsidR="002C4B73">
        <w:rPr>
          <w:rFonts w:ascii="Times New Roman" w:hAnsi="Times New Roman" w:cs="Times New Roman"/>
          <w:sz w:val="36"/>
          <w:szCs w:val="36"/>
        </w:rPr>
        <w:t>e remercie</w:t>
      </w:r>
      <w:r w:rsidR="00671971">
        <w:rPr>
          <w:rFonts w:ascii="Times New Roman" w:hAnsi="Times New Roman" w:cs="Times New Roman"/>
          <w:sz w:val="36"/>
          <w:szCs w:val="36"/>
        </w:rPr>
        <w:t xml:space="preserve"> en premier lieu</w:t>
      </w:r>
      <w:r w:rsidR="002C4B73">
        <w:rPr>
          <w:rFonts w:ascii="Times New Roman" w:hAnsi="Times New Roman" w:cs="Times New Roman"/>
          <w:sz w:val="36"/>
          <w:szCs w:val="36"/>
        </w:rPr>
        <w:t xml:space="preserve"> </w:t>
      </w:r>
      <w:r w:rsidR="000B31B4">
        <w:rPr>
          <w:rFonts w:ascii="Times New Roman" w:hAnsi="Times New Roman" w:cs="Times New Roman"/>
          <w:sz w:val="36"/>
          <w:szCs w:val="36"/>
        </w:rPr>
        <w:t>l’associat</w:t>
      </w:r>
      <w:r w:rsidR="00671971">
        <w:rPr>
          <w:rFonts w:ascii="Times New Roman" w:hAnsi="Times New Roman" w:cs="Times New Roman"/>
          <w:sz w:val="36"/>
          <w:szCs w:val="36"/>
        </w:rPr>
        <w:t xml:space="preserve">ion </w:t>
      </w:r>
      <w:r w:rsidR="001273A3">
        <w:rPr>
          <w:rFonts w:ascii="Times New Roman" w:hAnsi="Times New Roman" w:cs="Times New Roman"/>
          <w:sz w:val="36"/>
          <w:szCs w:val="36"/>
        </w:rPr>
        <w:t xml:space="preserve">régionale Paris Ile de France </w:t>
      </w:r>
      <w:r w:rsidR="00671971">
        <w:rPr>
          <w:rFonts w:ascii="Times New Roman" w:hAnsi="Times New Roman" w:cs="Times New Roman"/>
          <w:sz w:val="36"/>
          <w:szCs w:val="36"/>
        </w:rPr>
        <w:t xml:space="preserve">des anciens auditeurs de l’IHEDN </w:t>
      </w:r>
      <w:r>
        <w:rPr>
          <w:rFonts w:ascii="Times New Roman" w:hAnsi="Times New Roman" w:cs="Times New Roman"/>
          <w:sz w:val="36"/>
          <w:szCs w:val="36"/>
        </w:rPr>
        <w:t>d</w:t>
      </w:r>
      <w:r w:rsidR="00671971">
        <w:rPr>
          <w:rFonts w:ascii="Times New Roman" w:hAnsi="Times New Roman" w:cs="Times New Roman"/>
          <w:sz w:val="36"/>
          <w:szCs w:val="36"/>
        </w:rPr>
        <w:t xml:space="preserve">’avoir organisé cette </w:t>
      </w:r>
      <w:r>
        <w:rPr>
          <w:rFonts w:ascii="Times New Roman" w:hAnsi="Times New Roman" w:cs="Times New Roman"/>
          <w:sz w:val="36"/>
          <w:szCs w:val="36"/>
        </w:rPr>
        <w:t xml:space="preserve">conférence </w:t>
      </w:r>
      <w:r w:rsidR="00B524A3">
        <w:rPr>
          <w:rFonts w:ascii="Times New Roman" w:hAnsi="Times New Roman" w:cs="Times New Roman"/>
          <w:sz w:val="36"/>
          <w:szCs w:val="36"/>
        </w:rPr>
        <w:t xml:space="preserve">en </w:t>
      </w:r>
      <w:r w:rsidR="00671971">
        <w:rPr>
          <w:rFonts w:ascii="Times New Roman" w:hAnsi="Times New Roman" w:cs="Times New Roman"/>
          <w:sz w:val="36"/>
          <w:szCs w:val="36"/>
        </w:rPr>
        <w:t xml:space="preserve">ce lieu prestigieux </w:t>
      </w:r>
      <w:r w:rsidR="000A58A8">
        <w:rPr>
          <w:rFonts w:ascii="Times New Roman" w:hAnsi="Times New Roman" w:cs="Times New Roman"/>
          <w:sz w:val="36"/>
          <w:szCs w:val="36"/>
        </w:rPr>
        <w:t xml:space="preserve">et historique </w:t>
      </w:r>
      <w:r w:rsidR="00671971">
        <w:rPr>
          <w:rFonts w:ascii="Times New Roman" w:hAnsi="Times New Roman" w:cs="Times New Roman"/>
          <w:sz w:val="36"/>
          <w:szCs w:val="36"/>
        </w:rPr>
        <w:t xml:space="preserve">qu’est </w:t>
      </w:r>
      <w:r w:rsidR="000A58A8">
        <w:rPr>
          <w:rFonts w:ascii="Times New Roman" w:hAnsi="Times New Roman" w:cs="Times New Roman"/>
          <w:sz w:val="36"/>
          <w:szCs w:val="36"/>
        </w:rPr>
        <w:t>l’</w:t>
      </w:r>
      <w:r w:rsidR="004D12EC">
        <w:rPr>
          <w:rFonts w:ascii="Times New Roman" w:hAnsi="Times New Roman" w:cs="Times New Roman"/>
          <w:sz w:val="36"/>
          <w:szCs w:val="36"/>
        </w:rPr>
        <w:t>E</w:t>
      </w:r>
      <w:r w:rsidR="00B524A3">
        <w:rPr>
          <w:rFonts w:ascii="Times New Roman" w:hAnsi="Times New Roman" w:cs="Times New Roman"/>
          <w:sz w:val="36"/>
          <w:szCs w:val="36"/>
        </w:rPr>
        <w:t xml:space="preserve">cole </w:t>
      </w:r>
      <w:r w:rsidR="00671971">
        <w:rPr>
          <w:rFonts w:ascii="Times New Roman" w:hAnsi="Times New Roman" w:cs="Times New Roman"/>
          <w:sz w:val="36"/>
          <w:szCs w:val="36"/>
        </w:rPr>
        <w:t>Militaire</w:t>
      </w:r>
      <w:r w:rsidR="000A58A8">
        <w:rPr>
          <w:rFonts w:ascii="Times New Roman" w:hAnsi="Times New Roman" w:cs="Times New Roman"/>
          <w:sz w:val="36"/>
          <w:szCs w:val="36"/>
        </w:rPr>
        <w:t xml:space="preserve"> de Paris. </w:t>
      </w:r>
    </w:p>
    <w:p w14:paraId="4CE9E50E" w14:textId="2893711C"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Après 40 années de vie professionnelle au sein d’EDF en tant qu’ingénieur puis de cadre dirigeant, 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 xml:space="preserve">En tant que simple citoyen. </w:t>
      </w:r>
    </w:p>
    <w:p w14:paraId="2408B858" w14:textId="3B670083"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47D91B21"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trentaine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lastRenderedPageBreak/>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2D60C9CB"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37C12C95"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3AD4D044" w14:textId="4D607502"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des process industriels continus. </w:t>
      </w:r>
    </w:p>
    <w:p w14:paraId="0F1D7B68" w14:textId="4F7720A8"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000000" w:rsidP="00A10B6B">
      <w:pPr>
        <w:pStyle w:val="Notedebasdepage"/>
        <w:rPr>
          <w:rStyle w:val="Lienhypertexte"/>
          <w:rFonts w:ascii="Times New Roman" w:hAnsi="Times New Roman" w:cs="Times New Roman"/>
          <w:sz w:val="36"/>
          <w:szCs w:val="36"/>
        </w:rPr>
      </w:pPr>
      <w:hyperlink r:id="rId8" w:history="1">
        <w:r w:rsidR="00A10B6B"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6EAB8C5A" w14:textId="4EFA16B7" w:rsidR="007A4E30" w:rsidRDefault="001D0F2F" w:rsidP="001D0F2F">
      <w:pPr>
        <w:ind w:firstLine="708"/>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B465A7F" wp14:editId="63F4ECA5">
            <wp:extent cx="5760720" cy="2802255"/>
            <wp:effectExtent l="0" t="0" r="0" b="0"/>
            <wp:docPr id="14063873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87359" name="Image 1406387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02255"/>
                    </a:xfrm>
                    <a:prstGeom prst="rect">
                      <a:avLst/>
                    </a:prstGeom>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xml:space="preserve">, en </w:t>
      </w:r>
      <w:proofErr w:type="spellStart"/>
      <w:r w:rsidR="00BB207D">
        <w:rPr>
          <w:rFonts w:ascii="Times New Roman" w:hAnsi="Times New Roman" w:cs="Times New Roman"/>
          <w:sz w:val="36"/>
          <w:szCs w:val="36"/>
        </w:rPr>
        <w:t>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proofErr w:type="spellEnd"/>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 xml:space="preserve">La surface bleue correspond ainsi à toute l’énergie </w:t>
      </w:r>
      <w:proofErr w:type="gramStart"/>
      <w:r>
        <w:rPr>
          <w:rFonts w:ascii="Times New Roman" w:hAnsi="Times New Roman" w:cs="Times New Roman"/>
          <w:sz w:val="36"/>
          <w:szCs w:val="36"/>
        </w:rPr>
        <w:t>consommée  en</w:t>
      </w:r>
      <w:proofErr w:type="gramEnd"/>
      <w:r>
        <w:rPr>
          <w:rFonts w:ascii="Times New Roman" w:hAnsi="Times New Roman" w:cs="Times New Roman"/>
          <w:sz w:val="36"/>
          <w:szCs w:val="36"/>
        </w:rPr>
        <w:t xml:space="preserve">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7183423B"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la pointe </w:t>
      </w:r>
      <w:r w:rsidR="009D7F2E">
        <w:rPr>
          <w:rFonts w:ascii="Times New Roman" w:hAnsi="Times New Roman" w:cs="Times New Roman"/>
          <w:sz w:val="36"/>
          <w:szCs w:val="36"/>
        </w:rPr>
        <w:t xml:space="preserve">du soir </w:t>
      </w:r>
      <w:r w:rsidR="00BA4D40">
        <w:rPr>
          <w:rFonts w:ascii="Times New Roman" w:hAnsi="Times New Roman" w:cs="Times New Roman"/>
          <w:sz w:val="36"/>
          <w:szCs w:val="36"/>
        </w:rPr>
        <w:t>v</w:t>
      </w:r>
      <w:r w:rsidR="009D2368">
        <w:rPr>
          <w:rFonts w:ascii="Times New Roman" w:hAnsi="Times New Roman" w:cs="Times New Roman"/>
          <w:sz w:val="36"/>
          <w:szCs w:val="36"/>
        </w:rPr>
        <w:t xml:space="preserve">a bientôt </w:t>
      </w:r>
      <w:r w:rsidR="00BA4D40">
        <w:rPr>
          <w:rFonts w:ascii="Times New Roman" w:hAnsi="Times New Roman" w:cs="Times New Roman"/>
          <w:sz w:val="36"/>
          <w:szCs w:val="36"/>
        </w:rPr>
        <w:t>être passée</w:t>
      </w:r>
      <w:r>
        <w:rPr>
          <w:rFonts w:ascii="Times New Roman" w:hAnsi="Times New Roman" w:cs="Times New Roman"/>
          <w:sz w:val="36"/>
          <w:szCs w:val="36"/>
        </w:rPr>
        <w:t xml:space="preserve">. </w:t>
      </w:r>
      <w:r w:rsidR="007D01A5">
        <w:rPr>
          <w:rFonts w:ascii="Times New Roman" w:hAnsi="Times New Roman" w:cs="Times New Roman"/>
          <w:sz w:val="36"/>
          <w:szCs w:val="36"/>
        </w:rPr>
        <w:t>Les pointes sont</w:t>
      </w:r>
      <w:r w:rsidR="009D7F2E">
        <w:rPr>
          <w:rFonts w:ascii="Times New Roman" w:hAnsi="Times New Roman" w:cs="Times New Roman"/>
          <w:sz w:val="36"/>
          <w:szCs w:val="36"/>
        </w:rPr>
        <w:t xml:space="preserve"> </w:t>
      </w:r>
      <w:r w:rsidR="009D2368">
        <w:rPr>
          <w:rFonts w:ascii="Times New Roman" w:hAnsi="Times New Roman" w:cs="Times New Roman"/>
          <w:sz w:val="36"/>
          <w:szCs w:val="36"/>
        </w:rPr>
        <w:t>au printemps</w:t>
      </w:r>
      <w:r w:rsidR="007D01A5">
        <w:rPr>
          <w:rFonts w:ascii="Times New Roman" w:hAnsi="Times New Roman" w:cs="Times New Roman"/>
          <w:sz w:val="36"/>
          <w:szCs w:val="36"/>
        </w:rPr>
        <w:t xml:space="preserve"> </w:t>
      </w:r>
      <w:r w:rsidR="00C574AB">
        <w:rPr>
          <w:rFonts w:ascii="Times New Roman" w:hAnsi="Times New Roman" w:cs="Times New Roman"/>
          <w:sz w:val="36"/>
          <w:szCs w:val="36"/>
        </w:rPr>
        <w:t xml:space="preserve">et en automne </w:t>
      </w:r>
      <w:r w:rsidR="007D01A5">
        <w:rPr>
          <w:rFonts w:ascii="Times New Roman" w:hAnsi="Times New Roman" w:cs="Times New Roman"/>
          <w:sz w:val="36"/>
          <w:szCs w:val="36"/>
        </w:rPr>
        <w:t>dans la matinée et l</w:t>
      </w:r>
      <w:r w:rsidR="008E494F">
        <w:rPr>
          <w:rFonts w:ascii="Times New Roman" w:hAnsi="Times New Roman" w:cs="Times New Roman"/>
          <w:sz w:val="36"/>
          <w:szCs w:val="36"/>
        </w:rPr>
        <w:t>e</w:t>
      </w:r>
      <w:r w:rsidR="007D01A5">
        <w:rPr>
          <w:rFonts w:ascii="Times New Roman" w:hAnsi="Times New Roman" w:cs="Times New Roman"/>
          <w:sz w:val="36"/>
          <w:szCs w:val="36"/>
        </w:rPr>
        <w:t xml:space="preserve"> soir vers 20h. </w:t>
      </w:r>
    </w:p>
    <w:p w14:paraId="0A13BFF3" w14:textId="77777777"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se constitue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entre les creux et les bosses </w:t>
      </w:r>
      <w:r w:rsidR="005B5540">
        <w:rPr>
          <w:rFonts w:ascii="Times New Roman" w:hAnsi="Times New Roman" w:cs="Times New Roman"/>
          <w:sz w:val="36"/>
          <w:szCs w:val="36"/>
        </w:rPr>
        <w:t>peut s’approcher</w:t>
      </w:r>
      <w:r w:rsidR="00B870B8">
        <w:rPr>
          <w:rFonts w:ascii="Times New Roman" w:hAnsi="Times New Roman" w:cs="Times New Roman"/>
          <w:sz w:val="36"/>
          <w:szCs w:val="36"/>
        </w:rPr>
        <w:t xml:space="preserve"> de 1 à 2.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w:t>
      </w:r>
    </w:p>
    <w:p w14:paraId="63A14E42" w14:textId="52376253"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xml:space="preserve">. Cela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 xml:space="preserve">d’éoliennes de 2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200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w:t>
      </w:r>
      <w:proofErr w:type="gramStart"/>
      <w:r w:rsidR="000B6FEA" w:rsidRPr="004D1EA7">
        <w:rPr>
          <w:rFonts w:ascii="Times New Roman" w:hAnsi="Times New Roman" w:cs="Times New Roman"/>
          <w:sz w:val="36"/>
          <w:szCs w:val="36"/>
        </w:rPr>
        <w:t xml:space="preserve">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t>en</w:t>
      </w:r>
      <w:proofErr w:type="gramEnd"/>
      <w:r w:rsidRPr="004D1EA7">
        <w:rPr>
          <w:rFonts w:ascii="Times New Roman" w:hAnsi="Times New Roman" w:cs="Times New Roman"/>
          <w:sz w:val="36"/>
          <w:szCs w:val="36"/>
        </w:rPr>
        <w:t xml:space="preserve">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7F907FEE" w14:textId="326BFA22" w:rsidR="008E494F"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L</w:t>
      </w:r>
      <w:r w:rsidR="00BB207D" w:rsidRPr="004D1EA7">
        <w:rPr>
          <w:rFonts w:ascii="Times New Roman" w:hAnsi="Times New Roman" w:cs="Times New Roman"/>
          <w:sz w:val="36"/>
          <w:szCs w:val="36"/>
        </w:rPr>
        <w:t xml:space="preserve">es points rouges sont alignés suivant une pente qui illustre </w:t>
      </w:r>
      <w:proofErr w:type="gramStart"/>
      <w:r w:rsidR="00BB207D" w:rsidRPr="004D1EA7">
        <w:rPr>
          <w:rFonts w:ascii="Times New Roman" w:hAnsi="Times New Roman" w:cs="Times New Roman"/>
          <w:sz w:val="36"/>
          <w:szCs w:val="36"/>
        </w:rPr>
        <w:t xml:space="preserve">la </w:t>
      </w:r>
      <w:r w:rsidRPr="004D1EA7">
        <w:rPr>
          <w:rFonts w:ascii="Times New Roman" w:hAnsi="Times New Roman" w:cs="Times New Roman"/>
          <w:sz w:val="36"/>
          <w:szCs w:val="36"/>
        </w:rPr>
        <w:t xml:space="preserve"> forte</w:t>
      </w:r>
      <w:proofErr w:type="gramEnd"/>
      <w:r w:rsidRPr="004D1EA7">
        <w:rPr>
          <w:rFonts w:ascii="Times New Roman" w:hAnsi="Times New Roman" w:cs="Times New Roman"/>
          <w:sz w:val="36"/>
          <w:szCs w:val="36"/>
        </w:rPr>
        <w:t xml:space="preserv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206FCDF0" w14:textId="4653979C" w:rsidR="00934974" w:rsidRDefault="00934974"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p>
    <w:p w14:paraId="6E1246A7" w14:textId="5ECCFE51" w:rsidR="00BB207D" w:rsidRDefault="002F02BA" w:rsidP="00AE7889">
      <w:pPr>
        <w:jc w:val="both"/>
        <w:rPr>
          <w:rFonts w:ascii="Times New Roman" w:hAnsi="Times New Roman" w:cs="Times New Roman"/>
          <w:sz w:val="36"/>
          <w:szCs w:val="36"/>
        </w:rPr>
      </w:pPr>
      <w:r>
        <w:rPr>
          <w:rFonts w:ascii="Times New Roman" w:hAnsi="Times New Roman" w:cs="Times New Roman"/>
          <w:sz w:val="36"/>
          <w:szCs w:val="36"/>
        </w:rPr>
        <w:t>R</w:t>
      </w:r>
      <w:r w:rsidR="00BB207D">
        <w:rPr>
          <w:rFonts w:ascii="Times New Roman" w:hAnsi="Times New Roman" w:cs="Times New Roman"/>
          <w:sz w:val="36"/>
          <w:szCs w:val="36"/>
        </w:rPr>
        <w:t>etenons</w:t>
      </w:r>
      <w:r>
        <w:rPr>
          <w:rFonts w:ascii="Times New Roman" w:hAnsi="Times New Roman" w:cs="Times New Roman"/>
          <w:sz w:val="36"/>
          <w:szCs w:val="36"/>
        </w:rPr>
        <w:t xml:space="preserve"> donc, </w:t>
      </w:r>
      <w:r w:rsidR="00BB207D">
        <w:rPr>
          <w:rFonts w:ascii="Times New Roman" w:hAnsi="Times New Roman" w:cs="Times New Roman"/>
          <w:sz w:val="36"/>
          <w:szCs w:val="36"/>
        </w:rPr>
        <w:t xml:space="preserve">pour la France, une variation de la demande de la puissance appelée entre 1 à 2 dans la journée et entre </w:t>
      </w:r>
      <w:r w:rsidR="0006367A">
        <w:rPr>
          <w:rFonts w:ascii="Times New Roman" w:hAnsi="Times New Roman" w:cs="Times New Roman"/>
          <w:sz w:val="36"/>
          <w:szCs w:val="36"/>
        </w:rPr>
        <w:t>1</w:t>
      </w:r>
      <w:r w:rsidR="00BB207D">
        <w:rPr>
          <w:rFonts w:ascii="Times New Roman" w:hAnsi="Times New Roman" w:cs="Times New Roman"/>
          <w:sz w:val="36"/>
          <w:szCs w:val="36"/>
        </w:rPr>
        <w:t xml:space="preserve">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19B66CD9"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que nous avons eue en France, c’était il y a</w:t>
      </w:r>
      <w:r w:rsidR="009532C1">
        <w:rPr>
          <w:rFonts w:ascii="Times New Roman" w:hAnsi="Times New Roman" w:cs="Times New Roman"/>
          <w:sz w:val="36"/>
          <w:szCs w:val="36"/>
        </w:rPr>
        <w:t xml:space="preserve"> maintenant</w:t>
      </w:r>
      <w:r w:rsidR="00074EA4">
        <w:rPr>
          <w:rFonts w:ascii="Times New Roman" w:hAnsi="Times New Roman" w:cs="Times New Roman"/>
          <w:sz w:val="36"/>
          <w:szCs w:val="36"/>
        </w:rPr>
        <w:t xml:space="preserve"> </w:t>
      </w:r>
      <w:r w:rsidR="00BB207D">
        <w:rPr>
          <w:rFonts w:ascii="Times New Roman" w:hAnsi="Times New Roman" w:cs="Times New Roman"/>
          <w:sz w:val="36"/>
          <w:szCs w:val="36"/>
        </w:rPr>
        <w:t xml:space="preserve">plus de </w:t>
      </w:r>
      <w:r w:rsidR="00432A68">
        <w:rPr>
          <w:rFonts w:ascii="Times New Roman" w:hAnsi="Times New Roman" w:cs="Times New Roman"/>
          <w:sz w:val="36"/>
          <w:szCs w:val="36"/>
        </w:rPr>
        <w:t>onze</w:t>
      </w:r>
      <w:r w:rsidR="00074EA4">
        <w:rPr>
          <w:rFonts w:ascii="Times New Roman" w:hAnsi="Times New Roman" w:cs="Times New Roman"/>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1"/>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6919737" wp14:editId="2D40F970">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311D50D0" w14:textId="4DE51B0E"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 xml:space="preserve">a été particulièrement faible, 459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p>
    <w:p w14:paraId="351CAD4D" w14:textId="7EC6F120"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Les secteurs qui ont été les plus touchés par la baisse en France 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w:t>
      </w:r>
    </w:p>
    <w:p w14:paraId="3AB561F0" w14:textId="44DFB654"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 xml:space="preserve">énergie en France induisent une perspective de reprise de la croissance de la demande en électricité,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dernières années. </w:t>
      </w:r>
    </w:p>
    <w:p w14:paraId="3A988ED1" w14:textId="0D6C2F91"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t>RTE</w:t>
      </w:r>
      <w:r w:rsidR="004F16F4">
        <w:rPr>
          <w:rFonts w:ascii="Times New Roman" w:hAnsi="Times New Roman" w:cs="Times New Roman"/>
          <w:sz w:val="36"/>
          <w:szCs w:val="36"/>
        </w:rPr>
        <w:t xml:space="preserve">, dans sa dernière publication de septembre 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w:t>
      </w:r>
      <w:r>
        <w:rPr>
          <w:rFonts w:ascii="Times New Roman" w:hAnsi="Times New Roman" w:cs="Times New Roman"/>
          <w:sz w:val="36"/>
          <w:szCs w:val="36"/>
        </w:rPr>
        <w:lastRenderedPageBreak/>
        <w:t xml:space="preserve">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752A33CE"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 xml:space="preserve">ne devrait pas faire apparaitre une nouvelle demande significative en volume. </w:t>
      </w:r>
    </w:p>
    <w:p w14:paraId="77FB2754" w14:textId="2C8ED9FB"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 xml:space="preserve">décrites plus haut. </w:t>
      </w:r>
      <w:r w:rsidR="008209A3">
        <w:rPr>
          <w:rFonts w:ascii="Times New Roman" w:hAnsi="Times New Roman" w:cs="Times New Roman"/>
          <w:sz w:val="36"/>
          <w:szCs w:val="36"/>
        </w:rPr>
        <w:t xml:space="preserve"> </w:t>
      </w:r>
    </w:p>
    <w:p w14:paraId="3846382F" w14:textId="798B1B09"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 xml:space="preserve">et nous savons que c’est un secteur particulièrement émissif en France de gaz à effet de serre,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5A13A5AC"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w:t>
      </w:r>
      <w:proofErr w:type="gramStart"/>
      <w:r w:rsidR="003920EB">
        <w:rPr>
          <w:rFonts w:ascii="Times New Roman" w:hAnsi="Times New Roman" w:cs="Times New Roman"/>
          <w:sz w:val="36"/>
          <w:szCs w:val="36"/>
        </w:rPr>
        <w:t xml:space="preserve">de </w:t>
      </w:r>
      <w:r>
        <w:rPr>
          <w:rFonts w:ascii="Times New Roman" w:hAnsi="Times New Roman" w:cs="Times New Roman"/>
          <w:sz w:val="36"/>
          <w:szCs w:val="36"/>
        </w:rPr>
        <w:t xml:space="preserve"> TWh</w:t>
      </w:r>
      <w:proofErr w:type="gramEnd"/>
      <w:r>
        <w:rPr>
          <w:rFonts w:ascii="Times New Roman" w:hAnsi="Times New Roman" w:cs="Times New Roman"/>
          <w:sz w:val="36"/>
          <w:szCs w:val="36"/>
        </w:rPr>
        <w:t xml:space="preserve">.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E680250" w14:textId="6F12557A"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xml:space="preserve">, mais à laquelle il faut pouvoir répondre. Et une reprise de la </w:t>
      </w:r>
      <w:r w:rsidR="00442C8E">
        <w:rPr>
          <w:rFonts w:ascii="Times New Roman" w:hAnsi="Times New Roman" w:cs="Times New Roman"/>
          <w:sz w:val="36"/>
          <w:szCs w:val="36"/>
        </w:rPr>
        <w:lastRenderedPageBreak/>
        <w:t>consommation d’électricité en volume</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 xml:space="preserve">a minima </w:t>
      </w:r>
      <w:r w:rsidR="00012B7E">
        <w:rPr>
          <w:rFonts w:ascii="Times New Roman" w:hAnsi="Times New Roman" w:cs="Times New Roman"/>
          <w:sz w:val="36"/>
          <w:szCs w:val="36"/>
        </w:rPr>
        <w:t xml:space="preserve">de l’ordre de 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 xml:space="preserve">la mobilité électrique, et deux tiers pour la production d’hydrogène décarboné. </w:t>
      </w:r>
    </w:p>
    <w:p w14:paraId="24DBF658" w14:textId="29E39FD7"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contexte géopolitique et économique pour permettre les investissements associés</w:t>
      </w:r>
      <w:r w:rsidR="005E1F28">
        <w:rPr>
          <w:rFonts w:ascii="Times New Roman" w:hAnsi="Times New Roman" w:cs="Times New Roman"/>
          <w:sz w:val="36"/>
          <w:szCs w:val="36"/>
        </w:rPr>
        <w:t xml:space="preserve">, et d’autre part par une accessibilité effective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0E444CBB" w14:textId="16ACDFE1"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A travers le monde, 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832B51">
        <w:rPr>
          <w:rFonts w:ascii="Times New Roman" w:hAnsi="Times New Roman" w:cs="Times New Roman"/>
          <w:sz w:val="36"/>
          <w:szCs w:val="36"/>
        </w:rPr>
        <w:t xml:space="preserve">de manière globale </w:t>
      </w:r>
      <w:r w:rsidR="005D5DCE">
        <w:rPr>
          <w:rFonts w:ascii="Times New Roman" w:hAnsi="Times New Roman" w:cs="Times New Roman"/>
          <w:sz w:val="36"/>
          <w:szCs w:val="36"/>
        </w:rPr>
        <w:t xml:space="preserve">très soutenue </w:t>
      </w:r>
      <w:r>
        <w:rPr>
          <w:rFonts w:ascii="Times New Roman" w:hAnsi="Times New Roman" w:cs="Times New Roman"/>
          <w:sz w:val="36"/>
          <w:szCs w:val="36"/>
        </w:rPr>
        <w:t>sur la</w:t>
      </w:r>
      <w:r w:rsidR="00D774D4">
        <w:rPr>
          <w:rFonts w:ascii="Times New Roman" w:hAnsi="Times New Roman" w:cs="Times New Roman"/>
          <w:sz w:val="36"/>
          <w:szCs w:val="36"/>
        </w:rPr>
        <w:t xml:space="preserve"> durée.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3A1EAC8D"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demande en électricité a quant à elle été multipliée par 4, illustrant la pénétration croissante de l’électricité dans l’économie mondiale. </w:t>
      </w:r>
    </w:p>
    <w:p w14:paraId="0CB94174" w14:textId="2D661C09" w:rsidR="00A83F08" w:rsidRDefault="00A83F08" w:rsidP="00A83F08">
      <w:pPr>
        <w:tabs>
          <w:tab w:val="left" w:pos="6576"/>
        </w:tabs>
        <w:jc w:val="both"/>
        <w:rPr>
          <w:rFonts w:ascii="Times New Roman" w:hAnsi="Times New Roman" w:cs="Times New Roman"/>
          <w:sz w:val="36"/>
          <w:szCs w:val="36"/>
        </w:rPr>
      </w:pPr>
      <w:r>
        <w:rPr>
          <w:rFonts w:ascii="Times New Roman" w:hAnsi="Times New Roman" w:cs="Times New Roman"/>
          <w:sz w:val="36"/>
          <w:szCs w:val="36"/>
        </w:rPr>
        <w:t>Ainsi, en cinquante ans, doublement de la population mondiale. Doublement de la consommation en énergie. Quadruplement de la consommation en électric</w:t>
      </w:r>
      <w:r w:rsidR="00DD084C">
        <w:rPr>
          <w:rFonts w:ascii="Times New Roman" w:hAnsi="Times New Roman" w:cs="Times New Roman"/>
          <w:sz w:val="36"/>
          <w:szCs w:val="36"/>
        </w:rPr>
        <w:t>i</w:t>
      </w:r>
      <w:r>
        <w:rPr>
          <w:rFonts w:ascii="Times New Roman" w:hAnsi="Times New Roman" w:cs="Times New Roman"/>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xml:space="preserve">, la demande en électricité de la Chine en 2017, 6602 TWh </w:t>
      </w:r>
      <w:r>
        <w:rPr>
          <w:rFonts w:ascii="Times New Roman" w:hAnsi="Times New Roman" w:cs="Times New Roman"/>
          <w:sz w:val="36"/>
          <w:szCs w:val="36"/>
        </w:rPr>
        <w:lastRenderedPageBreak/>
        <w:t>(Milliards de kWh), a dépassé la demande mondiale d’électricité de 1973, 6131 TWh</w:t>
      </w:r>
      <w:r w:rsidR="009D7F2E">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7FA49895"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En Europe, nous consommons 5 à 7 MWh par an et par habitant. </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ECA1B9B"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A764B3">
        <w:rPr>
          <w:rFonts w:ascii="Times New Roman" w:hAnsi="Times New Roman" w:cs="Times New Roman"/>
          <w:sz w:val="36"/>
          <w:szCs w:val="36"/>
        </w:rPr>
        <w:t>est désormais comparable à</w:t>
      </w:r>
      <w:r>
        <w:rPr>
          <w:rFonts w:ascii="Times New Roman" w:hAnsi="Times New Roman" w:cs="Times New Roman"/>
          <w:sz w:val="36"/>
          <w:szCs w:val="36"/>
        </w:rPr>
        <w:t xml:space="preserve"> </w:t>
      </w:r>
      <w:r w:rsidR="00B870B8">
        <w:rPr>
          <w:rFonts w:ascii="Times New Roman" w:hAnsi="Times New Roman" w:cs="Times New Roman"/>
          <w:sz w:val="36"/>
          <w:szCs w:val="36"/>
        </w:rPr>
        <w:t xml:space="preserve">l’Europe </w:t>
      </w:r>
      <w:r>
        <w:rPr>
          <w:rFonts w:ascii="Times New Roman" w:hAnsi="Times New Roman" w:cs="Times New Roman"/>
          <w:sz w:val="36"/>
          <w:szCs w:val="36"/>
        </w:rPr>
        <w:t>avec 5</w:t>
      </w:r>
      <w:r w:rsidR="00A764B3">
        <w:rPr>
          <w:rFonts w:ascii="Times New Roman" w:hAnsi="Times New Roman" w:cs="Times New Roman"/>
          <w:sz w:val="36"/>
          <w:szCs w:val="36"/>
        </w:rPr>
        <w:t>,8</w:t>
      </w:r>
      <w:r>
        <w:rPr>
          <w:rFonts w:ascii="Times New Roman" w:hAnsi="Times New Roman" w:cs="Times New Roman"/>
          <w:sz w:val="36"/>
          <w:szCs w:val="36"/>
        </w:rPr>
        <w:t xml:space="preserve"> 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00077B2C"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proofErr w:type="spellStart"/>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w:t>
      </w:r>
      <w:proofErr w:type="spellEnd"/>
      <w:r>
        <w:rPr>
          <w:rFonts w:ascii="Times New Roman" w:hAnsi="Times New Roman" w:cs="Times New Roman"/>
          <w:sz w:val="36"/>
          <w:szCs w:val="36"/>
        </w:rPr>
        <w:t xml:space="preserve"> exportateur mondial de pétrole</w:t>
      </w:r>
      <w:r w:rsidR="00DD6239">
        <w:rPr>
          <w:rFonts w:ascii="Times New Roman" w:hAnsi="Times New Roman" w:cs="Times New Roman"/>
          <w:sz w:val="36"/>
          <w:szCs w:val="36"/>
        </w:rPr>
        <w:t xml:space="preserve">, 0,1 MWh, par habitant et par an. </w:t>
      </w:r>
    </w:p>
    <w:p w14:paraId="222D7CAF" w14:textId="628B2EA9"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p>
    <w:p w14:paraId="770EC531" w14:textId="2A59EC96"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données </w:t>
      </w:r>
      <w:r>
        <w:rPr>
          <w:rFonts w:ascii="Times New Roman" w:eastAsia="Times New Roman" w:hAnsi="Times New Roman" w:cs="Times New Roman"/>
          <w:sz w:val="36"/>
          <w:szCs w:val="36"/>
          <w:lang w:eastAsia="fr-FR"/>
        </w:rPr>
        <w:t xml:space="preserve">complémentaires </w:t>
      </w:r>
      <w:r w:rsidR="00B80AC6">
        <w:rPr>
          <w:rFonts w:ascii="Times New Roman" w:eastAsia="Times New Roman" w:hAnsi="Times New Roman" w:cs="Times New Roman"/>
          <w:sz w:val="36"/>
          <w:szCs w:val="36"/>
          <w:lang w:eastAsia="fr-FR"/>
        </w:rPr>
        <w:t xml:space="preserve">sur 2022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4"/>
      </w:r>
      <w:r w:rsidR="00DD6239">
        <w:rPr>
          <w:rFonts w:ascii="Times New Roman" w:eastAsia="Times New Roman" w:hAnsi="Times New Roman" w:cs="Times New Roman"/>
          <w:sz w:val="36"/>
          <w:szCs w:val="36"/>
          <w:lang w:eastAsia="fr-FR"/>
        </w:rPr>
        <w:t xml:space="preserve">. </w:t>
      </w:r>
    </w:p>
    <w:p w14:paraId="696F154C" w14:textId="73008F4B" w:rsidR="00B80AC6" w:rsidRDefault="004D1EA7"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lastRenderedPageBreak/>
        <w:drawing>
          <wp:inline distT="0" distB="0" distL="0" distR="0" wp14:anchorId="778636E4" wp14:editId="5E5B411E">
            <wp:extent cx="5760720" cy="2725420"/>
            <wp:effectExtent l="0" t="0" r="0" b="0"/>
            <wp:docPr id="13036119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1911" name="Image 1303611911"/>
                    <pic:cNvPicPr/>
                  </pic:nvPicPr>
                  <pic:blipFill>
                    <a:blip r:embed="rId12">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073EB391" w14:textId="0F21C80A" w:rsidR="00B80AC6" w:rsidRDefault="00B80AC6" w:rsidP="007D0D5D">
      <w:pPr>
        <w:spacing w:before="100" w:beforeAutospacing="1" w:after="165" w:line="240" w:lineRule="auto"/>
        <w:jc w:val="both"/>
        <w:rPr>
          <w:rFonts w:ascii="Times New Roman" w:eastAsia="Times New Roman" w:hAnsi="Times New Roman" w:cs="Times New Roman"/>
          <w:sz w:val="36"/>
          <w:szCs w:val="36"/>
          <w:lang w:eastAsia="fr-FR"/>
        </w:rPr>
      </w:pPr>
    </w:p>
    <w:p w14:paraId="24027007" w14:textId="56D5FCD9"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La demande en électricité en 2022 de la Chine, 8400 TWh, a représenté deux fois celle des US, 4320 TWh, trois fois celle de l’Union européenne, 2773 TWh, huit fois celle de la Russie, 1015 TWh, et plus de dix fois celle de l’Afrique dans son ensemble 758 TWh. </w:t>
      </w:r>
    </w:p>
    <w:p w14:paraId="6396E08E"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A noter que la croissance entre 2021 et 2022 reste modérée pour l’Afrique, et la Russie (malgré la guerre en Ukraine) avec +1,5 %</w:t>
      </w:r>
    </w:p>
    <w:p w14:paraId="2E31907D" w14:textId="3D970BFC"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r w:rsidR="006A5FC6">
        <w:rPr>
          <w:rFonts w:ascii="Times New Roman" w:eastAsia="Times New Roman" w:hAnsi="Times New Roman" w:cs="Times New Roman"/>
          <w:sz w:val="36"/>
          <w:szCs w:val="36"/>
          <w:lang w:eastAsia="fr-FR"/>
        </w:rPr>
        <w:t xml:space="preserve">. </w:t>
      </w:r>
    </w:p>
    <w:p w14:paraId="3E80CA47"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Et en forte décroissance pour l’Union Européenne qui subit une baisse de -3,5 % avec un impact direct de la dépendance au gaz et des prix élevés induits par la guerre en Ukraine. </w:t>
      </w:r>
    </w:p>
    <w:p w14:paraId="6DDCC87A" w14:textId="772D80A2"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demande de 26 779 TWh, une croissance de 1,9 % entre 2021 et 2022 et une perspective annoncée par l’AIE de + 3 % pour la période 2023-2025. </w:t>
      </w:r>
    </w:p>
    <w:p w14:paraId="71391944" w14:textId="31232CFF"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lastRenderedPageBreak/>
        <w:t xml:space="preserve">La répartition de l’évolution de la demande en électricité entre pays occidentaux, l’Asie et le reste du monde met en évidence une recomposition majeure d’ordre géopolitique qui en est sous-jacente. En l’espace de trente ans seulement, les pays occidentaux qui représentaient la moitié de la demande en électricité ne représentent plus à présent que le quart. </w:t>
      </w:r>
    </w:p>
    <w:p w14:paraId="6FC5B33D" w14:textId="14BB185E"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 xml:space="preserve">du partenariat renforcé entre les pays du </w:t>
      </w:r>
      <w:proofErr w:type="spellStart"/>
      <w:r>
        <w:rPr>
          <w:rFonts w:ascii="Times New Roman" w:eastAsia="Times New Roman" w:hAnsi="Times New Roman" w:cs="Times New Roman"/>
          <w:sz w:val="36"/>
          <w:szCs w:val="36"/>
          <w:lang w:eastAsia="fr-FR"/>
        </w:rPr>
        <w:t>Brics</w:t>
      </w:r>
      <w:proofErr w:type="spellEnd"/>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désormais la moitié de la population mondiale au sein de onze pays</w:t>
      </w:r>
      <w:r w:rsidR="002676D7">
        <w:rPr>
          <w:rStyle w:val="Appelnotedebasdep"/>
          <w:rFonts w:ascii="Times New Roman" w:eastAsia="Times New Roman" w:hAnsi="Times New Roman" w:cs="Times New Roman"/>
          <w:sz w:val="36"/>
          <w:szCs w:val="36"/>
          <w:lang w:eastAsia="fr-FR"/>
        </w:rPr>
        <w:footnoteReference w:id="5"/>
      </w:r>
      <w:r>
        <w:rPr>
          <w:rFonts w:ascii="Times New Roman" w:eastAsia="Times New Roman" w:hAnsi="Times New Roman" w:cs="Times New Roman"/>
          <w:sz w:val="36"/>
          <w:szCs w:val="36"/>
          <w:lang w:eastAsia="fr-FR"/>
        </w:rPr>
        <w:t xml:space="preserve"> à la suite du sommet de </w:t>
      </w:r>
      <w:proofErr w:type="spellStart"/>
      <w:r>
        <w:rPr>
          <w:rFonts w:ascii="Times New Roman" w:eastAsia="Times New Roman" w:hAnsi="Times New Roman" w:cs="Times New Roman"/>
          <w:sz w:val="36"/>
          <w:szCs w:val="36"/>
          <w:lang w:eastAsia="fr-FR"/>
        </w:rPr>
        <w:t>Johannesbourg</w:t>
      </w:r>
      <w:proofErr w:type="spellEnd"/>
      <w:r>
        <w:rPr>
          <w:rFonts w:ascii="Times New Roman" w:eastAsia="Times New Roman" w:hAnsi="Times New Roman" w:cs="Times New Roman"/>
          <w:sz w:val="36"/>
          <w:szCs w:val="36"/>
          <w:lang w:eastAsia="fr-FR"/>
        </w:rPr>
        <w:t xml:space="preserve"> en août 2023.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fréquence du courant alternatif est utilisée. Elle est de 50 Hz en Europe. </w:t>
      </w:r>
    </w:p>
    <w:p w14:paraId="1A2975E9" w14:textId="1873D561" w:rsidR="00D91997"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r w:rsidR="00D626AD">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sidR="00D626AD">
        <w:rPr>
          <w:rFonts w:ascii="Times New Roman" w:hAnsi="Times New Roman" w:cs="Times New Roman"/>
          <w:sz w:val="36"/>
          <w:szCs w:val="36"/>
        </w:rPr>
        <w:t xml:space="preserve">en électricité, le pilotage </w:t>
      </w:r>
      <w:r w:rsidR="00D626AD">
        <w:rPr>
          <w:rFonts w:ascii="Times New Roman" w:hAnsi="Times New Roman" w:cs="Times New Roman"/>
          <w:sz w:val="36"/>
          <w:szCs w:val="36"/>
        </w:rPr>
        <w:lastRenderedPageBreak/>
        <w:t xml:space="preserve">de la vitesse de rotation des 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2E4BD388"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t xml:space="preserve">Cette 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w:t>
      </w:r>
      <w:proofErr w:type="spellStart"/>
      <w:r w:rsidR="00E40FAC" w:rsidRPr="00D626AD">
        <w:rPr>
          <w:rFonts w:ascii="Times New Roman" w:hAnsi="Times New Roman" w:cs="Times New Roman"/>
          <w:sz w:val="36"/>
          <w:szCs w:val="36"/>
        </w:rPr>
        <w:t>Laufenboug</w:t>
      </w:r>
      <w:proofErr w:type="spellEnd"/>
      <w:r w:rsidR="00E40FAC" w:rsidRPr="00D626AD">
        <w:rPr>
          <w:rFonts w:ascii="Times New Roman" w:hAnsi="Times New Roman" w:cs="Times New Roman"/>
          <w:sz w:val="36"/>
          <w:szCs w:val="36"/>
        </w:rPr>
        <w:t xml:space="preserve"> et le groupement d’électriciens suisses CNP, en Suisse, Electrabel en Belgique, </w:t>
      </w:r>
      <w:proofErr w:type="spellStart"/>
      <w:r w:rsidR="00E40FAC" w:rsidRPr="00D626AD">
        <w:rPr>
          <w:rFonts w:ascii="Times New Roman" w:hAnsi="Times New Roman" w:cs="Times New Roman"/>
          <w:sz w:val="36"/>
          <w:szCs w:val="36"/>
        </w:rPr>
        <w:t>EnBW</w:t>
      </w:r>
      <w:proofErr w:type="spellEnd"/>
      <w:r w:rsidR="00E40FAC" w:rsidRPr="00D626AD">
        <w:rPr>
          <w:rFonts w:ascii="Times New Roman" w:hAnsi="Times New Roman" w:cs="Times New Roman"/>
          <w:sz w:val="36"/>
          <w:szCs w:val="36"/>
        </w:rPr>
        <w:t xml:space="preserve">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 xml:space="preserve">A noter que la France dispose d’un positionnement géographique particulièrement favorable, disposant de </w:t>
      </w:r>
      <w:r>
        <w:rPr>
          <w:rFonts w:ascii="Times New Roman" w:hAnsi="Times New Roman" w:cs="Times New Roman"/>
          <w:sz w:val="36"/>
          <w:szCs w:val="36"/>
        </w:rPr>
        <w:lastRenderedPageBreak/>
        <w:t>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6"/>
      </w:r>
      <w:r>
        <w:rPr>
          <w:rFonts w:ascii="Times New Roman" w:hAnsi="Times New Roman" w:cs="Times New Roman"/>
          <w:sz w:val="36"/>
          <w:szCs w:val="36"/>
        </w:rPr>
        <w:t xml:space="preserve">. </w:t>
      </w:r>
    </w:p>
    <w:p w14:paraId="601D9C28" w14:textId="20A46486"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2022, le volume d’importations dont elle a pu bénéficier s’est élevé au maximum le19 novembre </w:t>
      </w:r>
      <w:proofErr w:type="gramStart"/>
      <w:r>
        <w:rPr>
          <w:rFonts w:ascii="Times New Roman" w:hAnsi="Times New Roman" w:cs="Times New Roman"/>
          <w:sz w:val="36"/>
          <w:szCs w:val="36"/>
        </w:rPr>
        <w:t>2022  à</w:t>
      </w:r>
      <w:proofErr w:type="gramEnd"/>
      <w:r>
        <w:rPr>
          <w:rFonts w:ascii="Times New Roman" w:hAnsi="Times New Roman" w:cs="Times New Roman"/>
          <w:sz w:val="36"/>
          <w:szCs w:val="36"/>
        </w:rPr>
        <w:t xml:space="preserve"> 15836 MW, et un mois plus tard, elle exportait 17 352 MW le 23 décembre 2022. Le maximum historique d’exportations s’est établi cette année en 2023 à 17 636 MW le 31 mars 2023. </w:t>
      </w:r>
    </w:p>
    <w:p w14:paraId="2C702F6B" w14:textId="4873EFE6"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7"/>
      </w:r>
      <w:r>
        <w:rPr>
          <w:rFonts w:ascii="Times New Roman" w:hAnsi="Times New Roman" w:cs="Times New Roman"/>
          <w:sz w:val="36"/>
          <w:szCs w:val="36"/>
        </w:rPr>
        <w:t xml:space="preserve">. Elle intègre la Turquie, une partie de l’Ukraine, le Maghreb, à travers le détroit de Gibraltar. </w:t>
      </w:r>
    </w:p>
    <w:p w14:paraId="49B17274" w14:textId="378099FE"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3">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2E8CBBA" w14:textId="54302C3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8"/>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538CAABD" w14:textId="46EE484F" w:rsidR="00196E28" w:rsidRDefault="00196E28"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On peut noter que dans cette architecture du réseau interconnecté, la France bénéficie </w:t>
      </w:r>
      <w:proofErr w:type="gramStart"/>
      <w:r>
        <w:rPr>
          <w:rFonts w:ascii="Times New Roman" w:hAnsi="Times New Roman" w:cs="Times New Roman"/>
          <w:sz w:val="36"/>
          <w:szCs w:val="36"/>
        </w:rPr>
        <w:t>d’une environnement géographique</w:t>
      </w:r>
      <w:proofErr w:type="gramEnd"/>
      <w:r>
        <w:rPr>
          <w:rFonts w:ascii="Times New Roman" w:hAnsi="Times New Roman" w:cs="Times New Roman"/>
          <w:sz w:val="36"/>
          <w:szCs w:val="36"/>
        </w:rPr>
        <w:t xml:space="preserve"> particulièrement favorable. </w:t>
      </w:r>
    </w:p>
    <w:p w14:paraId="72935533" w14:textId="2BFD0B1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vitales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33565A00" w14:textId="77777777" w:rsidR="00FF57AA" w:rsidRDefault="00FF57AA" w:rsidP="00AE7889">
      <w:pPr>
        <w:jc w:val="both"/>
        <w:rPr>
          <w:rFonts w:ascii="Times New Roman" w:hAnsi="Times New Roman" w:cs="Times New Roman"/>
          <w:b/>
          <w:bCs/>
          <w:i/>
          <w:iCs/>
          <w:sz w:val="36"/>
          <w:szCs w:val="36"/>
        </w:rPr>
      </w:pPr>
    </w:p>
    <w:p w14:paraId="00AC108D" w14:textId="12C78506"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9"/>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72CC7C3A" w14:textId="362F12D8" w:rsidR="00FC2E7A" w:rsidRDefault="00FC2E7A" w:rsidP="00AE7889">
      <w:pPr>
        <w:jc w:val="both"/>
        <w:rPr>
          <w:rFonts w:ascii="Times New Roman" w:hAnsi="Times New Roman" w:cs="Times New Roman"/>
          <w:sz w:val="36"/>
          <w:szCs w:val="36"/>
        </w:rPr>
      </w:pPr>
    </w:p>
    <w:p w14:paraId="36C60565" w14:textId="43C0CC10"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très proche en électricité de 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52AB974E"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 xml:space="preserve">14g avec </w:t>
      </w:r>
      <w:r w:rsidR="002C3FE6" w:rsidRPr="002C3FE6">
        <w:rPr>
          <w:rFonts w:ascii="Times New Roman" w:hAnsi="Times New Roman" w:cs="Times New Roman"/>
          <w:sz w:val="36"/>
          <w:szCs w:val="36"/>
        </w:rPr>
        <w:lastRenderedPageBreak/>
        <w:t>l’éolien, 55g avec le solaire</w:t>
      </w:r>
      <w:r w:rsidR="002E6643">
        <w:rPr>
          <w:rFonts w:ascii="Times New Roman" w:hAnsi="Times New Roman" w:cs="Times New Roman"/>
          <w:sz w:val="36"/>
          <w:szCs w:val="36"/>
        </w:rPr>
        <w:t xml:space="preserve"> photovoltaïque</w:t>
      </w:r>
      <w:r w:rsidR="002C3FE6" w:rsidRPr="002C3FE6">
        <w:rPr>
          <w:rFonts w:ascii="Times New Roman" w:hAnsi="Times New Roman" w:cs="Times New Roman"/>
          <w:sz w:val="36"/>
          <w:szCs w:val="36"/>
        </w:rPr>
        <w:t>, 418g avec le gaz, et 1060g avec le charbon</w:t>
      </w:r>
      <w:r w:rsidR="002C3FE6">
        <w:rPr>
          <w:rStyle w:val="Appelnotedebasdep"/>
          <w:rFonts w:ascii="Times New Roman" w:hAnsi="Times New Roman" w:cs="Times New Roman"/>
          <w:sz w:val="36"/>
          <w:szCs w:val="36"/>
        </w:rPr>
        <w:footnoteReference w:id="10"/>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1DD0A882"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t xml:space="preserve">Ainsi, nous obtenons sur l’année 2022, un résultat de 56 g CO2/kWh pour la France, de 120 pour la Belgique, 141 pour l’Espagne, 184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368 pour l’Italie, et 387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282F718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11"/>
      </w:r>
      <w:r w:rsidRPr="004D1EA7">
        <w:rPr>
          <w:rFonts w:ascii="Times New Roman" w:eastAsia="Times New Roman" w:hAnsi="Times New Roman" w:cs="Times New Roman"/>
          <w:sz w:val="36"/>
          <w:szCs w:val="36"/>
          <w:lang w:eastAsia="fr-FR"/>
        </w:rPr>
        <w:t xml:space="preserve"> à 28 642 TWh, en progression de 1,8 %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p>
    <w:p w14:paraId="26D1CCAA" w14:textId="3416B6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dans le monde, c’est 61% à partir des énergies fossiles : </w:t>
      </w:r>
    </w:p>
    <w:p w14:paraId="233311B3" w14:textId="725F8824"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36 % avec le charbon, en progression </w:t>
      </w:r>
      <w:r w:rsidR="00AF725D" w:rsidRPr="004D1EA7">
        <w:rPr>
          <w:sz w:val="36"/>
          <w:szCs w:val="36"/>
        </w:rPr>
        <w:t xml:space="preserve">entre 2021 et 2022 </w:t>
      </w:r>
      <w:r w:rsidRPr="004D1EA7">
        <w:rPr>
          <w:sz w:val="36"/>
          <w:szCs w:val="36"/>
        </w:rPr>
        <w:t xml:space="preserve">de +1,5 % avec 10 325 TWh, </w:t>
      </w:r>
    </w:p>
    <w:p w14:paraId="793ACF86" w14:textId="381A98D5" w:rsidR="007D0D5D" w:rsidRPr="004D1EA7" w:rsidRDefault="007D0D5D" w:rsidP="004D1EA7">
      <w:pPr>
        <w:pStyle w:val="Paragraphedeliste"/>
        <w:numPr>
          <w:ilvl w:val="0"/>
          <w:numId w:val="10"/>
        </w:numPr>
        <w:spacing w:before="100" w:beforeAutospacing="1" w:after="165"/>
        <w:jc w:val="both"/>
      </w:pPr>
      <w:r w:rsidRPr="004D1EA7">
        <w:rPr>
          <w:sz w:val="36"/>
          <w:szCs w:val="36"/>
        </w:rPr>
        <w:lastRenderedPageBreak/>
        <w:t xml:space="preserve">23 % par le gaz, également en progression </w:t>
      </w:r>
      <w:r w:rsidR="00AF725D" w:rsidRPr="004D1EA7">
        <w:rPr>
          <w:sz w:val="36"/>
          <w:szCs w:val="36"/>
        </w:rPr>
        <w:t xml:space="preserve">entre 2021 et 2022 </w:t>
      </w:r>
      <w:r w:rsidRPr="004D1EA7">
        <w:rPr>
          <w:sz w:val="36"/>
          <w:szCs w:val="36"/>
        </w:rPr>
        <w:t xml:space="preserve">de 0,2% avec 6500 TWh. </w:t>
      </w:r>
    </w:p>
    <w:p w14:paraId="3FDA63F9" w14:textId="777777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première source de production d’électricité demeure le charbon. La Chine est le premier producteur mondial de charbon et le premier importateur de charbon. La production d’électricité en Chine, c’est plus de 3 milliards de tonnes de charbon brûlées chaque année. </w:t>
      </w:r>
    </w:p>
    <w:p w14:paraId="60383D2A" w14:textId="1B89A330"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11496ACC"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9% de la production mondiale d'électricité avec 2684 TWh, en régression de - 4,3%</w:t>
      </w:r>
      <w:r w:rsidR="00AF725D" w:rsidRPr="004D1EA7">
        <w:rPr>
          <w:rFonts w:ascii="Times New Roman" w:eastAsia="Times New Roman" w:hAnsi="Times New Roman" w:cs="Times New Roman"/>
          <w:sz w:val="36"/>
          <w:szCs w:val="36"/>
          <w:lang w:eastAsia="fr-FR"/>
        </w:rPr>
        <w:t xml:space="preserve"> par rapport à 2021. </w:t>
      </w:r>
    </w:p>
    <w:p w14:paraId="615FB0F4" w14:textId="4A28E3B8"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Pr="004D1EA7">
        <w:rPr>
          <w:rFonts w:ascii="Times New Roman" w:eastAsia="Times New Roman" w:hAnsi="Times New Roman" w:cs="Times New Roman"/>
          <w:sz w:val="36"/>
          <w:szCs w:val="36"/>
          <w:lang w:eastAsia="fr-FR"/>
        </w:rPr>
        <w:t xml:space="preserve">de 5,7 </w:t>
      </w:r>
      <w:proofErr w:type="gramStart"/>
      <w:r w:rsidRPr="004D1EA7">
        <w:rPr>
          <w:rFonts w:ascii="Times New Roman" w:eastAsia="Times New Roman" w:hAnsi="Times New Roman" w:cs="Times New Roman"/>
          <w:sz w:val="36"/>
          <w:szCs w:val="36"/>
          <w:lang w:eastAsia="fr-FR"/>
        </w:rPr>
        <w:t>%  pour</w:t>
      </w:r>
      <w:proofErr w:type="gramEnd"/>
      <w:r w:rsidRPr="004D1EA7">
        <w:rPr>
          <w:rFonts w:ascii="Times New Roman" w:eastAsia="Times New Roman" w:hAnsi="Times New Roman" w:cs="Times New Roman"/>
          <w:sz w:val="36"/>
          <w:szCs w:val="36"/>
          <w:lang w:eastAsia="fr-FR"/>
        </w:rPr>
        <w:t xml:space="preserve"> représenter 29 % de la production mondiale avec 8349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w:t>
      </w:r>
      <w:proofErr w:type="gramStart"/>
      <w:r>
        <w:rPr>
          <w:rFonts w:ascii="Times New Roman" w:hAnsi="Times New Roman" w:cs="Times New Roman"/>
          <w:sz w:val="36"/>
          <w:szCs w:val="36"/>
        </w:rPr>
        <w:t>réponse  en</w:t>
      </w:r>
      <w:proofErr w:type="gramEnd"/>
      <w:r>
        <w:rPr>
          <w:rFonts w:ascii="Times New Roman" w:hAnsi="Times New Roman" w:cs="Times New Roman"/>
          <w:sz w:val="36"/>
          <w:szCs w:val="36"/>
        </w:rPr>
        <w:t xml:space="preserve">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4"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15">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lastRenderedPageBreak/>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proofErr w:type="gramStart"/>
      <w:r w:rsidRPr="001301BE">
        <w:rPr>
          <w:rFonts w:ascii="Times New Roman" w:hAnsi="Times New Roman" w:cs="Times New Roman"/>
          <w:b/>
          <w:bCs/>
          <w:i/>
          <w:iCs/>
          <w:sz w:val="36"/>
          <w:szCs w:val="36"/>
        </w:rPr>
        <w:t>les</w:t>
      </w:r>
      <w:proofErr w:type="gramEnd"/>
      <w:r w:rsidRPr="001301BE">
        <w:rPr>
          <w:rFonts w:ascii="Times New Roman" w:hAnsi="Times New Roman" w:cs="Times New Roman"/>
          <w:b/>
          <w:bCs/>
          <w:i/>
          <w:iCs/>
          <w:sz w:val="36"/>
          <w:szCs w:val="36"/>
        </w:rPr>
        <w:t xml:space="preserve">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30 et 80 pour cent, en fonction des techniques utilisées (stockage thermique, électrolyse et pile à combustible à hydrogène, conversion électrochimique…). Il convient en conséquence de bien prendre en compte les coûts complets du dispositif.</w:t>
      </w:r>
      <w:r>
        <w:rPr>
          <w:rFonts w:ascii="Times New Roman" w:hAnsi="Times New Roman" w:cs="Times New Roman"/>
          <w:sz w:val="36"/>
          <w:szCs w:val="36"/>
        </w:rPr>
        <w:t xml:space="preserve"> </w:t>
      </w:r>
    </w:p>
    <w:p w14:paraId="588B79B1" w14:textId="7E42C2DC"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 xml:space="preserve">avec un </w:t>
      </w:r>
      <w:r w:rsidRPr="001B67C8">
        <w:rPr>
          <w:rFonts w:ascii="Times New Roman" w:hAnsi="Times New Roman" w:cs="Times New Roman"/>
          <w:sz w:val="36"/>
          <w:szCs w:val="36"/>
        </w:rPr>
        <w:lastRenderedPageBreak/>
        <w:t>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La production maximale éolienne a été de 39,6 TWh en 2020</w:t>
      </w:r>
      <w:r w:rsidRPr="001B67C8">
        <w:rPr>
          <w:rStyle w:val="Appelnotedebasdep"/>
          <w:rFonts w:ascii="Times New Roman" w:hAnsi="Times New Roman" w:cs="Times New Roman"/>
          <w:sz w:val="36"/>
          <w:szCs w:val="36"/>
        </w:rPr>
        <w:footnoteReference w:id="12"/>
      </w:r>
      <w:r w:rsidRPr="001B67C8">
        <w:rPr>
          <w:rFonts w:ascii="Times New Roman" w:hAnsi="Times New Roman" w:cs="Times New Roman"/>
          <w:sz w:val="36"/>
          <w:szCs w:val="36"/>
        </w:rPr>
        <w:t xml:space="preserve">. </w:t>
      </w:r>
    </w:p>
    <w:p w14:paraId="79C84EC5" w14:textId="4D7ED3D7"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a été de 18,6 TWH en 2022, (4 % de la production) avec une progression de 4 TWh par rapport à 2021.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13"/>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en janvier 2022, la variation de la production éolienne a varié de 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16"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8259CED" w14:textId="2379A827"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14"/>
      </w:r>
      <w:r w:rsidR="00105EBE">
        <w:rPr>
          <w:rFonts w:ascii="Times New Roman" w:hAnsi="Times New Roman" w:cs="Times New Roman"/>
          <w:sz w:val="36"/>
          <w:szCs w:val="36"/>
        </w:rPr>
        <w:t xml:space="preserve"> </w:t>
      </w:r>
      <w:r w:rsidR="00F01173">
        <w:rPr>
          <w:rFonts w:ascii="Times New Roman" w:hAnsi="Times New Roman" w:cs="Times New Roman"/>
          <w:sz w:val="36"/>
          <w:szCs w:val="36"/>
        </w:rPr>
        <w:t xml:space="preserve">, en 2023,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est de 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 pour l’éolien terrestre, de 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proofErr w:type="spellStart"/>
      <w:r w:rsidR="00105EBE" w:rsidRPr="00C05AE1">
        <w:rPr>
          <w:rFonts w:ascii="Times New Roman" w:hAnsi="Times New Roman" w:cs="Times New Roman"/>
          <w:i/>
          <w:iCs/>
          <w:sz w:val="36"/>
          <w:szCs w:val="36"/>
        </w:rPr>
        <w:t>off shore</w:t>
      </w:r>
      <w:proofErr w:type="spellEnd"/>
      <w:r w:rsidR="00105EBE">
        <w:rPr>
          <w:rFonts w:ascii="Times New Roman" w:hAnsi="Times New Roman" w:cs="Times New Roman"/>
          <w:sz w:val="36"/>
          <w:szCs w:val="36"/>
        </w:rPr>
        <w:t>, et de 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15"/>
      </w:r>
      <w:r w:rsidR="00811DEF" w:rsidRPr="00267EC0">
        <w:rPr>
          <w:rFonts w:ascii="Times New Roman" w:hAnsi="Times New Roman" w:cs="Times New Roman"/>
          <w:sz w:val="36"/>
          <w:szCs w:val="36"/>
        </w:rPr>
        <w:t xml:space="preserve"> le 27 mars 2023, annonce un 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w:t>
      </w:r>
      <w:proofErr w:type="spellStart"/>
      <w:r w:rsidR="005F6C44">
        <w:rPr>
          <w:rFonts w:ascii="Times New Roman" w:hAnsi="Times New Roman" w:cs="Times New Roman"/>
          <w:sz w:val="36"/>
          <w:szCs w:val="36"/>
        </w:rPr>
        <w:t>cotière</w:t>
      </w:r>
      <w:proofErr w:type="spellEnd"/>
      <w:r w:rsidR="005F6C44">
        <w:rPr>
          <w:rFonts w:ascii="Times New Roman" w:hAnsi="Times New Roman" w:cs="Times New Roman"/>
          <w:sz w:val="36"/>
          <w:szCs w:val="36"/>
        </w:rPr>
        <w:t xml:space="preserve"> et artisanale, </w:t>
      </w:r>
      <w:r w:rsidR="00695ABC" w:rsidRPr="00267EC0">
        <w:rPr>
          <w:rFonts w:ascii="Times New Roman" w:hAnsi="Times New Roman" w:cs="Times New Roman"/>
          <w:sz w:val="36"/>
          <w:szCs w:val="36"/>
        </w:rPr>
        <w:t xml:space="preserve">de ces </w:t>
      </w:r>
      <w:r w:rsidR="00695ABC" w:rsidRPr="00267EC0">
        <w:rPr>
          <w:rFonts w:ascii="Times New Roman" w:hAnsi="Times New Roman" w:cs="Times New Roman"/>
          <w:sz w:val="36"/>
          <w:szCs w:val="36"/>
        </w:rPr>
        <w:lastRenderedPageBreak/>
        <w:t>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17">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demeurent sensibles au coût de l’acier, du béton, des équipements importés</w:t>
      </w:r>
      <w:r w:rsidR="007A5D58">
        <w:rPr>
          <w:rStyle w:val="Appelnotedebasdep"/>
          <w:rFonts w:ascii="Times New Roman" w:hAnsi="Times New Roman" w:cs="Times New Roman"/>
          <w:sz w:val="36"/>
          <w:szCs w:val="36"/>
        </w:rPr>
        <w:footnoteReference w:id="16"/>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res et le retour de 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C6EBDB6" w14:textId="77777777" w:rsidR="00483998" w:rsidRDefault="005441C4" w:rsidP="00AE7889">
      <w:pPr>
        <w:jc w:val="both"/>
        <w:rPr>
          <w:rFonts w:ascii="Times New Roman" w:hAnsi="Times New Roman" w:cs="Times New Roman"/>
          <w:sz w:val="36"/>
          <w:szCs w:val="36"/>
          <w:highlight w:val="yellow"/>
        </w:rPr>
      </w:pPr>
      <w:r w:rsidRPr="00267EC0">
        <w:rPr>
          <w:rFonts w:ascii="Times New Roman" w:hAnsi="Times New Roman" w:cs="Times New Roman"/>
          <w:sz w:val="36"/>
          <w:szCs w:val="36"/>
        </w:rPr>
        <w:t>Le volume d’investissements envisagé demeure particulièrement important.</w:t>
      </w:r>
      <w:r w:rsidR="00F77F71" w:rsidRPr="00267EC0">
        <w:rPr>
          <w:rFonts w:ascii="Times New Roman" w:hAnsi="Times New Roman" w:cs="Times New Roman"/>
          <w:sz w:val="36"/>
          <w:szCs w:val="36"/>
        </w:rPr>
        <w:t xml:space="preserve"> La Commission européenne a publié</w:t>
      </w:r>
      <w:r w:rsidR="00B1773E" w:rsidRPr="00267EC0">
        <w:rPr>
          <w:rStyle w:val="markedcontent"/>
          <w:rFonts w:ascii="Arial" w:hAnsi="Arial" w:cs="Arial"/>
        </w:rPr>
        <w:t xml:space="preserve"> </w:t>
      </w:r>
      <w:r w:rsidR="00F77F71" w:rsidRPr="00267EC0">
        <w:rPr>
          <w:rFonts w:ascii="Times New Roman" w:hAnsi="Times New Roman" w:cs="Times New Roman"/>
          <w:sz w:val="36"/>
          <w:szCs w:val="36"/>
        </w:rPr>
        <w:t>le 19 novembre 2020</w:t>
      </w:r>
      <w:r w:rsidR="00F77F71" w:rsidRPr="00267EC0">
        <w:rPr>
          <w:rStyle w:val="Appelnotedebasdep"/>
          <w:rFonts w:ascii="Times New Roman" w:hAnsi="Times New Roman" w:cs="Times New Roman"/>
          <w:sz w:val="36"/>
          <w:szCs w:val="36"/>
        </w:rPr>
        <w:footnoteReference w:id="17"/>
      </w:r>
      <w:r w:rsidR="00B1773E" w:rsidRPr="00267EC0">
        <w:rPr>
          <w:rFonts w:ascii="Times New Roman" w:hAnsi="Times New Roman" w:cs="Times New Roman"/>
          <w:sz w:val="36"/>
          <w:szCs w:val="36"/>
        </w:rPr>
        <w:t xml:space="preserve"> une stratégie pour exploiter le </w:t>
      </w:r>
      <w:r w:rsidR="00B1773E" w:rsidRPr="00267EC0">
        <w:rPr>
          <w:rFonts w:ascii="Times New Roman" w:hAnsi="Times New Roman" w:cs="Times New Roman"/>
          <w:sz w:val="36"/>
          <w:szCs w:val="36"/>
        </w:rPr>
        <w:lastRenderedPageBreak/>
        <w:t xml:space="preserve">potentiel des énergies renouvelables en mer en vue d'un avenir neutre pour le climat. </w:t>
      </w:r>
      <w:r w:rsidR="00F77F71" w:rsidRPr="00267EC0">
        <w:rPr>
          <w:rFonts w:ascii="Times New Roman" w:hAnsi="Times New Roman" w:cs="Times New Roman"/>
          <w:sz w:val="36"/>
          <w:szCs w:val="36"/>
        </w:rPr>
        <w:t>En 2020, la capacité installée d'éolien en mer était estimée dans l'UE-27 à 12 GW.</w:t>
      </w:r>
      <w:r w:rsidR="00F77F71" w:rsidRPr="00F77F71">
        <w:rPr>
          <w:rFonts w:ascii="Times New Roman" w:hAnsi="Times New Roman" w:cs="Times New Roman"/>
          <w:sz w:val="36"/>
          <w:szCs w:val="36"/>
        </w:rPr>
        <w:t xml:space="preserve">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18"/>
      </w:r>
      <w:r w:rsidR="00F77F71"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00F77F71" w:rsidRPr="00F77F71">
        <w:rPr>
          <w:rFonts w:ascii="Times New Roman" w:hAnsi="Times New Roman" w:cs="Times New Roman"/>
          <w:sz w:val="36"/>
          <w:szCs w:val="36"/>
        </w:rPr>
        <w:t>L’investissement total nécessaire est estimé à 800 milliards d’euros</w:t>
      </w:r>
      <w:r w:rsidR="00F77F71">
        <w:rPr>
          <w:rStyle w:val="Appelnotedebasdep"/>
        </w:rPr>
        <w:footnoteReference w:id="19"/>
      </w:r>
      <w:r w:rsidR="004942D2">
        <w:rPr>
          <w:rFonts w:ascii="Times New Roman" w:hAnsi="Times New Roman" w:cs="Times New Roman"/>
          <w:sz w:val="36"/>
          <w:szCs w:val="36"/>
        </w:rPr>
        <w:t xml:space="preserve"> </w:t>
      </w:r>
      <w:r w:rsidR="00811DEF">
        <w:rPr>
          <w:rFonts w:ascii="Times New Roman" w:hAnsi="Times New Roman" w:cs="Times New Roman"/>
          <w:sz w:val="36"/>
          <w:szCs w:val="36"/>
        </w:rPr>
        <w:t>sans compter les investissements dans les réseaux et les indispensables 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415C578C" w14:textId="77777777"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Le déploiement des nouvelles énergies renouvelables intermittentes induit des besoins d’investissement dans le réseau qui se situe en plusieurs centaines de milliards d’euro à l’échelle de l’Europe</w:t>
      </w:r>
      <w:r>
        <w:rPr>
          <w:rStyle w:val="Appelnotedebasdep"/>
          <w:rFonts w:ascii="Times New Roman" w:hAnsi="Times New Roman" w:cs="Times New Roman"/>
          <w:sz w:val="36"/>
          <w:szCs w:val="36"/>
        </w:rPr>
        <w:footnoteReference w:id="20"/>
      </w:r>
      <w:r>
        <w:rPr>
          <w:rFonts w:ascii="Times New Roman" w:hAnsi="Times New Roman" w:cs="Times New Roman"/>
          <w:sz w:val="36"/>
          <w:szCs w:val="36"/>
        </w:rPr>
        <w:t xml:space="preserve">. </w:t>
      </w:r>
    </w:p>
    <w:p w14:paraId="512C31A6" w14:textId="601F5695"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76E4F4E" w:rsidR="00105EBE" w:rsidRPr="00F77F71" w:rsidRDefault="008F672B" w:rsidP="00AE7889">
      <w:pPr>
        <w:jc w:val="both"/>
        <w:rPr>
          <w:color w:val="000000"/>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21"/>
      </w:r>
      <w:r w:rsidRPr="007A5D58">
        <w:rPr>
          <w:rFonts w:ascii="Times New Roman" w:hAnsi="Times New Roman" w:cs="Times New Roman"/>
          <w:sz w:val="36"/>
          <w:szCs w:val="36"/>
        </w:rPr>
        <w:t xml:space="preserve"> pris par les Etats peuvent </w:t>
      </w:r>
      <w:r w:rsidR="00D6195D" w:rsidRPr="007A5D58">
        <w:rPr>
          <w:rFonts w:ascii="Times New Roman" w:hAnsi="Times New Roman" w:cs="Times New Roman"/>
          <w:sz w:val="36"/>
          <w:szCs w:val="36"/>
        </w:rPr>
        <w:t xml:space="preserve">par ailleurs </w:t>
      </w:r>
      <w:r w:rsidRPr="007A5D58">
        <w:rPr>
          <w:rFonts w:ascii="Times New Roman" w:hAnsi="Times New Roman" w:cs="Times New Roman"/>
          <w:sz w:val="36"/>
          <w:szCs w:val="36"/>
        </w:rPr>
        <w:t>les exposer à des contraintes financières en cas de non 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lastRenderedPageBreak/>
        <w:t>L’hydraulique, un atout important</w:t>
      </w:r>
    </w:p>
    <w:p w14:paraId="6A0482F2" w14:textId="56E47314"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w:t>
      </w:r>
      <w:proofErr w:type="spellStart"/>
      <w:r>
        <w:rPr>
          <w:rFonts w:ascii="Times New Roman" w:hAnsi="Times New Roman" w:cs="Times New Roman"/>
          <w:sz w:val="36"/>
          <w:szCs w:val="36"/>
        </w:rPr>
        <w:t>Twh</w:t>
      </w:r>
      <w:proofErr w:type="spellEnd"/>
      <w:r>
        <w:rPr>
          <w:rFonts w:ascii="Times New Roman" w:hAnsi="Times New Roman" w:cs="Times New Roman"/>
          <w:sz w:val="36"/>
          <w:szCs w:val="36"/>
        </w:rPr>
        <w:t xml:space="preserve"> en 2022, en baisse sensible de 12 TWh par rapport à </w:t>
      </w:r>
      <w:r w:rsidRPr="007A5D58">
        <w:rPr>
          <w:rFonts w:ascii="Times New Roman" w:hAnsi="Times New Roman" w:cs="Times New Roman"/>
          <w:sz w:val="36"/>
          <w:szCs w:val="36"/>
        </w:rPr>
        <w:t>2021 et à une année comme 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22"/>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23"/>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24"/>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lastRenderedPageBreak/>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18"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0EF35C1"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t>L’hydraulique est très faiblement</w:t>
      </w:r>
      <w:r w:rsidR="00377727">
        <w:rPr>
          <w:rFonts w:ascii="Times New Roman" w:hAnsi="Times New Roman" w:cs="Times New Roman"/>
          <w:sz w:val="36"/>
          <w:szCs w:val="36"/>
        </w:rPr>
        <w:t xml:space="preserve"> </w:t>
      </w:r>
      <w:proofErr w:type="gramStart"/>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proofErr w:type="gramEnd"/>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res sauf pour de nouveaux ouvrages, très limités</w:t>
      </w:r>
      <w:r w:rsidR="005A11E9">
        <w:rPr>
          <w:rStyle w:val="Appelnotedebasdep"/>
          <w:rFonts w:ascii="Times New Roman" w:hAnsi="Times New Roman" w:cs="Times New Roman"/>
          <w:sz w:val="36"/>
          <w:szCs w:val="36"/>
        </w:rPr>
        <w:footnoteReference w:id="25"/>
      </w:r>
      <w:r w:rsidRPr="007A5D58">
        <w:rPr>
          <w:rFonts w:ascii="Times New Roman" w:hAnsi="Times New Roman" w:cs="Times New Roman"/>
          <w:sz w:val="36"/>
          <w:szCs w:val="36"/>
        </w:rPr>
        <w:t xml:space="preserve">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 xml:space="preserve">enjeux d’acceptation de ces ouvrages, et les conditions actuelles de </w:t>
      </w:r>
      <w:r w:rsidRPr="007A5D58">
        <w:rPr>
          <w:rFonts w:ascii="Times New Roman" w:hAnsi="Times New Roman" w:cs="Times New Roman"/>
          <w:sz w:val="36"/>
          <w:szCs w:val="36"/>
        </w:rPr>
        <w:lastRenderedPageBreak/>
        <w:t>financements de long terme</w:t>
      </w:r>
      <w:r w:rsidRPr="007A5D58">
        <w:rPr>
          <w:rStyle w:val="Appelnotedebasdep"/>
          <w:rFonts w:ascii="Times New Roman" w:hAnsi="Times New Roman" w:cs="Times New Roman"/>
          <w:sz w:val="36"/>
          <w:szCs w:val="36"/>
        </w:rPr>
        <w:footnoteReference w:id="26"/>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xml:space="preserve">, en </w:t>
      </w:r>
      <w:r w:rsidR="001B7377">
        <w:rPr>
          <w:rFonts w:ascii="Times New Roman" w:hAnsi="Times New Roman" w:cs="Times New Roman"/>
          <w:sz w:val="36"/>
          <w:szCs w:val="36"/>
        </w:rPr>
        <w:lastRenderedPageBreak/>
        <w:t>base, en production continue, « dans le ruban </w:t>
      </w:r>
      <w:proofErr w:type="gramStart"/>
      <w:r w:rsidR="001B7377">
        <w:rPr>
          <w:rFonts w:ascii="Times New Roman" w:hAnsi="Times New Roman" w:cs="Times New Roman"/>
          <w:sz w:val="36"/>
          <w:szCs w:val="36"/>
        </w:rPr>
        <w:t xml:space="preserve">», </w:t>
      </w:r>
      <w:r>
        <w:rPr>
          <w:rFonts w:ascii="Times New Roman" w:hAnsi="Times New Roman" w:cs="Times New Roman"/>
          <w:sz w:val="36"/>
          <w:szCs w:val="36"/>
        </w:rPr>
        <w:t xml:space="preserve"> dans</w:t>
      </w:r>
      <w:proofErr w:type="gramEnd"/>
      <w:r>
        <w:rPr>
          <w:rFonts w:ascii="Times New Roman" w:hAnsi="Times New Roman" w:cs="Times New Roman"/>
          <w:sz w:val="36"/>
          <w:szCs w:val="36"/>
        </w:rPr>
        <w:t xml:space="preserve">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w:t>
      </w:r>
      <w:proofErr w:type="gramStart"/>
      <w:r>
        <w:rPr>
          <w:rFonts w:ascii="Times New Roman" w:hAnsi="Times New Roman" w:cs="Times New Roman"/>
          <w:sz w:val="36"/>
          <w:szCs w:val="36"/>
        </w:rPr>
        <w:t>( 2</w:t>
      </w:r>
      <w:proofErr w:type="gramEnd"/>
      <w:r>
        <w:rPr>
          <w:rFonts w:ascii="Times New Roman" w:hAnsi="Times New Roman" w:cs="Times New Roman"/>
          <w:sz w:val="36"/>
          <w:szCs w:val="36"/>
        </w:rPr>
        <w:t xml:space="preserve">,9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27"/>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19">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7D360AF6"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A6286D">
        <w:rPr>
          <w:rFonts w:ascii="Times New Roman" w:hAnsi="Times New Roman" w:cs="Times New Roman"/>
          <w:sz w:val="36"/>
          <w:szCs w:val="36"/>
        </w:rPr>
        <w:t>2</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28"/>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 deuxième parc mondial est celui de la France avec 61 370 </w:t>
      </w:r>
      <w:proofErr w:type="spellStart"/>
      <w:r>
        <w:rPr>
          <w:rFonts w:ascii="Times New Roman" w:hAnsi="Times New Roman" w:cs="Times New Roman"/>
          <w:sz w:val="36"/>
          <w:szCs w:val="36"/>
        </w:rPr>
        <w:t>MWe</w:t>
      </w:r>
      <w:proofErr w:type="spellEnd"/>
      <w:r>
        <w:rPr>
          <w:rFonts w:ascii="Times New Roman" w:hAnsi="Times New Roman" w:cs="Times New Roman"/>
          <w:sz w:val="36"/>
          <w:szCs w:val="36"/>
        </w:rPr>
        <w:t xml:space="preserv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02696CD7"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Le parc français est désormais talonné par la Chine avec 53 </w:t>
      </w:r>
      <w:proofErr w:type="gramStart"/>
      <w:r>
        <w:rPr>
          <w:rFonts w:ascii="Times New Roman" w:hAnsi="Times New Roman" w:cs="Times New Roman"/>
          <w:sz w:val="36"/>
          <w:szCs w:val="36"/>
        </w:rPr>
        <w:t xml:space="preserve">180  </w:t>
      </w:r>
      <w:proofErr w:type="spellStart"/>
      <w:r>
        <w:rPr>
          <w:rFonts w:ascii="Times New Roman" w:hAnsi="Times New Roman" w:cs="Times New Roman"/>
          <w:sz w:val="36"/>
          <w:szCs w:val="36"/>
        </w:rPr>
        <w:t>MWe</w:t>
      </w:r>
      <w:proofErr w:type="spellEnd"/>
      <w:proofErr w:type="gramEnd"/>
      <w:r>
        <w:rPr>
          <w:rFonts w:ascii="Times New Roman" w:hAnsi="Times New Roman" w:cs="Times New Roman"/>
          <w:sz w:val="36"/>
          <w:szCs w:val="36"/>
        </w:rPr>
        <w:t xml:space="preserv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20">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13029B18" w14:textId="20FEE953" w:rsidR="00E3192D"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7B68A9">
        <w:rPr>
          <w:rFonts w:ascii="Times New Roman" w:hAnsi="Times New Roman" w:cs="Times New Roman"/>
          <w:sz w:val="36"/>
          <w:szCs w:val="36"/>
        </w:rPr>
        <w:t>2</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w:t>
      </w:r>
    </w:p>
    <w:p w14:paraId="31555EFC" w14:textId="789577DD"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lastRenderedPageBreak/>
        <w:t xml:space="preserve">A noter également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 xml:space="preserve">un accord avec </w:t>
      </w:r>
      <w:proofErr w:type="spellStart"/>
      <w:r w:rsidRPr="00C87F5F">
        <w:rPr>
          <w:rFonts w:ascii="Times New Roman" w:hAnsi="Times New Roman" w:cs="Times New Roman"/>
          <w:sz w:val="36"/>
          <w:szCs w:val="36"/>
        </w:rPr>
        <w:t>Rosatom</w:t>
      </w:r>
      <w:proofErr w:type="spellEnd"/>
      <w:r w:rsidRPr="00C87F5F">
        <w:rPr>
          <w:rFonts w:ascii="Times New Roman" w:hAnsi="Times New Roman" w:cs="Times New Roman"/>
          <w:sz w:val="36"/>
          <w:szCs w:val="36"/>
        </w:rPr>
        <w:t xml:space="preserve">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39.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au sein du G7, le nombre total 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7B1888C" w14:textId="77777777" w:rsidR="00784688" w:rsidRDefault="00784688" w:rsidP="00043981">
      <w:pPr>
        <w:pStyle w:val="Notedebasdepage"/>
        <w:jc w:val="both"/>
        <w:rPr>
          <w:rFonts w:ascii="Times New Roman" w:hAnsi="Times New Roman" w:cs="Times New Roman"/>
          <w:sz w:val="36"/>
          <w:szCs w:val="36"/>
        </w:rPr>
      </w:pPr>
    </w:p>
    <w:p w14:paraId="60C96448" w14:textId="08CF20F9" w:rsidR="00784688" w:rsidRDefault="00784688"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L’incertitude demeure sur la place que présentera le nucléaire dans le mix énergétique mondial de demain. AIEA indique</w:t>
      </w:r>
      <w:r>
        <w:rPr>
          <w:rStyle w:val="Appelnotedebasdep"/>
          <w:rFonts w:ascii="Times New Roman" w:hAnsi="Times New Roman" w:cs="Times New Roman"/>
          <w:sz w:val="36"/>
          <w:szCs w:val="36"/>
        </w:rPr>
        <w:footnoteReference w:id="29"/>
      </w:r>
      <w:r>
        <w:rPr>
          <w:rFonts w:ascii="Times New Roman" w:hAnsi="Times New Roman" w:cs="Times New Roman"/>
          <w:sz w:val="36"/>
          <w:szCs w:val="36"/>
        </w:rPr>
        <w:t xml:space="preserve"> une fourchette de puissance installée d’ici 2050 se situant entre 405 GW et 873 GW, soit une quasi stabilité ou une multiplication du parc installé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0DDCD820"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30"/>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lastRenderedPageBreak/>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31"/>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w:t>
      </w:r>
      <w:proofErr w:type="spellStart"/>
      <w:r w:rsidRPr="00BA670A">
        <w:rPr>
          <w:rFonts w:ascii="Times New Roman" w:hAnsi="Times New Roman" w:cs="Times New Roman"/>
          <w:sz w:val="36"/>
          <w:szCs w:val="36"/>
        </w:rPr>
        <w:t>Nucleare</w:t>
      </w:r>
      <w:proofErr w:type="spellEnd"/>
      <w:r w:rsidRPr="00BA670A">
        <w:rPr>
          <w:rFonts w:ascii="Times New Roman" w:hAnsi="Times New Roman" w:cs="Times New Roman"/>
          <w:sz w:val="36"/>
          <w:szCs w:val="36"/>
        </w:rPr>
        <w:t xml:space="preserve"> avoir signé une Lettre d’Intention conjointe en soutien au développement de 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32"/>
      </w:r>
      <w:r w:rsidR="00006522" w:rsidRPr="00BA670A">
        <w:rPr>
          <w:rFonts w:ascii="Times New Roman" w:hAnsi="Times New Roman" w:cs="Times New Roman"/>
          <w:sz w:val="36"/>
          <w:szCs w:val="36"/>
        </w:rPr>
        <w:t xml:space="preserve">.  </w:t>
      </w:r>
    </w:p>
    <w:p w14:paraId="0383E15D"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dernier,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33"/>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34"/>
      </w:r>
      <w:r w:rsidRPr="00BA670A">
        <w:rPr>
          <w:rFonts w:ascii="Times New Roman" w:hAnsi="Times New Roman" w:cs="Times New Roman"/>
          <w:sz w:val="36"/>
          <w:szCs w:val="36"/>
        </w:rPr>
        <w:t xml:space="preserve">, la République Tchèque, le Royaume Uni. A noter le cas intéressant de la Suède qui avait annoncé un temps dans les années 80/90 vouloir renoncer à l’énergie nucléaire, et qui y revient désormais. </w:t>
      </w:r>
    </w:p>
    <w:p w14:paraId="02724A9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lastRenderedPageBreak/>
        <w:t>Un nouveau pays européen annonce depuis de nombreuses années vouloir être bientôt entrant dans le nucléaire, la Pologne, sans que de nouvelles commandes ait été engagées à ce stade. D’autres pays disposent de réacteurs de recherche, Norvège, Grèce…</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35"/>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 xml:space="preserve">Dix Etats accompagnent la France dans la déclaration conjointe, principalement dans l’est de </w:t>
      </w:r>
      <w:proofErr w:type="gramStart"/>
      <w:r w:rsidRPr="00BA670A">
        <w:rPr>
          <w:rFonts w:ascii="Times New Roman" w:hAnsi="Times New Roman" w:cs="Times New Roman"/>
          <w:sz w:val="36"/>
          <w:szCs w:val="36"/>
        </w:rPr>
        <w:t>l’Europe:</w:t>
      </w:r>
      <w:proofErr w:type="gramEnd"/>
      <w:r w:rsidRPr="00BA670A">
        <w:rPr>
          <w:rFonts w:ascii="Times New Roman" w:hAnsi="Times New Roman" w:cs="Times New Roman"/>
          <w:sz w:val="36"/>
          <w:szCs w:val="36"/>
        </w:rPr>
        <w:t xml:space="preserve"> 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36"/>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Pour la France, si une nouvelle page semble s’ouvrir, notamment après le discours de Belfort du Président de la </w:t>
      </w:r>
      <w:r>
        <w:rPr>
          <w:rFonts w:ascii="Times New Roman" w:hAnsi="Times New Roman" w:cs="Times New Roman"/>
          <w:sz w:val="36"/>
          <w:szCs w:val="36"/>
        </w:rPr>
        <w:lastRenderedPageBreak/>
        <w:t>République le 10 février 2022</w:t>
      </w:r>
      <w:r>
        <w:rPr>
          <w:rStyle w:val="Appelnotedebasdep"/>
          <w:rFonts w:ascii="Times New Roman" w:hAnsi="Times New Roman" w:cs="Times New Roman"/>
          <w:sz w:val="36"/>
          <w:szCs w:val="36"/>
        </w:rPr>
        <w:footnoteReference w:id="37"/>
      </w:r>
      <w:r>
        <w:rPr>
          <w:rFonts w:ascii="Times New Roman" w:hAnsi="Times New Roman" w:cs="Times New Roman"/>
          <w:sz w:val="36"/>
          <w:szCs w:val="36"/>
        </w:rPr>
        <w:t xml:space="preserve">, la fermeture effective et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contribuable. La production annuelle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w:t>
      </w:r>
      <w:proofErr w:type="spellStart"/>
      <w:r w:rsidRPr="00BA670A">
        <w:rPr>
          <w:rFonts w:ascii="Times New Roman" w:hAnsi="Times New Roman" w:cs="Times New Roman"/>
          <w:sz w:val="36"/>
          <w:szCs w:val="36"/>
        </w:rPr>
        <w:t>Fessemheim</w:t>
      </w:r>
      <w:proofErr w:type="spellEnd"/>
      <w:r w:rsidRPr="00BA670A">
        <w:rPr>
          <w:rFonts w:ascii="Times New Roman" w:hAnsi="Times New Roman" w:cs="Times New Roman"/>
          <w:sz w:val="36"/>
          <w:szCs w:val="36"/>
        </w:rPr>
        <w:t xml:space="preserve">,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similaires aux Etats Unis obtiennent des autorisations à 80 ans de durée de fonctionnement</w:t>
      </w:r>
      <w:r w:rsidRPr="00BA670A">
        <w:rPr>
          <w:rStyle w:val="Appelnotedebasdep"/>
          <w:rFonts w:ascii="Times New Roman" w:hAnsi="Times New Roman" w:cs="Times New Roman"/>
          <w:sz w:val="36"/>
          <w:szCs w:val="36"/>
        </w:rPr>
        <w:footnoteReference w:id="38"/>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w:t>
      </w:r>
      <w:proofErr w:type="gramStart"/>
      <w:r>
        <w:rPr>
          <w:rFonts w:ascii="Times New Roman" w:hAnsi="Times New Roman" w:cs="Times New Roman"/>
          <w:sz w:val="36"/>
          <w:szCs w:val="36"/>
        </w:rPr>
        <w:t>européen  Superphénix</w:t>
      </w:r>
      <w:proofErr w:type="gramEnd"/>
      <w:r>
        <w:rPr>
          <w:rFonts w:ascii="Times New Roman" w:hAnsi="Times New Roman" w:cs="Times New Roman"/>
          <w:sz w:val="36"/>
          <w:szCs w:val="36"/>
        </w:rPr>
        <w:t xml:space="preserve"> en 1997, la décision en 2019 de l’arrêt du programme ASTRID a donné un nouveau coup d’arrêt à la filière rapide en France. </w:t>
      </w:r>
      <w:r w:rsidRPr="00BA670A">
        <w:rPr>
          <w:rFonts w:ascii="Times New Roman" w:hAnsi="Times New Roman" w:cs="Times New Roman"/>
          <w:sz w:val="36"/>
          <w:szCs w:val="36"/>
        </w:rPr>
        <w:t xml:space="preserve">Cette filière demeure développée à </w:t>
      </w:r>
      <w:r w:rsidRPr="00BA670A">
        <w:rPr>
          <w:rFonts w:ascii="Times New Roman" w:hAnsi="Times New Roman" w:cs="Times New Roman"/>
          <w:sz w:val="36"/>
          <w:szCs w:val="36"/>
        </w:rPr>
        <w:lastRenderedPageBreak/>
        <w:t>l’international</w:t>
      </w:r>
      <w:r w:rsidRPr="00BA670A">
        <w:rPr>
          <w:rStyle w:val="Appelnotedebasdep"/>
          <w:rFonts w:ascii="Times New Roman" w:hAnsi="Times New Roman" w:cs="Times New Roman"/>
          <w:sz w:val="36"/>
          <w:szCs w:val="36"/>
        </w:rPr>
        <w:footnoteReference w:id="39"/>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408C9193"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40"/>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41"/>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w:t>
      </w:r>
      <w:proofErr w:type="gramStart"/>
      <w:r>
        <w:rPr>
          <w:rFonts w:ascii="Times New Roman" w:hAnsi="Times New Roman" w:cs="Times New Roman"/>
          <w:sz w:val="36"/>
          <w:szCs w:val="36"/>
        </w:rPr>
        <w:t>c’est  l’exigence</w:t>
      </w:r>
      <w:proofErr w:type="gramEnd"/>
      <w:r>
        <w:rPr>
          <w:rFonts w:ascii="Times New Roman" w:hAnsi="Times New Roman" w:cs="Times New Roman"/>
          <w:sz w:val="36"/>
          <w:szCs w:val="36"/>
        </w:rPr>
        <w:t xml:space="preserve"> de sûreté nucléaire qui vise à prévenir le risque d’accident, et, en cas hypothétique d’accident - le risque zéro n’existe pas - à limiter les conséquences pour la population et le territoire sur lequel est implantée l’installation nucléaire. </w:t>
      </w:r>
    </w:p>
    <w:p w14:paraId="3624BA6B" w14:textId="54B3567D"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 xml:space="preserve">de </w:t>
      </w:r>
      <w:proofErr w:type="spellStart"/>
      <w:r w:rsidR="0009750C">
        <w:rPr>
          <w:rFonts w:ascii="Times New Roman" w:hAnsi="Times New Roman" w:cs="Times New Roman"/>
          <w:sz w:val="36"/>
          <w:szCs w:val="36"/>
        </w:rPr>
        <w:t>Three</w:t>
      </w:r>
      <w:proofErr w:type="spellEnd"/>
      <w:r w:rsidR="0009750C">
        <w:rPr>
          <w:rFonts w:ascii="Times New Roman" w:hAnsi="Times New Roman" w:cs="Times New Roman"/>
          <w:sz w:val="36"/>
          <w:szCs w:val="36"/>
        </w:rPr>
        <w:t xml:space="preserve"> Mile Island 2</w:t>
      </w:r>
      <w:r w:rsidR="0009750C">
        <w:rPr>
          <w:rStyle w:val="Appelnotedebasdep"/>
          <w:rFonts w:ascii="Times New Roman" w:hAnsi="Times New Roman" w:cs="Times New Roman"/>
          <w:sz w:val="36"/>
          <w:szCs w:val="36"/>
        </w:rPr>
        <w:footnoteReference w:id="42"/>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 xml:space="preserve">en 1989,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43"/>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w:t>
      </w:r>
      <w:proofErr w:type="spellStart"/>
      <w:r w:rsidR="00C3414F">
        <w:rPr>
          <w:rFonts w:ascii="Times New Roman" w:hAnsi="Times New Roman" w:cs="Times New Roman"/>
          <w:sz w:val="36"/>
          <w:szCs w:val="36"/>
        </w:rPr>
        <w:t>Daichi</w:t>
      </w:r>
      <w:proofErr w:type="spellEnd"/>
      <w:r w:rsidR="00C3414F">
        <w:rPr>
          <w:rFonts w:ascii="Times New Roman" w:hAnsi="Times New Roman" w:cs="Times New Roman"/>
          <w:sz w:val="36"/>
          <w:szCs w:val="36"/>
        </w:rPr>
        <w:t xml:space="preserve"> 123</w:t>
      </w:r>
      <w:r w:rsidR="00C3414F">
        <w:rPr>
          <w:rStyle w:val="Appelnotedebasdep"/>
          <w:rFonts w:ascii="Times New Roman" w:hAnsi="Times New Roman" w:cs="Times New Roman"/>
          <w:sz w:val="36"/>
          <w:szCs w:val="36"/>
        </w:rPr>
        <w:footnoteReference w:id="44"/>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77777777" w:rsidR="006F25B4" w:rsidRDefault="00E15DF2" w:rsidP="006F25B4">
      <w:pPr>
        <w:pStyle w:val="Paragraphedeliste"/>
        <w:numPr>
          <w:ilvl w:val="0"/>
          <w:numId w:val="9"/>
        </w:numPr>
        <w:jc w:val="both"/>
        <w:rPr>
          <w:sz w:val="36"/>
          <w:szCs w:val="36"/>
        </w:rPr>
      </w:pPr>
      <w:r w:rsidRPr="006F25B4">
        <w:rPr>
          <w:sz w:val="36"/>
          <w:szCs w:val="36"/>
        </w:rPr>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 xml:space="preserve">sur les quatre premiers réacteurs sur le site de Fukushima </w:t>
      </w:r>
      <w:proofErr w:type="spellStart"/>
      <w:r w:rsidR="00493410" w:rsidRPr="006F25B4">
        <w:rPr>
          <w:sz w:val="36"/>
          <w:szCs w:val="36"/>
        </w:rPr>
        <w:t>Daichi</w:t>
      </w:r>
      <w:proofErr w:type="spellEnd"/>
      <w:r w:rsidR="00493410">
        <w:rPr>
          <w:rStyle w:val="Appelnotedebasdep"/>
          <w:sz w:val="36"/>
          <w:szCs w:val="36"/>
        </w:rPr>
        <w:footnoteReference w:id="45"/>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37A3A84B" w14:textId="1C7C11C0" w:rsidR="00BA670A"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7F09D7AB"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lastRenderedPageBreak/>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’approches 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des enseignements fondamentaux. Et que les savoirs et connaissances se transmettent aussi par frottement, par compagnonnage et par 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46"/>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w:t>
      </w:r>
      <w:proofErr w:type="spellStart"/>
      <w:r w:rsidR="005025A3">
        <w:rPr>
          <w:rFonts w:ascii="Times New Roman" w:hAnsi="Times New Roman" w:cs="Times New Roman"/>
          <w:sz w:val="36"/>
          <w:szCs w:val="36"/>
        </w:rPr>
        <w:t>cf</w:t>
      </w:r>
      <w:proofErr w:type="spellEnd"/>
      <w:r w:rsidR="005025A3">
        <w:rPr>
          <w:rFonts w:ascii="Times New Roman" w:hAnsi="Times New Roman" w:cs="Times New Roman"/>
          <w:sz w:val="36"/>
          <w:szCs w:val="36"/>
        </w:rPr>
        <w:t xml:space="preserve"> les </w:t>
      </w:r>
      <w:r w:rsidR="005025A3">
        <w:rPr>
          <w:rFonts w:ascii="Times New Roman" w:hAnsi="Times New Roman" w:cs="Times New Roman"/>
          <w:sz w:val="36"/>
          <w:szCs w:val="36"/>
        </w:rPr>
        <w:lastRenderedPageBreak/>
        <w:t xml:space="preserve">enseignements des accidents nucléaire évoqués plus haut </w:t>
      </w:r>
      <w:proofErr w:type="gramStart"/>
      <w:r w:rsidR="005025A3">
        <w:rPr>
          <w:rFonts w:ascii="Times New Roman" w:hAnsi="Times New Roman" w:cs="Times New Roman"/>
          <w:sz w:val="36"/>
          <w:szCs w:val="36"/>
        </w:rPr>
        <w:t xml:space="preserve">-  </w:t>
      </w:r>
      <w:r>
        <w:rPr>
          <w:rFonts w:ascii="Times New Roman" w:hAnsi="Times New Roman" w:cs="Times New Roman"/>
          <w:sz w:val="36"/>
          <w:szCs w:val="36"/>
        </w:rPr>
        <w:t>par</w:t>
      </w:r>
      <w:proofErr w:type="gramEnd"/>
      <w:r>
        <w:rPr>
          <w:rFonts w:ascii="Times New Roman" w:hAnsi="Times New Roman" w:cs="Times New Roman"/>
          <w:sz w:val="36"/>
          <w:szCs w:val="36"/>
        </w:rPr>
        <w:t xml:space="preserve">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47"/>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48"/>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2F5638AD" w14:textId="2883CF3F"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49"/>
      </w:r>
      <w:r>
        <w:rPr>
          <w:rFonts w:ascii="Times New Roman" w:hAnsi="Times New Roman" w:cs="Times New Roman"/>
          <w:sz w:val="36"/>
          <w:szCs w:val="36"/>
        </w:rPr>
        <w:t xml:space="preserve">, 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 xml:space="preserve">Peer </w:t>
      </w:r>
      <w:proofErr w:type="spellStart"/>
      <w:r w:rsidRPr="004B74EB">
        <w:rPr>
          <w:rFonts w:ascii="Times New Roman" w:hAnsi="Times New Roman" w:cs="Times New Roman"/>
          <w:i/>
          <w:iCs/>
          <w:sz w:val="36"/>
          <w:szCs w:val="36"/>
        </w:rPr>
        <w:t>reviews</w:t>
      </w:r>
      <w:proofErr w:type="spellEnd"/>
      <w:r>
        <w:rPr>
          <w:rFonts w:ascii="Times New Roman" w:hAnsi="Times New Roman" w:cs="Times New Roman"/>
          <w:sz w:val="36"/>
          <w:szCs w:val="36"/>
        </w:rPr>
        <w:t xml:space="preserve"> à travers l’association mondiale des exploitants nucléaires, WANO</w:t>
      </w:r>
      <w:r>
        <w:rPr>
          <w:rStyle w:val="Appelnotedebasdep"/>
          <w:rFonts w:ascii="Times New Roman" w:hAnsi="Times New Roman" w:cs="Times New Roman"/>
          <w:sz w:val="36"/>
          <w:szCs w:val="36"/>
        </w:rPr>
        <w:footnoteReference w:id="50"/>
      </w:r>
      <w:r>
        <w:rPr>
          <w:rFonts w:ascii="Times New Roman" w:hAnsi="Times New Roman" w:cs="Times New Roman"/>
          <w:sz w:val="36"/>
          <w:szCs w:val="36"/>
        </w:rPr>
        <w:t xml:space="preserve">, mise en place après l’accident de Tchernobyl. </w:t>
      </w:r>
      <w:bookmarkStart w:id="0" w:name="_Hlk146005901"/>
      <w:r>
        <w:rPr>
          <w:rFonts w:ascii="Times New Roman" w:hAnsi="Times New Roman" w:cs="Times New Roman"/>
          <w:sz w:val="36"/>
          <w:szCs w:val="36"/>
        </w:rPr>
        <w:t xml:space="preserve">Ces organisations, fondamentales pour le partage d’expérience en matière de sûreté nucléaire, tant au niveau des organismes institutionnels qu’au niveau des exploitants nucléaires, doivent, dans la priorité </w:t>
      </w:r>
      <w:proofErr w:type="gramStart"/>
      <w:r w:rsidR="00A237E6">
        <w:rPr>
          <w:rFonts w:ascii="Times New Roman" w:hAnsi="Times New Roman" w:cs="Times New Roman"/>
          <w:sz w:val="36"/>
          <w:szCs w:val="36"/>
        </w:rPr>
        <w:t xml:space="preserve">une </w:t>
      </w:r>
      <w:r>
        <w:rPr>
          <w:rFonts w:ascii="Times New Roman" w:hAnsi="Times New Roman" w:cs="Times New Roman"/>
          <w:sz w:val="36"/>
          <w:szCs w:val="36"/>
        </w:rPr>
        <w:t>devant</w:t>
      </w:r>
      <w:proofErr w:type="gramEnd"/>
      <w:r>
        <w:rPr>
          <w:rFonts w:ascii="Times New Roman" w:hAnsi="Times New Roman" w:cs="Times New Roman"/>
          <w:sz w:val="36"/>
          <w:szCs w:val="36"/>
        </w:rPr>
        <w:t xml:space="preserve"> être </w:t>
      </w:r>
      <w:r w:rsidR="00A237E6">
        <w:rPr>
          <w:rFonts w:ascii="Times New Roman" w:hAnsi="Times New Roman" w:cs="Times New Roman"/>
          <w:sz w:val="36"/>
          <w:szCs w:val="36"/>
        </w:rPr>
        <w:t>accordé</w:t>
      </w:r>
      <w:r>
        <w:rPr>
          <w:rFonts w:ascii="Times New Roman" w:hAnsi="Times New Roman" w:cs="Times New Roman"/>
          <w:sz w:val="36"/>
          <w:szCs w:val="36"/>
        </w:rPr>
        <w:t xml:space="preserve">e à la sûreté nucléaire, pouvoir continuer à exercer leur activité en amont de toute </w:t>
      </w:r>
      <w:r>
        <w:rPr>
          <w:rFonts w:ascii="Times New Roman" w:hAnsi="Times New Roman" w:cs="Times New Roman"/>
          <w:sz w:val="36"/>
          <w:szCs w:val="36"/>
        </w:rPr>
        <w:lastRenderedPageBreak/>
        <w:t>considération d’ordre géopolitique. Les prises de position récentes du G7</w:t>
      </w:r>
      <w:r>
        <w:rPr>
          <w:rStyle w:val="Appelnotedebasdep"/>
          <w:rFonts w:ascii="Times New Roman" w:hAnsi="Times New Roman" w:cs="Times New Roman"/>
          <w:sz w:val="36"/>
          <w:szCs w:val="36"/>
        </w:rPr>
        <w:footnoteReference w:id="51"/>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w:t>
      </w:r>
      <w:proofErr w:type="spellStart"/>
      <w:r>
        <w:rPr>
          <w:rFonts w:ascii="Times New Roman" w:hAnsi="Times New Roman" w:cs="Times New Roman"/>
          <w:sz w:val="36"/>
          <w:szCs w:val="36"/>
        </w:rPr>
        <w:t>interpellantes</w:t>
      </w:r>
      <w:proofErr w:type="spellEnd"/>
      <w:r>
        <w:rPr>
          <w:rFonts w:ascii="Times New Roman" w:hAnsi="Times New Roman" w:cs="Times New Roman"/>
          <w:sz w:val="36"/>
          <w:szCs w:val="36"/>
        </w:rPr>
        <w:t xml:space="preserve">.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52"/>
      </w:r>
      <w:r>
        <w:rPr>
          <w:sz w:val="36"/>
          <w:szCs w:val="36"/>
        </w:rPr>
        <w:t xml:space="preserve">. </w:t>
      </w:r>
    </w:p>
    <w:p w14:paraId="0713CF28" w14:textId="77777777" w:rsidR="00A43168" w:rsidRDefault="00A43168" w:rsidP="00A43168">
      <w:pPr>
        <w:jc w:val="both"/>
        <w:rPr>
          <w:rFonts w:ascii="Times New Roman" w:hAnsi="Times New Roman" w:cs="Times New Roman"/>
          <w:sz w:val="36"/>
          <w:szCs w:val="36"/>
        </w:rPr>
      </w:pPr>
      <w:r>
        <w:rPr>
          <w:rFonts w:ascii="Times New Roman" w:hAnsi="Times New Roman" w:cs="Times New Roman"/>
          <w:sz w:val="36"/>
          <w:szCs w:val="36"/>
        </w:rPr>
        <w:t xml:space="preserve">Comme pour toute installation vitale pour le pays, des installations nucléaires constituent des éléments fondamentaux du patrimoine industriel. Il appartient aux Pouvoirs Publics de définir les menaces, de les prendre en compte pour ce qui relève de la responsabilité des Pouvoirs Publics et d’établir les éléments de robustesse auxquels doit répondre l’exploitant, éléments qui peuvent s’appuyer, mais pas seulement, sur les toutes les dispositions prises en matière de sûreté nucléaire. La confidentialité de toutes les mesures prises dans ce cadre </w:t>
      </w:r>
      <w:r>
        <w:rPr>
          <w:rFonts w:ascii="Times New Roman" w:hAnsi="Times New Roman" w:cs="Times New Roman"/>
          <w:sz w:val="36"/>
          <w:szCs w:val="36"/>
        </w:rPr>
        <w:lastRenderedPageBreak/>
        <w:t xml:space="preserve">constitue un élément dans la défense en profondeur et qui ne s’oppose pas à la transparence requise au titre de la culture de sûreté nucléaire. La représentation nationale et les personnes qui ont à en connaitre au titre de la défense nationale ont accès aux informations utiles et nécessaires. </w:t>
      </w:r>
    </w:p>
    <w:p w14:paraId="415F0084" w14:textId="403A1656" w:rsidR="009F42F6" w:rsidRDefault="00A43168" w:rsidP="00AE7889">
      <w:pPr>
        <w:jc w:val="both"/>
        <w:rPr>
          <w:rFonts w:ascii="Times New Roman" w:hAnsi="Times New Roman" w:cs="Times New Roman"/>
          <w:sz w:val="36"/>
          <w:szCs w:val="36"/>
        </w:rPr>
      </w:pPr>
      <w:r>
        <w:rPr>
          <w:rFonts w:ascii="Times New Roman" w:hAnsi="Times New Roman" w:cs="Times New Roman"/>
          <w:sz w:val="36"/>
          <w:szCs w:val="36"/>
        </w:rPr>
        <w:t>L’exigence de priorité une à la sûreté nucléaire</w:t>
      </w:r>
      <w:r w:rsidR="009F42F6">
        <w:rPr>
          <w:rFonts w:ascii="Times New Roman" w:hAnsi="Times New Roman" w:cs="Times New Roman"/>
          <w:sz w:val="36"/>
          <w:szCs w:val="36"/>
        </w:rPr>
        <w:t xml:space="preserve"> concerne </w:t>
      </w:r>
      <w:r>
        <w:rPr>
          <w:rFonts w:ascii="Times New Roman" w:hAnsi="Times New Roman" w:cs="Times New Roman"/>
          <w:sz w:val="36"/>
          <w:szCs w:val="36"/>
        </w:rPr>
        <w:t xml:space="preserve">ainsi </w:t>
      </w:r>
      <w:r w:rsidR="002A27F8">
        <w:rPr>
          <w:rFonts w:ascii="Times New Roman" w:hAnsi="Times New Roman" w:cs="Times New Roman"/>
          <w:sz w:val="36"/>
          <w:szCs w:val="36"/>
        </w:rPr>
        <w:t xml:space="preserve">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53"/>
      </w:r>
      <w:r w:rsidR="002A27F8">
        <w:rPr>
          <w:rFonts w:ascii="Times New Roman" w:hAnsi="Times New Roman" w:cs="Times New Roman"/>
          <w:sz w:val="36"/>
          <w:szCs w:val="36"/>
        </w:rPr>
        <w:t xml:space="preserve">. </w:t>
      </w:r>
    </w:p>
    <w:p w14:paraId="54FAFD9A" w14:textId="77777777"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54"/>
      </w:r>
      <w:r w:rsidR="004B74EB">
        <w:rPr>
          <w:rFonts w:ascii="Times New Roman" w:hAnsi="Times New Roman" w:cs="Times New Roman"/>
          <w:sz w:val="36"/>
          <w:szCs w:val="36"/>
        </w:rPr>
        <w:t xml:space="preserve"> de fonctionnement. Le retour d’expérience est une source 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que dans l’activité nucléaire, la priorité une donnée à la sûreté nucléaire tire la performance industrielle. Et la faisabilité 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lastRenderedPageBreak/>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w:t>
      </w:r>
      <w:proofErr w:type="gramStart"/>
      <w:r w:rsidRPr="008208BC">
        <w:rPr>
          <w:rFonts w:ascii="Times New Roman" w:hAnsi="Times New Roman" w:cs="Times New Roman"/>
          <w:sz w:val="36"/>
          <w:szCs w:val="36"/>
        </w:rPr>
        <w:t>ont</w:t>
      </w:r>
      <w:proofErr w:type="gramEnd"/>
      <w:r w:rsidRPr="008208BC">
        <w:rPr>
          <w:rFonts w:ascii="Times New Roman" w:hAnsi="Times New Roman" w:cs="Times New Roman"/>
          <w:sz w:val="36"/>
          <w:szCs w:val="36"/>
        </w:rPr>
        <w:t xml:space="preserve">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part de la production nucléaire dans la consommation totale d’eau en France est de 0,49 milliard de m3 sur 4,1 milliards de m3 par an en moyenne sur la période 2010-2019, selon les 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Le 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lastRenderedPageBreak/>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7C2A06C4"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55"/>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w:t>
      </w:r>
      <w:r w:rsidR="000272C5">
        <w:rPr>
          <w:rFonts w:ascii="Times New Roman" w:hAnsi="Times New Roman" w:cs="Times New Roman"/>
          <w:sz w:val="36"/>
          <w:szCs w:val="36"/>
        </w:rPr>
        <w:t xml:space="preserve">durant onze ans, de 2012 à 2023,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56"/>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t>Pour la période 2026-2030, le coût complet ressortirait à 60,7 €2022/MWh selon la CRE</w:t>
      </w:r>
      <w:r w:rsidRPr="00344B5B">
        <w:rPr>
          <w:rStyle w:val="Appelnotedebasdep"/>
          <w:rFonts w:ascii="Times New Roman" w:hAnsi="Times New Roman" w:cs="Times New Roman"/>
          <w:sz w:val="36"/>
          <w:szCs w:val="36"/>
        </w:rPr>
        <w:footnoteReference w:id="57"/>
      </w:r>
      <w:r w:rsidRPr="00344B5B">
        <w:rPr>
          <w:rFonts w:ascii="Times New Roman" w:hAnsi="Times New Roman" w:cs="Times New Roman"/>
          <w:sz w:val="36"/>
          <w:szCs w:val="36"/>
        </w:rPr>
        <w:t xml:space="preserve">, avec une production annuelle 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 xml:space="preserve">Cette estimation du coût complet tient notamment compte des charges d’exploitations (y compris le combustible), des investissements sur le parc existant (poursuite d’exploitation y </w:t>
      </w:r>
      <w:r w:rsidRPr="008208BC">
        <w:rPr>
          <w:rFonts w:ascii="Times New Roman" w:hAnsi="Times New Roman" w:cs="Times New Roman"/>
          <w:i/>
          <w:iCs/>
          <w:sz w:val="36"/>
          <w:szCs w:val="36"/>
        </w:rPr>
        <w:lastRenderedPageBreak/>
        <w:t>compris le grand carénage), de gestion des matières et déchets nucléaires (y compris les charges d’exploitation et 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77777777" w:rsidR="00874FAB" w:rsidRDefault="00874FAB" w:rsidP="00AE7889">
      <w:pPr>
        <w:jc w:val="both"/>
        <w:rPr>
          <w:rFonts w:ascii="Times New Roman" w:hAnsi="Times New Roman" w:cs="Times New Roman"/>
          <w:b/>
          <w:bCs/>
          <w:i/>
          <w:iCs/>
          <w:sz w:val="36"/>
          <w:szCs w:val="36"/>
        </w:rPr>
      </w:pP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153E8D2"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 xml:space="preserve">repose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w:t>
      </w:r>
      <w:proofErr w:type="gramStart"/>
      <w:r>
        <w:rPr>
          <w:rFonts w:ascii="Times New Roman" w:hAnsi="Times New Roman" w:cs="Times New Roman"/>
          <w:sz w:val="36"/>
          <w:szCs w:val="36"/>
        </w:rPr>
        <w:t>d’EDF  a</w:t>
      </w:r>
      <w:proofErr w:type="gramEnd"/>
      <w:r>
        <w:rPr>
          <w:rFonts w:ascii="Times New Roman" w:hAnsi="Times New Roman" w:cs="Times New Roman"/>
          <w:sz w:val="36"/>
          <w:szCs w:val="36"/>
        </w:rPr>
        <w:t xml:space="preserve"> été de 279 TWH, représentant 63 % de la production française d’électricité. Cette valeur était très éloignée des 430 TWH obtenue en 2015 (certes avant la fermeture prématurée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 xml:space="preserve">nce réalisés pour renouveler le combustible, </w:t>
      </w:r>
      <w:r>
        <w:rPr>
          <w:rFonts w:ascii="Times New Roman" w:hAnsi="Times New Roman" w:cs="Times New Roman"/>
          <w:sz w:val="36"/>
          <w:szCs w:val="36"/>
        </w:rPr>
        <w:lastRenderedPageBreak/>
        <w:t>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est 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58"/>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w:t>
      </w:r>
      <w:r w:rsidR="00D81653">
        <w:rPr>
          <w:rFonts w:ascii="Times New Roman" w:hAnsi="Times New Roman" w:cs="Times New Roman"/>
          <w:sz w:val="36"/>
          <w:szCs w:val="36"/>
        </w:rPr>
        <w:lastRenderedPageBreak/>
        <w:t xml:space="preserve">aujourd’hui détecté très rarement à l’échelle internationale sur des réacteurs similaires. </w:t>
      </w:r>
    </w:p>
    <w:p w14:paraId="1F5F8D8E" w14:textId="110550FB"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59"/>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w:t>
      </w:r>
      <w:proofErr w:type="spellStart"/>
      <w:r w:rsidR="002B5C6D" w:rsidRPr="008208BC">
        <w:rPr>
          <w:sz w:val="36"/>
          <w:szCs w:val="36"/>
        </w:rPr>
        <w:t>mm.</w:t>
      </w:r>
      <w:proofErr w:type="spellEnd"/>
      <w:r w:rsidR="002B5C6D" w:rsidRPr="008208BC">
        <w:rPr>
          <w:sz w:val="36"/>
          <w:szCs w:val="36"/>
        </w:rPr>
        <w:t xml:space="preserve"> </w:t>
      </w:r>
      <w:r w:rsidR="00822F63" w:rsidRPr="008208BC">
        <w:rPr>
          <w:sz w:val="36"/>
          <w:szCs w:val="36"/>
        </w:rPr>
        <w:t xml:space="preserve">Cet </w:t>
      </w:r>
      <w:r w:rsidRPr="008208BC">
        <w:rPr>
          <w:sz w:val="36"/>
          <w:szCs w:val="36"/>
        </w:rPr>
        <w:t xml:space="preserve">événement </w:t>
      </w:r>
      <w:r w:rsidR="00822F63" w:rsidRPr="008208BC">
        <w:rPr>
          <w:sz w:val="36"/>
          <w:szCs w:val="36"/>
        </w:rPr>
        <w:t xml:space="preserve">est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de classement des incidents significatifs</w:t>
      </w:r>
      <w:r w:rsidR="002B5C6D" w:rsidRPr="008208BC">
        <w:rPr>
          <w:rStyle w:val="Appelnotedebasdep"/>
          <w:sz w:val="36"/>
          <w:szCs w:val="36"/>
        </w:rPr>
        <w:footnoteReference w:id="60"/>
      </w:r>
      <w:r w:rsidR="002B5C6D" w:rsidRPr="008208BC">
        <w:rPr>
          <w:sz w:val="36"/>
          <w:szCs w:val="36"/>
        </w:rPr>
        <w:t>. « </w:t>
      </w:r>
      <w:r w:rsidR="002B5C6D" w:rsidRPr="008208BC">
        <w:rPr>
          <w:i/>
          <w:iCs/>
          <w:sz w:val="36"/>
          <w:szCs w:val="36"/>
        </w:rPr>
        <w:t>EDF met en œuvre un programme de contrôle sur les soudures réparées des systèmes RIS et RRA. Plus de 150 soudures ont fait l’objet d’expertises en laboratoire et les contrôles se poursuivent, avec 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49D7E367"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contrainte. EDF accélère le contrôle des soudures concernées des systèmes RIS et RRA, afin de tenir compte des</w:t>
      </w:r>
      <w:r w:rsidRPr="008208BC">
        <w:rPr>
          <w:rFonts w:ascii="Times New Roman" w:eastAsia="Times New Roman" w:hAnsi="Times New Roman" w:cs="Times New Roman"/>
          <w:sz w:val="36"/>
          <w:szCs w:val="36"/>
          <w:lang w:eastAsia="fr-FR"/>
        </w:rPr>
        <w:br/>
        <w:t xml:space="preserve">éléments identifiés sur la soudure réparée de Penly 1. </w:t>
      </w:r>
      <w:r w:rsidR="00994344" w:rsidRPr="008208BC">
        <w:rPr>
          <w:rFonts w:ascii="Times New Roman" w:eastAsia="Times New Roman" w:hAnsi="Times New Roman" w:cs="Times New Roman"/>
          <w:sz w:val="36"/>
          <w:szCs w:val="36"/>
          <w:lang w:eastAsia="fr-FR"/>
        </w:rPr>
        <w:t>Le 25 avril 2023, l’ASN a indiqué considérer approprié le calendrier 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w:t>
      </w:r>
      <w:r w:rsidRPr="008208BC">
        <w:rPr>
          <w:rFonts w:ascii="Times New Roman" w:eastAsia="Times New Roman" w:hAnsi="Times New Roman" w:cs="Times New Roman"/>
          <w:sz w:val="36"/>
          <w:szCs w:val="36"/>
          <w:lang w:eastAsia="fr-FR"/>
        </w:rPr>
        <w:lastRenderedPageBreak/>
        <w:t>fourchette 300-330 TWh</w:t>
      </w:r>
      <w:r w:rsidRPr="008208BC">
        <w:rPr>
          <w:rStyle w:val="Appelnotedebasdep"/>
          <w:rFonts w:ascii="Arial" w:hAnsi="Arial" w:cs="Arial"/>
        </w:rPr>
        <w:footnoteReference w:id="61"/>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w:t>
      </w:r>
      <w:proofErr w:type="spellStart"/>
      <w:r w:rsidR="005D573D" w:rsidRPr="008208BC">
        <w:rPr>
          <w:rFonts w:ascii="Times New Roman" w:hAnsi="Times New Roman" w:cs="Times New Roman"/>
          <w:sz w:val="36"/>
          <w:szCs w:val="36"/>
        </w:rPr>
        <w:t>Fessemheim</w:t>
      </w:r>
      <w:proofErr w:type="spellEnd"/>
      <w:r w:rsidR="005D573D" w:rsidRPr="008208BC">
        <w:rPr>
          <w:rFonts w:ascii="Times New Roman" w:hAnsi="Times New Roman" w:cs="Times New Roman"/>
          <w:sz w:val="36"/>
          <w:szCs w:val="36"/>
        </w:rPr>
        <w:t xml:space="preserve"> 12 et le démarrage de Flamanville 3</w:t>
      </w:r>
      <w:r w:rsidR="00E97433" w:rsidRPr="008208BC">
        <w:rPr>
          <w:rStyle w:val="Appelnotedebasdep"/>
          <w:rFonts w:ascii="Times New Roman" w:hAnsi="Times New Roman" w:cs="Times New Roman"/>
          <w:sz w:val="36"/>
          <w:szCs w:val="36"/>
        </w:rPr>
        <w:footnoteReference w:id="62"/>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Pr="003E425A" w:rsidRDefault="003E425A" w:rsidP="002B5C6D">
      <w:pPr>
        <w:pStyle w:val="NormalWeb"/>
        <w:jc w:val="both"/>
        <w:rPr>
          <w:rFonts w:eastAsiaTheme="minorHAnsi"/>
          <w:sz w:val="36"/>
          <w:szCs w:val="36"/>
          <w:lang w:eastAsia="en-US"/>
        </w:rPr>
      </w:pPr>
      <w:r w:rsidRPr="003E425A">
        <w:rPr>
          <w:rFonts w:eastAsiaTheme="minorHAnsi"/>
          <w:sz w:val="36"/>
          <w:szCs w:val="36"/>
          <w:lang w:eastAsia="en-US"/>
        </w:rPr>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w:t>
      </w:r>
      <w:proofErr w:type="gramStart"/>
      <w:r w:rsidR="008208BC" w:rsidRPr="008208BC">
        <w:rPr>
          <w:rFonts w:eastAsiaTheme="minorHAnsi"/>
          <w:sz w:val="36"/>
          <w:szCs w:val="36"/>
          <w:lang w:eastAsia="en-US"/>
        </w:rPr>
        <w:t>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w:t>
      </w:r>
      <w:proofErr w:type="gramEnd"/>
      <w:r w:rsidR="008208BC">
        <w:rPr>
          <w:rFonts w:eastAsiaTheme="minorHAnsi"/>
          <w:sz w:val="36"/>
          <w:szCs w:val="36"/>
          <w:lang w:eastAsia="en-US"/>
        </w:rPr>
        <w:t xml:space="preserve">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63"/>
      </w:r>
      <w:r w:rsidRPr="008208BC">
        <w:rPr>
          <w:rFonts w:eastAsiaTheme="minorHAnsi"/>
          <w:sz w:val="36"/>
          <w:szCs w:val="36"/>
          <w:lang w:eastAsia="en-US"/>
        </w:rPr>
        <w:t>.</w:t>
      </w:r>
      <w:r>
        <w:rPr>
          <w:rFonts w:eastAsiaTheme="minorHAnsi"/>
          <w:sz w:val="36"/>
          <w:szCs w:val="36"/>
          <w:lang w:eastAsia="en-US"/>
        </w:rPr>
        <w:t xml:space="preserve">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tement approfondi avec l’Autorité de Sûreté. Pour les composants devant être réparés</w:t>
      </w:r>
      <w:r w:rsidR="008441F2" w:rsidRPr="00351931">
        <w:rPr>
          <w:rStyle w:val="Appelnotedebasdep"/>
          <w:rFonts w:ascii="Times New Roman" w:hAnsi="Times New Roman" w:cs="Times New Roman"/>
          <w:sz w:val="36"/>
          <w:szCs w:val="36"/>
        </w:rPr>
        <w:footnoteReference w:id="64"/>
      </w:r>
      <w:r w:rsidR="00D24A1B" w:rsidRPr="00351931">
        <w:rPr>
          <w:rFonts w:ascii="Times New Roman" w:hAnsi="Times New Roman" w:cs="Times New Roman"/>
          <w:sz w:val="36"/>
          <w:szCs w:val="36"/>
        </w:rPr>
        <w:t>, EDF a dû mettre en place un programme spécifique 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pilotable, a aussi une incidence sur les conditions d’équilibre offre demande, et </w:t>
      </w:r>
      <w:r w:rsidR="004E5E1C" w:rsidRPr="00351931">
        <w:rPr>
          <w:rFonts w:ascii="Times New Roman" w:hAnsi="Times New Roman" w:cs="Times New Roman"/>
          <w:sz w:val="36"/>
          <w:szCs w:val="36"/>
        </w:rPr>
        <w:lastRenderedPageBreak/>
        <w:t>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2022</w:t>
      </w:r>
      <w:r w:rsidRPr="008208BC">
        <w:rPr>
          <w:rStyle w:val="Appelnotedebasdep"/>
          <w:rFonts w:ascii="Times New Roman" w:hAnsi="Times New Roman" w:cs="Times New Roman"/>
          <w:sz w:val="36"/>
          <w:szCs w:val="36"/>
        </w:rPr>
        <w:footnoteReference w:id="65"/>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66"/>
      </w:r>
      <w:r w:rsidRPr="008208BC">
        <w:rPr>
          <w:i/>
          <w:iCs/>
        </w:rPr>
        <w:t xml:space="preserve">, </w:t>
      </w:r>
      <w:r w:rsidRPr="008208BC">
        <w:rPr>
          <w:rFonts w:ascii="Times New Roman" w:hAnsi="Times New Roman" w:cs="Times New Roman"/>
          <w:i/>
          <w:iCs/>
          <w:sz w:val="36"/>
          <w:szCs w:val="36"/>
        </w:rPr>
        <w:t>la France ne court un risque de « black-out », c’est-à-dire de perte de contrôle totale du système électrique. RTE dispose des moyens de sauvegarde du système électrique 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w:t>
      </w:r>
      <w:r w:rsidR="00351931" w:rsidRPr="008208BC">
        <w:rPr>
          <w:rFonts w:ascii="Times New Roman" w:hAnsi="Times New Roman" w:cs="Times New Roman"/>
          <w:sz w:val="36"/>
          <w:szCs w:val="36"/>
        </w:rPr>
        <w:lastRenderedPageBreak/>
        <w:t xml:space="preserve">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67"/>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entre exportations 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4DF3C273"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w:t>
      </w:r>
      <w:proofErr w:type="gramStart"/>
      <w:r>
        <w:rPr>
          <w:rFonts w:ascii="Times New Roman" w:hAnsi="Times New Roman" w:cs="Times New Roman"/>
          <w:sz w:val="36"/>
          <w:szCs w:val="36"/>
        </w:rPr>
        <w:t xml:space="preserve">d’euros </w:t>
      </w:r>
      <w:r w:rsidR="00791F5B">
        <w:rPr>
          <w:rFonts w:ascii="Times New Roman" w:hAnsi="Times New Roman" w:cs="Times New Roman"/>
          <w:sz w:val="36"/>
          <w:szCs w:val="36"/>
        </w:rPr>
        <w:t xml:space="preserve"> (</w:t>
      </w:r>
      <w:proofErr w:type="gramEnd"/>
      <w:r w:rsidR="00791F5B">
        <w:rPr>
          <w:rFonts w:ascii="Times New Roman" w:hAnsi="Times New Roman" w:cs="Times New Roman"/>
          <w:sz w:val="36"/>
          <w:szCs w:val="36"/>
        </w:rPr>
        <w:t xml:space="preserve">soit un coût d’achat de 424 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(maximum historique d’exportation le 31 mars 2023 à 17 636 MW).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68"/>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30CA1C1D"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t>Le retour durable au plus tôt</w:t>
      </w:r>
      <w:r w:rsidR="002B6F6C">
        <w:rPr>
          <w:rStyle w:val="Appelnotedebasdep"/>
          <w:rFonts w:ascii="Times New Roman" w:hAnsi="Times New Roman" w:cs="Times New Roman"/>
          <w:sz w:val="36"/>
          <w:szCs w:val="36"/>
        </w:rPr>
        <w:footnoteReference w:id="69"/>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constitue un enjeu majeur pour EDF comme pour la France pour rétablir 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lastRenderedPageBreak/>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 xml:space="preserve">pour la construction de plusieurs réacteurs EPR en France, dans le prolongement des réacteurs </w:t>
      </w:r>
      <w:proofErr w:type="gramStart"/>
      <w:r w:rsidRPr="002C3DE2">
        <w:rPr>
          <w:rFonts w:ascii="Times New Roman" w:hAnsi="Times New Roman" w:cs="Times New Roman"/>
          <w:sz w:val="36"/>
          <w:szCs w:val="36"/>
        </w:rPr>
        <w:t>aujourd’hui  opérationnels</w:t>
      </w:r>
      <w:proofErr w:type="gramEnd"/>
      <w:r w:rsidRPr="002C3DE2">
        <w:rPr>
          <w:rFonts w:ascii="Times New Roman" w:hAnsi="Times New Roman" w:cs="Times New Roman"/>
          <w:sz w:val="36"/>
          <w:szCs w:val="36"/>
        </w:rPr>
        <w:t xml:space="preserve">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Taishan</w:t>
      </w:r>
      <w:proofErr w:type="spellEnd"/>
      <w:r w:rsidRPr="002C3DE2">
        <w:rPr>
          <w:rFonts w:ascii="Times New Roman" w:hAnsi="Times New Roman" w:cs="Times New Roman"/>
          <w:sz w:val="36"/>
          <w:szCs w:val="36"/>
        </w:rPr>
        <w:t xml:space="preserve"> 1 et 2 en Chine</w:t>
      </w:r>
      <w:r w:rsidR="009E5450">
        <w:rPr>
          <w:rStyle w:val="Appelnotedebasdep"/>
          <w:rFonts w:ascii="Times New Roman" w:hAnsi="Times New Roman" w:cs="Times New Roman"/>
          <w:sz w:val="36"/>
          <w:szCs w:val="36"/>
        </w:rPr>
        <w:footnoteReference w:id="70"/>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t>2022, d’</w:t>
      </w:r>
      <w:r w:rsidRPr="002C3DE2">
        <w:rPr>
          <w:rFonts w:ascii="Times New Roman" w:hAnsi="Times New Roman" w:cs="Times New Roman"/>
          <w:sz w:val="36"/>
          <w:szCs w:val="36"/>
        </w:rPr>
        <w:t xml:space="preserve"> </w:t>
      </w:r>
      <w:proofErr w:type="spellStart"/>
      <w:r w:rsidRPr="002C3DE2">
        <w:rPr>
          <w:rFonts w:ascii="Times New Roman" w:hAnsi="Times New Roman" w:cs="Times New Roman"/>
          <w:sz w:val="36"/>
          <w:szCs w:val="36"/>
        </w:rPr>
        <w:t>Olkiluoto</w:t>
      </w:r>
      <w:proofErr w:type="spellEnd"/>
      <w:r w:rsidRPr="002C3DE2">
        <w:rPr>
          <w:rFonts w:ascii="Times New Roman" w:hAnsi="Times New Roman" w:cs="Times New Roman"/>
          <w:sz w:val="36"/>
          <w:szCs w:val="36"/>
        </w:rPr>
        <w:t xml:space="preserve"> 3 en Finlande</w:t>
      </w:r>
      <w:r w:rsidR="00C158BD">
        <w:rPr>
          <w:rStyle w:val="Appelnotedebasdep"/>
          <w:rFonts w:ascii="Times New Roman" w:hAnsi="Times New Roman" w:cs="Times New Roman"/>
          <w:sz w:val="36"/>
          <w:szCs w:val="36"/>
        </w:rPr>
        <w:footnoteReference w:id="71"/>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 xml:space="preserve">en décembre 2007, datait de </w:t>
      </w:r>
      <w:proofErr w:type="spellStart"/>
      <w:r w:rsidRPr="002C3DE2">
        <w:rPr>
          <w:rFonts w:ascii="Times New Roman" w:hAnsi="Times New Roman" w:cs="Times New Roman"/>
          <w:sz w:val="36"/>
          <w:szCs w:val="36"/>
        </w:rPr>
        <w:t>Civeaux</w:t>
      </w:r>
      <w:proofErr w:type="spellEnd"/>
      <w:r w:rsidRPr="002C3DE2">
        <w:rPr>
          <w:rFonts w:ascii="Times New Roman" w:hAnsi="Times New Roman" w:cs="Times New Roman"/>
          <w:sz w:val="36"/>
          <w:szCs w:val="36"/>
        </w:rPr>
        <w:t xml:space="preserve">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72"/>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73"/>
      </w:r>
      <w:r w:rsidR="00D77B23">
        <w:rPr>
          <w:rFonts w:ascii="Times New Roman" w:hAnsi="Times New Roman" w:cs="Times New Roman"/>
          <w:sz w:val="36"/>
          <w:szCs w:val="36"/>
        </w:rPr>
        <w:t xml:space="preserve">. </w:t>
      </w:r>
    </w:p>
    <w:p w14:paraId="30DC562B" w14:textId="39D975DC"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 xml:space="preserve">ts et délais de Flamanville 3 est </w:t>
      </w:r>
      <w:proofErr w:type="spellStart"/>
      <w:r w:rsidRPr="002C3DE2">
        <w:rPr>
          <w:rFonts w:ascii="Times New Roman" w:hAnsi="Times New Roman" w:cs="Times New Roman"/>
          <w:sz w:val="36"/>
          <w:szCs w:val="36"/>
        </w:rPr>
        <w:t>dû</w:t>
      </w:r>
      <w:r w:rsidR="00616B5C" w:rsidRPr="002C3DE2">
        <w:rPr>
          <w:rFonts w:ascii="Times New Roman" w:hAnsi="Times New Roman" w:cs="Times New Roman"/>
          <w:sz w:val="36"/>
          <w:szCs w:val="36"/>
        </w:rPr>
        <w:t>e</w:t>
      </w:r>
      <w:proofErr w:type="spellEnd"/>
      <w:r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 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chaudronnerie, tuyauterie, 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associées, avec toutes les parties prenantes 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lastRenderedPageBreak/>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notamment à travers le GIFEN, le Groupement des Industriels Français du Nucléaire</w:t>
      </w:r>
      <w:r w:rsidR="009F49DC">
        <w:rPr>
          <w:rStyle w:val="Appelnotedebasdep"/>
          <w:rFonts w:ascii="Times New Roman" w:hAnsi="Times New Roman" w:cs="Times New Roman"/>
          <w:sz w:val="36"/>
          <w:szCs w:val="36"/>
        </w:rPr>
        <w:footnoteReference w:id="74"/>
      </w:r>
      <w:r w:rsidR="009F49DC">
        <w:rPr>
          <w:rFonts w:ascii="Times New Roman" w:hAnsi="Times New Roman" w:cs="Times New Roman"/>
          <w:sz w:val="36"/>
          <w:szCs w:val="36"/>
        </w:rPr>
        <w:t xml:space="preserve">, </w:t>
      </w:r>
      <w:r>
        <w:rPr>
          <w:rFonts w:ascii="Times New Roman" w:hAnsi="Times New Roman" w:cs="Times New Roman"/>
          <w:sz w:val="36"/>
          <w:szCs w:val="36"/>
        </w:rPr>
        <w:t>pour prendre en compte ces 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75"/>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tout au 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w:t>
      </w:r>
      <w:r w:rsidRPr="004103B3">
        <w:rPr>
          <w:rFonts w:ascii="Times New Roman" w:hAnsi="Times New Roman" w:cs="Times New Roman"/>
          <w:sz w:val="36"/>
          <w:szCs w:val="36"/>
        </w:rPr>
        <w:lastRenderedPageBreak/>
        <w:t>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76"/>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125AEDB0"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proofErr w:type="spellStart"/>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ème</w:t>
      </w:r>
      <w:proofErr w:type="spellEnd"/>
      <w:r w:rsidR="00D608C5" w:rsidRPr="004103B3">
        <w:rPr>
          <w:rFonts w:ascii="Times New Roman" w:hAnsi="Times New Roman" w:cs="Times New Roman"/>
          <w:sz w:val="36"/>
          <w:szCs w:val="36"/>
        </w:rPr>
        <w:t xml:space="preserv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 xml:space="preserve">devra rester dans la limite des 100 euro le MWh voire en dessous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à mes propos.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proofErr w:type="spellStart"/>
      <w:r w:rsidRPr="00BD594C">
        <w:rPr>
          <w:rFonts w:eastAsiaTheme="minorHAnsi"/>
          <w:sz w:val="36"/>
          <w:szCs w:val="36"/>
          <w:lang w:eastAsia="en-US"/>
        </w:rPr>
        <w:t>Mochovce</w:t>
      </w:r>
      <w:proofErr w:type="spellEnd"/>
      <w:r w:rsidRPr="00BD594C">
        <w:rPr>
          <w:rFonts w:eastAsiaTheme="minorHAnsi"/>
          <w:sz w:val="36"/>
          <w:szCs w:val="36"/>
          <w:lang w:eastAsia="en-US"/>
        </w:rPr>
        <w:t xml:space="preserve"> 3, couplé au réseau européen le 31 janvier 2023, est un réacteur à eau pressurisée de conception russe, de 440 MW, 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w:t>
      </w:r>
      <w:proofErr w:type="spellStart"/>
      <w:r w:rsidRPr="004316E9">
        <w:rPr>
          <w:rFonts w:eastAsiaTheme="minorHAnsi"/>
          <w:sz w:val="36"/>
          <w:szCs w:val="36"/>
          <w:lang w:eastAsia="en-US"/>
        </w:rPr>
        <w:t>Olkiluoto</w:t>
      </w:r>
      <w:proofErr w:type="spellEnd"/>
      <w:r w:rsidRPr="004316E9">
        <w:rPr>
          <w:rFonts w:eastAsiaTheme="minorHAnsi"/>
          <w:sz w:val="36"/>
          <w:szCs w:val="36"/>
          <w:lang w:eastAsia="en-US"/>
        </w:rPr>
        <w:t xml:space="preserve"> 3, réacteur EPR, de </w:t>
      </w:r>
      <w:r w:rsidRPr="004316E9">
        <w:rPr>
          <w:rFonts w:eastAsiaTheme="minorHAnsi"/>
          <w:sz w:val="36"/>
          <w:szCs w:val="36"/>
          <w:lang w:eastAsia="en-US"/>
        </w:rPr>
        <w:lastRenderedPageBreak/>
        <w:t xml:space="preserve">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399E7DFA"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 Chine, </w:t>
      </w:r>
      <w:proofErr w:type="spellStart"/>
      <w:r w:rsidRPr="004316E9">
        <w:rPr>
          <w:rFonts w:eastAsiaTheme="minorHAnsi"/>
          <w:sz w:val="36"/>
          <w:szCs w:val="36"/>
          <w:lang w:eastAsia="en-US"/>
        </w:rPr>
        <w:t>Taishan</w:t>
      </w:r>
      <w:proofErr w:type="spellEnd"/>
      <w:r w:rsidRPr="004316E9">
        <w:rPr>
          <w:rFonts w:eastAsiaTheme="minorHAnsi"/>
          <w:sz w:val="36"/>
          <w:szCs w:val="36"/>
          <w:lang w:eastAsia="en-US"/>
        </w:rPr>
        <w:t xml:space="preserve"> 2, réacteur EPR, de 1660 MW, de conception française</w:t>
      </w:r>
      <w:r w:rsidR="003159AB">
        <w:rPr>
          <w:rStyle w:val="Appelnotedebasdep"/>
          <w:rFonts w:eastAsiaTheme="minorHAnsi"/>
          <w:sz w:val="36"/>
          <w:szCs w:val="36"/>
          <w:lang w:eastAsia="en-US"/>
        </w:rPr>
        <w:footnoteReference w:id="77"/>
      </w:r>
      <w:r w:rsidRPr="004316E9">
        <w:rPr>
          <w:rFonts w:eastAsiaTheme="minorHAnsi"/>
          <w:sz w:val="36"/>
          <w:szCs w:val="36"/>
          <w:lang w:eastAsia="en-US"/>
        </w:rPr>
        <w:t xml:space="preserve">, a été couplé le 23 juin 2019 après une durée de </w:t>
      </w:r>
      <w:proofErr w:type="gramStart"/>
      <w:r w:rsidRPr="004316E9">
        <w:rPr>
          <w:rFonts w:eastAsiaTheme="minorHAnsi"/>
          <w:sz w:val="36"/>
          <w:szCs w:val="36"/>
          <w:lang w:eastAsia="en-US"/>
        </w:rPr>
        <w:t>construction  de</w:t>
      </w:r>
      <w:proofErr w:type="gramEnd"/>
      <w:r w:rsidRPr="004316E9">
        <w:rPr>
          <w:rFonts w:eastAsiaTheme="minorHAnsi"/>
          <w:sz w:val="36"/>
          <w:szCs w:val="36"/>
          <w:lang w:eastAsia="en-US"/>
        </w:rPr>
        <w:t xml:space="preserve"> 9,2 ans. </w:t>
      </w:r>
      <w:r w:rsidR="00C962E1">
        <w:rPr>
          <w:rFonts w:eastAsiaTheme="minorHAnsi"/>
          <w:sz w:val="36"/>
          <w:szCs w:val="36"/>
          <w:lang w:eastAsia="en-US"/>
        </w:rPr>
        <w:t xml:space="preserve">Pour mémoire, </w:t>
      </w:r>
      <w:proofErr w:type="spellStart"/>
      <w:r w:rsidR="00C962E1">
        <w:rPr>
          <w:rFonts w:eastAsiaTheme="minorHAnsi"/>
          <w:sz w:val="36"/>
          <w:szCs w:val="36"/>
          <w:lang w:eastAsia="en-US"/>
        </w:rPr>
        <w:t>Taishan</w:t>
      </w:r>
      <w:proofErr w:type="spellEnd"/>
      <w:r w:rsidR="00C962E1">
        <w:rPr>
          <w:rFonts w:eastAsiaTheme="minorHAnsi"/>
          <w:sz w:val="36"/>
          <w:szCs w:val="36"/>
          <w:lang w:eastAsia="en-US"/>
        </w:rPr>
        <w:t xml:space="preserve"> a été couplé pour la première fois le 29 juin 2018, il y a plus de cinq ans maintenant. Les deux premiers EPR ont déjà produit 73 TWh à eux deux à fin 2022.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cette période 2019-2023, pour rester en Chine, ont été </w:t>
      </w:r>
      <w:proofErr w:type="gramStart"/>
      <w:r w:rsidRPr="004316E9">
        <w:rPr>
          <w:rFonts w:eastAsiaTheme="minorHAnsi"/>
          <w:sz w:val="36"/>
          <w:szCs w:val="36"/>
          <w:lang w:eastAsia="en-US"/>
        </w:rPr>
        <w:t>couplés  6</w:t>
      </w:r>
      <w:proofErr w:type="gramEnd"/>
      <w:r w:rsidRPr="004316E9">
        <w:rPr>
          <w:rFonts w:eastAsiaTheme="minorHAnsi"/>
          <w:sz w:val="36"/>
          <w:szCs w:val="36"/>
          <w:lang w:eastAsia="en-US"/>
        </w:rPr>
        <w:t xml:space="preserve">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2 et </w:t>
      </w:r>
      <w:proofErr w:type="spellStart"/>
      <w:r w:rsidRPr="004316E9">
        <w:rPr>
          <w:rFonts w:eastAsiaTheme="minorHAnsi"/>
          <w:sz w:val="36"/>
          <w:szCs w:val="36"/>
          <w:lang w:eastAsia="en-US"/>
        </w:rPr>
        <w:t>Kanupp</w:t>
      </w:r>
      <w:proofErr w:type="spellEnd"/>
      <w:r w:rsidRPr="004316E9">
        <w:rPr>
          <w:rFonts w:eastAsiaTheme="minorHAnsi"/>
          <w:sz w:val="36"/>
          <w:szCs w:val="36"/>
          <w:lang w:eastAsia="en-US"/>
        </w:rPr>
        <w:t xml:space="preserve"> 3, Rep de 1000 MW, couplés 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w:t>
      </w:r>
      <w:proofErr w:type="spellStart"/>
      <w:r w:rsidRPr="004316E9">
        <w:rPr>
          <w:rFonts w:eastAsiaTheme="minorHAnsi"/>
          <w:sz w:val="36"/>
          <w:szCs w:val="36"/>
          <w:lang w:eastAsia="en-US"/>
        </w:rPr>
        <w:t>Saeul</w:t>
      </w:r>
      <w:proofErr w:type="spellEnd"/>
      <w:r w:rsidRPr="004316E9">
        <w:rPr>
          <w:rFonts w:eastAsiaTheme="minorHAnsi"/>
          <w:sz w:val="36"/>
          <w:szCs w:val="36"/>
          <w:lang w:eastAsia="en-US"/>
        </w:rPr>
        <w:t xml:space="preserve"> 2 le 22 avril 2019 et Shin </w:t>
      </w:r>
      <w:proofErr w:type="spellStart"/>
      <w:r w:rsidRPr="004316E9">
        <w:rPr>
          <w:rFonts w:eastAsiaTheme="minorHAnsi"/>
          <w:sz w:val="36"/>
          <w:szCs w:val="36"/>
          <w:lang w:eastAsia="en-US"/>
        </w:rPr>
        <w:t>Hanul</w:t>
      </w:r>
      <w:proofErr w:type="spellEnd"/>
      <w:r w:rsidRPr="004316E9">
        <w:rPr>
          <w:rFonts w:eastAsiaTheme="minorHAnsi"/>
          <w:sz w:val="36"/>
          <w:szCs w:val="36"/>
          <w:lang w:eastAsia="en-US"/>
        </w:rPr>
        <w:t xml:space="preserve">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xml:space="preserve">Aux Emirats Arabes Unis, </w:t>
      </w:r>
      <w:proofErr w:type="spellStart"/>
      <w:r w:rsidRPr="004316E9">
        <w:rPr>
          <w:rFonts w:eastAsiaTheme="minorHAnsi"/>
          <w:sz w:val="36"/>
          <w:szCs w:val="36"/>
          <w:lang w:eastAsia="en-US"/>
        </w:rPr>
        <w:t>Barakah</w:t>
      </w:r>
      <w:proofErr w:type="spellEnd"/>
      <w:r w:rsidRPr="004316E9">
        <w:rPr>
          <w:rFonts w:eastAsiaTheme="minorHAnsi"/>
          <w:sz w:val="36"/>
          <w:szCs w:val="36"/>
          <w:lang w:eastAsia="en-US"/>
        </w:rPr>
        <w:t xml:space="preserve"> 1, 2 et </w:t>
      </w:r>
      <w:proofErr w:type="gramStart"/>
      <w:r w:rsidRPr="004316E9">
        <w:rPr>
          <w:rFonts w:eastAsiaTheme="minorHAnsi"/>
          <w:sz w:val="36"/>
          <w:szCs w:val="36"/>
          <w:lang w:eastAsia="en-US"/>
        </w:rPr>
        <w:t>3 ,</w:t>
      </w:r>
      <w:proofErr w:type="gramEnd"/>
      <w:r w:rsidRPr="004316E9">
        <w:rPr>
          <w:rFonts w:eastAsiaTheme="minorHAnsi"/>
          <w:sz w:val="36"/>
          <w:szCs w:val="36"/>
          <w:lang w:eastAsia="en-US"/>
        </w:rPr>
        <w:t xml:space="preserve">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C962E1">
        <w:rPr>
          <w:rFonts w:eastAsiaTheme="minorHAnsi"/>
          <w:sz w:val="36"/>
          <w:szCs w:val="36"/>
          <w:lang w:eastAsia="en-US"/>
        </w:rPr>
        <w:t xml:space="preserve"> pour cinq réacteurs.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w:t>
      </w:r>
      <w:proofErr w:type="gramStart"/>
      <w:r w:rsidRPr="004316E9">
        <w:rPr>
          <w:rFonts w:eastAsiaTheme="minorHAnsi"/>
          <w:sz w:val="36"/>
          <w:szCs w:val="36"/>
          <w:lang w:eastAsia="en-US"/>
        </w:rPr>
        <w:t>MW ,</w:t>
      </w:r>
      <w:proofErr w:type="gramEnd"/>
      <w:r w:rsidRPr="004316E9">
        <w:rPr>
          <w:rFonts w:eastAsiaTheme="minorHAnsi"/>
          <w:sz w:val="36"/>
          <w:szCs w:val="36"/>
          <w:lang w:eastAsia="en-US"/>
        </w:rPr>
        <w:t xml:space="preserve">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w:t>
      </w:r>
      <w:proofErr w:type="gramStart"/>
      <w:r w:rsidRPr="004316E9">
        <w:rPr>
          <w:rFonts w:eastAsiaTheme="minorHAnsi"/>
          <w:sz w:val="36"/>
          <w:szCs w:val="36"/>
          <w:lang w:eastAsia="en-US"/>
        </w:rPr>
        <w:t>deux  réacteurs</w:t>
      </w:r>
      <w:proofErr w:type="gramEnd"/>
      <w:r w:rsidRPr="004316E9">
        <w:rPr>
          <w:rFonts w:eastAsiaTheme="minorHAnsi"/>
          <w:sz w:val="36"/>
          <w:szCs w:val="36"/>
          <w:lang w:eastAsia="en-US"/>
        </w:rPr>
        <w:t xml:space="preserve">  REP, </w:t>
      </w:r>
      <w:proofErr w:type="spellStart"/>
      <w:r w:rsidRPr="004316E9">
        <w:rPr>
          <w:rFonts w:eastAsiaTheme="minorHAnsi"/>
          <w:sz w:val="36"/>
          <w:szCs w:val="36"/>
          <w:lang w:eastAsia="en-US"/>
        </w:rPr>
        <w:t>Novovoronezh</w:t>
      </w:r>
      <w:proofErr w:type="spellEnd"/>
      <w:r w:rsidRPr="004316E9">
        <w:rPr>
          <w:rFonts w:eastAsiaTheme="minorHAnsi"/>
          <w:sz w:val="36"/>
          <w:szCs w:val="36"/>
          <w:lang w:eastAsia="en-US"/>
        </w:rPr>
        <w:t xml:space="preserve">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Biélorussie, le réacteur de conception russe Balarusian1 a été couplé le 3 novembre 2020 après un délai de construction de 7 ans</w:t>
      </w:r>
      <w:r w:rsidR="00C962E1">
        <w:rPr>
          <w:rFonts w:eastAsiaTheme="minorHAnsi"/>
          <w:sz w:val="36"/>
          <w:szCs w:val="36"/>
          <w:lang w:eastAsia="en-US"/>
        </w:rPr>
        <w:t xml:space="preserve"> et </w:t>
      </w:r>
      <w:proofErr w:type="spellStart"/>
      <w:r w:rsidR="00C962E1">
        <w:rPr>
          <w:rFonts w:eastAsiaTheme="minorHAnsi"/>
          <w:sz w:val="36"/>
          <w:szCs w:val="36"/>
          <w:lang w:eastAsia="en-US"/>
        </w:rPr>
        <w:t>Balarusian</w:t>
      </w:r>
      <w:proofErr w:type="spellEnd"/>
      <w:r w:rsidR="00C962E1">
        <w:rPr>
          <w:rFonts w:eastAsiaTheme="minorHAnsi"/>
          <w:sz w:val="36"/>
          <w:szCs w:val="36"/>
          <w:lang w:eastAsia="en-US"/>
        </w:rPr>
        <w:t xml:space="preserve">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w:t>
      </w:r>
      <w:proofErr w:type="spellStart"/>
      <w:r>
        <w:rPr>
          <w:rFonts w:eastAsiaTheme="minorHAnsi"/>
          <w:sz w:val="36"/>
          <w:szCs w:val="36"/>
          <w:lang w:eastAsia="en-US"/>
        </w:rPr>
        <w:t>Vogtle</w:t>
      </w:r>
      <w:proofErr w:type="spellEnd"/>
      <w:r>
        <w:rPr>
          <w:rFonts w:eastAsiaTheme="minorHAnsi"/>
          <w:sz w:val="36"/>
          <w:szCs w:val="36"/>
          <w:lang w:eastAsia="en-US"/>
        </w:rPr>
        <w:t xml:space="preserv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w:t>
      </w:r>
      <w:r w:rsidR="002A123B">
        <w:rPr>
          <w:rFonts w:eastAsiaTheme="minorHAnsi"/>
          <w:sz w:val="36"/>
          <w:szCs w:val="36"/>
          <w:lang w:eastAsia="en-US"/>
        </w:rPr>
        <w:lastRenderedPageBreak/>
        <w:t>000 années d’expérience de production industrielle cumulée à travers</w:t>
      </w:r>
      <w:r w:rsidR="002A123B">
        <w:rPr>
          <w:rStyle w:val="Appelnotedebasdep"/>
          <w:rFonts w:eastAsiaTheme="minorHAnsi"/>
          <w:sz w:val="36"/>
          <w:szCs w:val="36"/>
          <w:lang w:eastAsia="en-US"/>
        </w:rPr>
        <w:footnoteReference w:id="78"/>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77777777"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 xml:space="preserve">Le coût des trois premières paires d’EPR 2 est annoncé par EDF de 51,7 milliards d’euros, hors coût de financement. </w:t>
      </w:r>
      <w:proofErr w:type="gramStart"/>
      <w:r>
        <w:rPr>
          <w:rFonts w:ascii="Times New Roman" w:hAnsi="Times New Roman" w:cs="Times New Roman"/>
          <w:sz w:val="36"/>
          <w:szCs w:val="36"/>
        </w:rPr>
        <w:t>Hors</w:t>
      </w:r>
      <w:proofErr w:type="gramEnd"/>
      <w:r>
        <w:rPr>
          <w:rFonts w:ascii="Times New Roman" w:hAnsi="Times New Roman" w:cs="Times New Roman"/>
          <w:sz w:val="36"/>
          <w:szCs w:val="36"/>
        </w:rPr>
        <w:t xml:space="preserve"> ce dernier peut intervenir pour un à deux tiers dans le prix final et global du Coût du MWh produit</w:t>
      </w:r>
      <w:r>
        <w:rPr>
          <w:rStyle w:val="Appelnotedebasdep"/>
          <w:rFonts w:ascii="Times New Roman" w:hAnsi="Times New Roman" w:cs="Times New Roman"/>
          <w:sz w:val="36"/>
          <w:szCs w:val="36"/>
        </w:rPr>
        <w:footnoteReference w:id="79"/>
      </w:r>
      <w:r>
        <w:rPr>
          <w:rFonts w:ascii="Times New Roman" w:hAnsi="Times New Roman" w:cs="Times New Roman"/>
          <w:sz w:val="36"/>
          <w:szCs w:val="36"/>
        </w:rPr>
        <w:t xml:space="preserve">. </w:t>
      </w:r>
    </w:p>
    <w:p w14:paraId="00CE83B9" w14:textId="46FF04D7"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80"/>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significative 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81"/>
      </w:r>
      <w:r>
        <w:rPr>
          <w:rFonts w:ascii="Times New Roman" w:hAnsi="Times New Roman" w:cs="Times New Roman"/>
          <w:sz w:val="36"/>
          <w:szCs w:val="36"/>
        </w:rPr>
        <w:t>…</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387CE193" w:rsidR="00E456F1" w:rsidRPr="00F762E8" w:rsidRDefault="00A83C30" w:rsidP="00AF25BE">
      <w:pPr>
        <w:pStyle w:val="Notedebasdepage"/>
        <w:jc w:val="both"/>
        <w:rPr>
          <w:rFonts w:ascii="Times New Roman" w:hAnsi="Times New Roman" w:cs="Times New Roman"/>
          <w:sz w:val="36"/>
          <w:szCs w:val="36"/>
        </w:rPr>
      </w:pPr>
      <w:r w:rsidRPr="00A83C30">
        <w:rPr>
          <w:rFonts w:ascii="Times New Roman" w:hAnsi="Times New Roman" w:cs="Times New Roman"/>
          <w:sz w:val="36"/>
          <w:szCs w:val="36"/>
        </w:rPr>
        <w:t xml:space="preserve">La </w:t>
      </w:r>
      <w:r w:rsidR="00E456F1" w:rsidRPr="00F762E8">
        <w:rPr>
          <w:rFonts w:ascii="Times New Roman" w:hAnsi="Times New Roman" w:cs="Times New Roman"/>
          <w:sz w:val="36"/>
          <w:szCs w:val="36"/>
        </w:rPr>
        <w:t xml:space="preserve">France a un projet de petit réacteur </w:t>
      </w:r>
      <w:proofErr w:type="spellStart"/>
      <w:r w:rsidR="00E456F1" w:rsidRPr="00F762E8">
        <w:rPr>
          <w:rFonts w:ascii="Times New Roman" w:hAnsi="Times New Roman" w:cs="Times New Roman"/>
          <w:sz w:val="36"/>
          <w:szCs w:val="36"/>
        </w:rPr>
        <w:t>Nuward</w:t>
      </w:r>
      <w:proofErr w:type="spellEnd"/>
      <w:r w:rsidR="00BB09CB">
        <w:rPr>
          <w:rStyle w:val="Appelnotedebasdep"/>
          <w:rFonts w:ascii="Times New Roman" w:hAnsi="Times New Roman" w:cs="Times New Roman"/>
          <w:sz w:val="36"/>
          <w:szCs w:val="36"/>
        </w:rPr>
        <w:footnoteReference w:id="82"/>
      </w:r>
      <w:r w:rsidR="00E456F1" w:rsidRPr="00F762E8">
        <w:rPr>
          <w:rFonts w:ascii="Times New Roman" w:hAnsi="Times New Roman" w:cs="Times New Roman"/>
          <w:sz w:val="36"/>
          <w:szCs w:val="36"/>
        </w:rPr>
        <w:t xml:space="preserve">, développé conjointement par EDF, </w:t>
      </w:r>
      <w:proofErr w:type="spellStart"/>
      <w:r w:rsidR="00E456F1" w:rsidRPr="00F762E8">
        <w:rPr>
          <w:rFonts w:ascii="Times New Roman" w:hAnsi="Times New Roman" w:cs="Times New Roman"/>
          <w:sz w:val="36"/>
          <w:szCs w:val="36"/>
        </w:rPr>
        <w:t>Technicatome</w:t>
      </w:r>
      <w:proofErr w:type="spellEnd"/>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w:t>
      </w:r>
      <w:proofErr w:type="spellStart"/>
      <w:r w:rsidR="003674CA">
        <w:rPr>
          <w:rFonts w:ascii="Times New Roman" w:hAnsi="Times New Roman" w:cs="Times New Roman"/>
          <w:sz w:val="36"/>
          <w:szCs w:val="36"/>
        </w:rPr>
        <w:t>Tractebel</w:t>
      </w:r>
      <w:proofErr w:type="spellEnd"/>
      <w:r w:rsidR="003674CA">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d’une puissance de 340 </w:t>
      </w:r>
      <w:proofErr w:type="spellStart"/>
      <w:r w:rsidR="00E456F1" w:rsidRPr="00F762E8">
        <w:rPr>
          <w:rFonts w:ascii="Times New Roman" w:hAnsi="Times New Roman" w:cs="Times New Roman"/>
          <w:sz w:val="36"/>
          <w:szCs w:val="36"/>
        </w:rPr>
        <w:t>MWe</w:t>
      </w:r>
      <w:proofErr w:type="spellEnd"/>
      <w:r w:rsidR="00E456F1" w:rsidRPr="00F762E8">
        <w:rPr>
          <w:rFonts w:ascii="Times New Roman" w:hAnsi="Times New Roman" w:cs="Times New Roman"/>
          <w:sz w:val="36"/>
          <w:szCs w:val="36"/>
        </w:rPr>
        <w:t xml:space="preserve">, avec une technologie issue </w:t>
      </w:r>
      <w:r>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Ce réacteur bénéficie d’une évaluation conjointe des autorités de sûreté françaises, tchèques et finlandaises</w:t>
      </w:r>
      <w:r w:rsidR="00A07442">
        <w:rPr>
          <w:rStyle w:val="Appelnotedebasdep"/>
          <w:rFonts w:ascii="Times New Roman" w:hAnsi="Times New Roman" w:cs="Times New Roman"/>
          <w:sz w:val="36"/>
          <w:szCs w:val="36"/>
        </w:rPr>
        <w:footnoteReference w:id="83"/>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de la première tête de série devrait pouvoir avoir lieu en France en même temps</w:t>
      </w:r>
      <w:r>
        <w:rPr>
          <w:rStyle w:val="Appelnotedebasdep"/>
          <w:rFonts w:ascii="Times New Roman" w:hAnsi="Times New Roman" w:cs="Times New Roman"/>
          <w:sz w:val="36"/>
          <w:szCs w:val="36"/>
        </w:rPr>
        <w:footnoteReference w:id="84"/>
      </w:r>
      <w:r w:rsidR="00F762E8">
        <w:rPr>
          <w:rFonts w:ascii="Times New Roman" w:hAnsi="Times New Roman" w:cs="Times New Roman"/>
          <w:sz w:val="36"/>
          <w:szCs w:val="36"/>
        </w:rPr>
        <w:t xml:space="preserve"> que les premiers réacteurs EPR2, à l’horizon </w:t>
      </w:r>
      <w:r w:rsidR="003674CA">
        <w:rPr>
          <w:rFonts w:ascii="Times New Roman" w:hAnsi="Times New Roman" w:cs="Times New Roman"/>
          <w:sz w:val="36"/>
          <w:szCs w:val="36"/>
        </w:rPr>
        <w:lastRenderedPageBreak/>
        <w:t>2030/</w:t>
      </w:r>
      <w:r w:rsidR="00F762E8">
        <w:rPr>
          <w:rFonts w:ascii="Times New Roman" w:hAnsi="Times New Roman" w:cs="Times New Roman"/>
          <w:sz w:val="36"/>
          <w:szCs w:val="36"/>
        </w:rPr>
        <w:t xml:space="preserve">2035, en un lieu qui reste à déterminer avec la concertation qui va nécessairement avec.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février 2023</w:t>
      </w:r>
      <w:r w:rsidR="00BB09CB">
        <w:rPr>
          <w:rStyle w:val="Appelnotedebasdep"/>
          <w:rFonts w:ascii="Times New Roman" w:hAnsi="Times New Roman" w:cs="Times New Roman"/>
          <w:i/>
          <w:iCs/>
          <w:sz w:val="36"/>
          <w:szCs w:val="36"/>
        </w:rPr>
        <w:footnoteReference w:id="85"/>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77777777"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 xml:space="preserve">innovants n’échappe pas aux considérations précédentes, en premier lieu sur la sûreté nucléaire. </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Les pays européens, au regard des enjeux de sûreté nucléaire et de souveraineté énergétique, devront veiller à développer en Europe l’expertise d’évaluation et la compétence industrielle, dans un contexte de forte concurrence internationale et d’enjeux 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w:t>
      </w:r>
      <w:proofErr w:type="gramStart"/>
      <w:r w:rsidR="00F45B04">
        <w:rPr>
          <w:rFonts w:ascii="Times New Roman" w:hAnsi="Times New Roman" w:cs="Times New Roman"/>
          <w:sz w:val="36"/>
          <w:szCs w:val="36"/>
        </w:rPr>
        <w:t>de  perte</w:t>
      </w:r>
      <w:proofErr w:type="gramEnd"/>
      <w:r w:rsidR="00F45B04">
        <w:rPr>
          <w:rFonts w:ascii="Times New Roman" w:hAnsi="Times New Roman" w:cs="Times New Roman"/>
          <w:sz w:val="36"/>
          <w:szCs w:val="36"/>
        </w:rPr>
        <w:t xml:space="preserve"> d’expertise et de dépendance en conséquence. </w:t>
      </w:r>
      <w:r w:rsidR="00F45B04">
        <w:rPr>
          <w:rStyle w:val="Appelnotedebasdep"/>
          <w:rFonts w:ascii="Times New Roman" w:hAnsi="Times New Roman" w:cs="Times New Roman"/>
          <w:sz w:val="36"/>
          <w:szCs w:val="36"/>
        </w:rPr>
        <w:footnoteReference w:id="86"/>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E148CF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w:t>
      </w:r>
      <w:r w:rsidR="003A6E3D">
        <w:rPr>
          <w:rFonts w:ascii="Times New Roman" w:hAnsi="Times New Roman" w:cs="Times New Roman"/>
          <w:sz w:val="36"/>
          <w:szCs w:val="36"/>
        </w:rPr>
        <w:lastRenderedPageBreak/>
        <w:t xml:space="preserve">de retrouver l’historique des difficultés rencontrées lors de ces projets pour éviter de reproduire des erreurs. </w:t>
      </w:r>
      <w:r w:rsidR="000B31B4">
        <w:rPr>
          <w:rFonts w:ascii="Times New Roman" w:hAnsi="Times New Roman" w:cs="Times New Roman"/>
          <w:sz w:val="36"/>
          <w:szCs w:val="36"/>
        </w:rPr>
        <w:t>Si les installations civiles et militaires doivent demeurer strictement séparées, il convient également de ne pas ignorer les possibilités de développement dans le domaine civil des réacteurs de solutions déployées à des fins militaires</w:t>
      </w:r>
      <w:r w:rsidR="000B31B4">
        <w:rPr>
          <w:rStyle w:val="Appelnotedebasdep"/>
          <w:rFonts w:ascii="Times New Roman" w:hAnsi="Times New Roman" w:cs="Times New Roman"/>
          <w:sz w:val="36"/>
          <w:szCs w:val="36"/>
        </w:rPr>
        <w:footnoteReference w:id="87"/>
      </w:r>
      <w:r w:rsidR="000B31B4">
        <w:rPr>
          <w:rFonts w:ascii="Times New Roman" w:hAnsi="Times New Roman" w:cs="Times New Roman"/>
          <w:sz w:val="36"/>
          <w:szCs w:val="36"/>
        </w:rPr>
        <w:t xml:space="preserve">, en veillant évidemment à ne pas remettre en cause nos propres capacités de défense et à ne pas contribuer à l’escalade et à la prolifération des armements à travers le monde.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 xml:space="preserve">starts </w:t>
      </w:r>
      <w:proofErr w:type="spellStart"/>
      <w:r w:rsidRPr="00E456F1">
        <w:rPr>
          <w:rFonts w:ascii="Times New Roman" w:hAnsi="Times New Roman" w:cs="Times New Roman"/>
          <w:i/>
          <w:iCs/>
          <w:sz w:val="36"/>
          <w:szCs w:val="36"/>
        </w:rPr>
        <w:t>ups</w:t>
      </w:r>
      <w:proofErr w:type="spellEnd"/>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de sûreté nucléaire que du côté des pouvoirs Publics</w:t>
      </w:r>
      <w:r w:rsidR="00FE3492">
        <w:rPr>
          <w:rStyle w:val="Appelnotedebasdep"/>
          <w:rFonts w:ascii="Times New Roman" w:hAnsi="Times New Roman" w:cs="Times New Roman"/>
          <w:sz w:val="36"/>
          <w:szCs w:val="36"/>
        </w:rPr>
        <w:footnoteReference w:id="88"/>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dispositifs numériques pouvant être déployés. La fermeture relativement récente d’un grand nombre de réacteurs de </w:t>
      </w:r>
      <w:r>
        <w:rPr>
          <w:rFonts w:ascii="Times New Roman" w:hAnsi="Times New Roman" w:cs="Times New Roman"/>
          <w:sz w:val="36"/>
          <w:szCs w:val="36"/>
        </w:rPr>
        <w:lastRenderedPageBreak/>
        <w:t xml:space="preserve">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89"/>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proofErr w:type="spellStart"/>
      <w:r w:rsidRPr="00135EBA">
        <w:rPr>
          <w:rFonts w:eastAsiaTheme="minorHAnsi"/>
          <w:sz w:val="36"/>
          <w:szCs w:val="36"/>
          <w:lang w:eastAsia="en-US"/>
        </w:rPr>
        <w:t>led</w:t>
      </w:r>
      <w:proofErr w:type="spellEnd"/>
      <w:r w:rsidRPr="00135EBA">
        <w:rPr>
          <w:rFonts w:eastAsiaTheme="minorHAnsi"/>
          <w:sz w:val="36"/>
          <w:szCs w:val="36"/>
          <w:lang w:eastAsia="en-US"/>
        </w:rPr>
        <w:t>,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w:t>
      </w:r>
      <w:proofErr w:type="gramStart"/>
      <w:r w:rsidRPr="00135EBA">
        <w:rPr>
          <w:rFonts w:eastAsiaTheme="minorHAnsi"/>
          <w:sz w:val="36"/>
          <w:szCs w:val="36"/>
          <w:lang w:eastAsia="en-US"/>
        </w:rPr>
        <w:t>24?</w:t>
      </w:r>
      <w:proofErr w:type="gramEnd"/>
      <w:r w:rsidRPr="00135EBA">
        <w:rPr>
          <w:rFonts w:eastAsiaTheme="minorHAnsi"/>
          <w:sz w:val="36"/>
          <w:szCs w:val="36"/>
          <w:lang w:eastAsia="en-US"/>
        </w:rPr>
        <w:t xml:space="preserve">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1">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lastRenderedPageBreak/>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2228C914"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 xml:space="preserve">Les taxes, dont </w:t>
      </w:r>
      <w:r>
        <w:rPr>
          <w:rFonts w:eastAsiaTheme="minorHAnsi"/>
          <w:sz w:val="36"/>
          <w:szCs w:val="36"/>
          <w:lang w:eastAsia="en-US"/>
        </w:rPr>
        <w:t xml:space="preserve">la </w:t>
      </w:r>
      <w:r w:rsidRPr="002621A7">
        <w:rPr>
          <w:rFonts w:eastAsiaTheme="minorHAnsi"/>
          <w:sz w:val="36"/>
          <w:szCs w:val="36"/>
          <w:lang w:eastAsia="en-US"/>
        </w:rPr>
        <w:t>contribution au service public de l’électricité</w:t>
      </w:r>
      <w:r>
        <w:rPr>
          <w:rFonts w:eastAsiaTheme="minorHAnsi"/>
          <w:sz w:val="36"/>
          <w:szCs w:val="36"/>
          <w:lang w:eastAsia="en-US"/>
        </w:rPr>
        <w:t xml:space="preserve"> qui est re</w:t>
      </w:r>
      <w:r w:rsidRPr="002621A7">
        <w:rPr>
          <w:rFonts w:eastAsiaTheme="minorHAnsi"/>
          <w:sz w:val="36"/>
          <w:szCs w:val="36"/>
          <w:lang w:eastAsia="en-US"/>
        </w:rPr>
        <w:t>versée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90"/>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w:t>
      </w:r>
      <w:proofErr w:type="gramStart"/>
      <w:r w:rsidRPr="00AF5DD6">
        <w:rPr>
          <w:rFonts w:eastAsiaTheme="minorHAnsi"/>
          <w:sz w:val="36"/>
          <w:szCs w:val="36"/>
          <w:lang w:eastAsia="en-US"/>
        </w:rPr>
        <w:t>euro</w:t>
      </w:r>
      <w:proofErr w:type="gramEnd"/>
      <w:r w:rsidRPr="00AF5DD6">
        <w:rPr>
          <w:rFonts w:eastAsiaTheme="minorHAnsi"/>
          <w:sz w:val="36"/>
          <w:szCs w:val="36"/>
          <w:lang w:eastAsia="en-US"/>
        </w:rPr>
        <w:t xml:space="preserve">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France en 2021 contre 128, 3 Euro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La France qui se situait dans les pays les moins chers en 2010, </w:t>
      </w:r>
      <w:proofErr w:type="gramStart"/>
      <w:r w:rsidRPr="00AF5DD6">
        <w:rPr>
          <w:rFonts w:eastAsiaTheme="minorHAnsi"/>
          <w:sz w:val="36"/>
          <w:szCs w:val="36"/>
          <w:lang w:eastAsia="en-US"/>
        </w:rPr>
        <w:t>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proofErr w:type="gramEnd"/>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Elle se rapproche de l’Allemagne, sans encore la dépasser, Allemagne qui a vu aussi ses prix augmenter, 237 euro le </w:t>
      </w:r>
      <w:proofErr w:type="spellStart"/>
      <w:r w:rsidRPr="00AF5DD6">
        <w:rPr>
          <w:rFonts w:eastAsiaTheme="minorHAnsi"/>
          <w:sz w:val="36"/>
          <w:szCs w:val="36"/>
          <w:lang w:eastAsia="en-US"/>
        </w:rPr>
        <w:t>Mwh</w:t>
      </w:r>
      <w:proofErr w:type="spellEnd"/>
      <w:r w:rsidRPr="00AF5DD6">
        <w:rPr>
          <w:rFonts w:eastAsiaTheme="minorHAnsi"/>
          <w:sz w:val="36"/>
          <w:szCs w:val="36"/>
          <w:lang w:eastAsia="en-US"/>
        </w:rPr>
        <w:t xml:space="preserve"> en 2010 </w:t>
      </w:r>
      <w:proofErr w:type="gramStart"/>
      <w:r w:rsidRPr="00AF5DD6">
        <w:rPr>
          <w:rFonts w:eastAsiaTheme="minorHAnsi"/>
          <w:sz w:val="36"/>
          <w:szCs w:val="36"/>
          <w:lang w:eastAsia="en-US"/>
        </w:rPr>
        <w:t>et  319</w:t>
      </w:r>
      <w:proofErr w:type="gramEnd"/>
      <w:r w:rsidRPr="00AF5DD6">
        <w:rPr>
          <w:rFonts w:eastAsiaTheme="minorHAnsi"/>
          <w:sz w:val="36"/>
          <w:szCs w:val="36"/>
          <w:lang w:eastAsia="en-US"/>
        </w:rPr>
        <w:t>,3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lastRenderedPageBreak/>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profonde dépendance de l’Europe au gaz importé, les productions en Norvège ou en Méditerranée pour les plus 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roofErr w:type="gramStart"/>
      <w:r>
        <w:rPr>
          <w:rFonts w:eastAsiaTheme="minorHAnsi"/>
          <w:b/>
          <w:bCs/>
          <w:sz w:val="36"/>
          <w:szCs w:val="36"/>
          <w:lang w:eastAsia="en-US"/>
        </w:rPr>
        <w:lastRenderedPageBreak/>
        <w:t>I</w:t>
      </w:r>
      <w:r w:rsidRPr="00B021BB">
        <w:rPr>
          <w:rFonts w:eastAsiaTheme="minorHAnsi"/>
          <w:b/>
          <w:bCs/>
          <w:sz w:val="36"/>
          <w:szCs w:val="36"/>
          <w:lang w:eastAsia="en-US"/>
        </w:rPr>
        <w:t>nefficacité:</w:t>
      </w:r>
      <w:proofErr w:type="gramEnd"/>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w:t>
      </w:r>
      <w:proofErr w:type="spellStart"/>
      <w:r w:rsidRPr="00B021BB">
        <w:rPr>
          <w:rFonts w:eastAsiaTheme="minorHAnsi"/>
          <w:sz w:val="36"/>
          <w:szCs w:val="36"/>
          <w:lang w:eastAsia="en-US"/>
        </w:rPr>
        <w:t>Aren</w:t>
      </w:r>
      <w:r>
        <w:rPr>
          <w:rFonts w:eastAsiaTheme="minorHAnsi"/>
          <w:sz w:val="36"/>
          <w:szCs w:val="36"/>
          <w:lang w:eastAsia="en-US"/>
        </w:rPr>
        <w:t>h</w:t>
      </w:r>
      <w:proofErr w:type="spellEnd"/>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proofErr w:type="gramStart"/>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w:t>
      </w:r>
      <w:proofErr w:type="gramEnd"/>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bénéficiait d’une performance optimale</w:t>
      </w:r>
      <w:r>
        <w:rPr>
          <w:rStyle w:val="Appelnotedebasdep"/>
          <w:rFonts w:eastAsiaTheme="minorHAnsi"/>
          <w:sz w:val="36"/>
          <w:szCs w:val="36"/>
          <w:lang w:eastAsia="en-US"/>
        </w:rPr>
        <w:footnoteReference w:id="91"/>
      </w:r>
      <w:r>
        <w:rPr>
          <w:rFonts w:eastAsiaTheme="minorHAnsi"/>
          <w:sz w:val="36"/>
          <w:szCs w:val="36"/>
          <w:lang w:eastAsia="en-US"/>
        </w:rPr>
        <w:t>. Marcel Boiteux</w:t>
      </w:r>
      <w:r>
        <w:rPr>
          <w:rStyle w:val="Appelnotedebasdep"/>
          <w:rFonts w:eastAsiaTheme="minorHAnsi"/>
          <w:sz w:val="36"/>
          <w:szCs w:val="36"/>
          <w:lang w:eastAsia="en-US"/>
        </w:rPr>
        <w:footnoteReference w:id="92"/>
      </w:r>
      <w:r>
        <w:rPr>
          <w:rFonts w:eastAsiaTheme="minorHAnsi"/>
          <w:sz w:val="36"/>
          <w:szCs w:val="36"/>
          <w:lang w:eastAsia="en-US"/>
        </w:rPr>
        <w:t xml:space="preserve">, 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w:t>
      </w:r>
      <w:proofErr w:type="gramStart"/>
      <w:r>
        <w:rPr>
          <w:rFonts w:eastAsiaTheme="minorHAnsi"/>
          <w:sz w:val="36"/>
          <w:szCs w:val="36"/>
          <w:lang w:eastAsia="en-US"/>
        </w:rPr>
        <w:t xml:space="preserve">ruban, </w:t>
      </w:r>
      <w:r w:rsidRPr="004103B3">
        <w:rPr>
          <w:rFonts w:eastAsiaTheme="minorHAnsi"/>
          <w:sz w:val="36"/>
          <w:szCs w:val="36"/>
          <w:lang w:eastAsia="en-US"/>
        </w:rPr>
        <w:t xml:space="preserve"> et</w:t>
      </w:r>
      <w:proofErr w:type="gramEnd"/>
      <w:r w:rsidRPr="004103B3">
        <w:rPr>
          <w:rFonts w:eastAsiaTheme="minorHAnsi"/>
          <w:sz w:val="36"/>
          <w:szCs w:val="36"/>
          <w:lang w:eastAsia="en-US"/>
        </w:rPr>
        <w:t xml:space="preserve">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augmenter s’il doit subsister, pour faire perdre des parts de </w:t>
      </w:r>
      <w:r w:rsidRPr="004103B3">
        <w:rPr>
          <w:rFonts w:eastAsiaTheme="minorHAnsi"/>
          <w:sz w:val="36"/>
          <w:szCs w:val="36"/>
          <w:lang w:eastAsia="en-US"/>
        </w:rPr>
        <w:lastRenderedPageBreak/>
        <w:t xml:space="preserve">marché à l’opérateur historique, </w:t>
      </w:r>
      <w:proofErr w:type="spellStart"/>
      <w:r w:rsidRPr="004103B3">
        <w:rPr>
          <w:rFonts w:eastAsiaTheme="minorHAnsi"/>
          <w:sz w:val="36"/>
          <w:szCs w:val="36"/>
          <w:lang w:eastAsia="en-US"/>
        </w:rPr>
        <w:t>fut-il</w:t>
      </w:r>
      <w:proofErr w:type="spellEnd"/>
      <w:r w:rsidRPr="004103B3">
        <w:rPr>
          <w:rFonts w:eastAsiaTheme="minorHAnsi"/>
          <w:sz w:val="36"/>
          <w:szCs w:val="36"/>
          <w:lang w:eastAsia="en-US"/>
        </w:rPr>
        <w:t xml:space="preserve">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D647384"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 xml:space="preserve">La valeur ajoutée d’un opérateur public en situation de monopole ou doté d’une mission de service public, peut  être 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générations futures, lutte contre l’effet des serre climatique, aménagement du territoire, solidarité avec les territoires les plus éloignés ou les plus démunis, lutte contre l’exclusion, prise en compte des données économiques de court et long terme… et répondant aux critères attendus et contrôlés en toute </w:t>
      </w:r>
      <w:r w:rsidRPr="004103B3">
        <w:rPr>
          <w:rFonts w:eastAsiaTheme="minorHAnsi"/>
          <w:sz w:val="36"/>
          <w:szCs w:val="36"/>
          <w:lang w:eastAsia="en-US"/>
        </w:rPr>
        <w:lastRenderedPageBreak/>
        <w:t>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xml:space="preserve">: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 La volatilité et la montée des prix de marchés de gros, alimentées par une restriction de l’offre pilotable (fermeture obligée de </w:t>
      </w:r>
      <w:proofErr w:type="spellStart"/>
      <w:r w:rsidRPr="004103B3">
        <w:rPr>
          <w:rFonts w:eastAsiaTheme="minorHAnsi"/>
          <w:sz w:val="36"/>
          <w:szCs w:val="36"/>
          <w:lang w:eastAsia="en-US"/>
        </w:rPr>
        <w:t>Fessemheim</w:t>
      </w:r>
      <w:proofErr w:type="spellEnd"/>
      <w:r w:rsidRPr="004103B3">
        <w:rPr>
          <w:rFonts w:eastAsiaTheme="minorHAnsi"/>
          <w:sz w:val="36"/>
          <w:szCs w:val="36"/>
          <w:lang w:eastAsia="en-US"/>
        </w:rPr>
        <w:t xml:space="preserve">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en plus dépendants des variations du </w:t>
      </w:r>
      <w:r>
        <w:rPr>
          <w:rFonts w:eastAsiaTheme="minorHAnsi"/>
          <w:sz w:val="36"/>
          <w:szCs w:val="36"/>
          <w:lang w:eastAsia="en-US"/>
        </w:rPr>
        <w:lastRenderedPageBreak/>
        <w:t xml:space="preserve">marché de gros de l’électricité, eux-mêmes de plus en </w:t>
      </w:r>
      <w:proofErr w:type="gramStart"/>
      <w:r>
        <w:rPr>
          <w:rFonts w:eastAsiaTheme="minorHAnsi"/>
          <w:sz w:val="36"/>
          <w:szCs w:val="36"/>
          <w:lang w:eastAsia="en-US"/>
        </w:rPr>
        <w:t>plus  éloignés</w:t>
      </w:r>
      <w:proofErr w:type="gramEnd"/>
      <w:r>
        <w:rPr>
          <w:rFonts w:eastAsiaTheme="minorHAnsi"/>
          <w:sz w:val="36"/>
          <w:szCs w:val="36"/>
          <w:lang w:eastAsia="en-US"/>
        </w:rPr>
        <w:t xml:space="preserve">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Plus fondamentalement, la cause profonde se situe dans la non considération, à ce stade, que le nucléaire, sûr, pilotable et décarboné, puisse constituer un atout stratégique majeur, durable et porteur d’innovation en Europe. Cette perte de confiance dans le nucléaire s’est traduite par l’arrêt de </w:t>
      </w:r>
      <w:proofErr w:type="spellStart"/>
      <w:r>
        <w:rPr>
          <w:rFonts w:eastAsiaTheme="minorHAnsi"/>
          <w:sz w:val="36"/>
          <w:szCs w:val="36"/>
          <w:lang w:eastAsia="en-US"/>
        </w:rPr>
        <w:t>Fessemheim</w:t>
      </w:r>
      <w:proofErr w:type="spellEnd"/>
      <w:r>
        <w:rPr>
          <w:rFonts w:eastAsiaTheme="minorHAnsi"/>
          <w:sz w:val="36"/>
          <w:szCs w:val="36"/>
          <w:lang w:eastAsia="en-US"/>
        </w:rPr>
        <w:t xml:space="preserve"> en France, par la loi sur la programmation Pluriannuelle de l’Energie, toujours en vigueur, prévoyant l’arrêt prématuré d’une douzaine de réacteurs en plus de </w:t>
      </w:r>
      <w:proofErr w:type="spellStart"/>
      <w:r>
        <w:rPr>
          <w:rFonts w:eastAsiaTheme="minorHAnsi"/>
          <w:sz w:val="36"/>
          <w:szCs w:val="36"/>
          <w:lang w:eastAsia="en-US"/>
        </w:rPr>
        <w:t>Fessemheim</w:t>
      </w:r>
      <w:proofErr w:type="spellEnd"/>
      <w:r>
        <w:rPr>
          <w:rFonts w:eastAsiaTheme="minorHAnsi"/>
          <w:sz w:val="36"/>
          <w:szCs w:val="36"/>
          <w:lang w:eastAsia="en-US"/>
        </w:rPr>
        <w:t xml:space="preserve">,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pilotable décarboné (par exemple, diminution du parc nucléaire  sans compensation par un autre moyen pilotable décarboné de même efficacité opérationnelle ) peut conduire à augmenter les 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Européenne. La prise en compte d’un objectif de résultat devrait présider à la prise en compte d’un objectif de moyens. La disponibilité d’une électricité déjà décarbonée en France avec </w:t>
      </w:r>
      <w:r>
        <w:rPr>
          <w:rFonts w:eastAsiaTheme="minorHAnsi"/>
          <w:sz w:val="36"/>
          <w:szCs w:val="36"/>
          <w:lang w:eastAsia="en-US"/>
        </w:rPr>
        <w:lastRenderedPageBreak/>
        <w:t xml:space="preserve">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w:t>
      </w:r>
      <w:proofErr w:type="gramStart"/>
      <w:r w:rsidR="00196E28">
        <w:rPr>
          <w:rFonts w:ascii="Times New Roman" w:hAnsi="Times New Roman" w:cs="Times New Roman"/>
          <w:b/>
          <w:bCs/>
          <w:i/>
          <w:iCs/>
          <w:sz w:val="36"/>
          <w:szCs w:val="36"/>
        </w:rPr>
        <w:t xml:space="preserve">la </w:t>
      </w:r>
      <w:r w:rsidRPr="0081253B">
        <w:rPr>
          <w:rFonts w:ascii="Times New Roman" w:hAnsi="Times New Roman" w:cs="Times New Roman"/>
          <w:b/>
          <w:bCs/>
          <w:i/>
          <w:iCs/>
          <w:sz w:val="36"/>
          <w:szCs w:val="36"/>
        </w:rPr>
        <w:t xml:space="preserve"> haute</w:t>
      </w:r>
      <w:proofErr w:type="gramEnd"/>
      <w:r w:rsidRPr="0081253B">
        <w:rPr>
          <w:rFonts w:ascii="Times New Roman" w:hAnsi="Times New Roman" w:cs="Times New Roman"/>
          <w:b/>
          <w:bCs/>
          <w:i/>
          <w:iCs/>
          <w:sz w:val="36"/>
          <w:szCs w:val="36"/>
        </w:rPr>
        <w:t xml:space="preserv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w:t>
      </w:r>
      <w:proofErr w:type="gramStart"/>
      <w:r w:rsidR="0081253B">
        <w:rPr>
          <w:rFonts w:ascii="Times New Roman" w:hAnsi="Times New Roman" w:cs="Times New Roman"/>
          <w:sz w:val="36"/>
          <w:szCs w:val="36"/>
        </w:rPr>
        <w:t xml:space="preserve">hydraulicité, </w:t>
      </w:r>
      <w:r>
        <w:rPr>
          <w:rFonts w:ascii="Times New Roman" w:hAnsi="Times New Roman" w:cs="Times New Roman"/>
          <w:sz w:val="36"/>
          <w:szCs w:val="36"/>
        </w:rPr>
        <w:t xml:space="preserve"> la</w:t>
      </w:r>
      <w:proofErr w:type="gramEnd"/>
      <w:r>
        <w:rPr>
          <w:rFonts w:ascii="Times New Roman" w:hAnsi="Times New Roman" w:cs="Times New Roman"/>
          <w:sz w:val="36"/>
          <w:szCs w:val="36"/>
        </w:rPr>
        <w:t xml:space="preserve"> guerre en Ukraine en 2022 et une dépendance accrue au gaz sur le marché de l’électricité en Europe, la 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93"/>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94"/>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199733E9"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à terme, le « ruban » pour une durée donnée, constitue un point de repère important.  </w:t>
      </w:r>
    </w:p>
    <w:p w14:paraId="7524EDFF" w14:textId="254BF281" w:rsidR="00387DF7" w:rsidRPr="00387DF7" w:rsidRDefault="00387DF7" w:rsidP="00AE788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w:t>
      </w:r>
      <w:r>
        <w:rPr>
          <w:rFonts w:ascii="Times New Roman" w:hAnsi="Times New Roman" w:cs="Times New Roman"/>
          <w:sz w:val="36"/>
          <w:szCs w:val="36"/>
        </w:rPr>
        <w:lastRenderedPageBreak/>
        <w:t>l’électricité</w:t>
      </w:r>
      <w:r w:rsidR="00BF57C9">
        <w:rPr>
          <w:rStyle w:val="Appelnotedebasdep"/>
          <w:rFonts w:ascii="Times New Roman" w:hAnsi="Times New Roman" w:cs="Times New Roman"/>
          <w:sz w:val="36"/>
          <w:szCs w:val="36"/>
        </w:rPr>
        <w:footnoteReference w:id="95"/>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78A153F0" w14:textId="5768C422" w:rsidR="00D955E3" w:rsidRPr="00D955E3" w:rsidRDefault="00D955E3" w:rsidP="00AE7889">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Euro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puis à 130 Euros le MWH au </w:t>
      </w:r>
      <w:proofErr w:type="spellStart"/>
      <w:r w:rsidR="0028610D">
        <w:rPr>
          <w:rFonts w:ascii="Times New Roman" w:hAnsi="Times New Roman" w:cs="Times New Roman"/>
          <w:sz w:val="36"/>
          <w:szCs w:val="36"/>
        </w:rPr>
        <w:t>deuxiéme</w:t>
      </w:r>
      <w:proofErr w:type="spellEnd"/>
      <w:r w:rsidR="0028610D">
        <w:rPr>
          <w:rFonts w:ascii="Times New Roman" w:hAnsi="Times New Roman" w:cs="Times New Roman"/>
          <w:sz w:val="36"/>
          <w:szCs w:val="36"/>
        </w:rPr>
        <w:t xml:space="preserve"> semestre2023. </w:t>
      </w:r>
      <w:proofErr w:type="gramStart"/>
      <w:r w:rsidR="00E9603C">
        <w:rPr>
          <w:rFonts w:ascii="Times New Roman" w:hAnsi="Times New Roman" w:cs="Times New Roman"/>
          <w:sz w:val="36"/>
          <w:szCs w:val="36"/>
        </w:rPr>
        <w:t>et</w:t>
      </w:r>
      <w:proofErr w:type="gramEnd"/>
      <w:r w:rsidR="00E9603C">
        <w:rPr>
          <w:rFonts w:ascii="Times New Roman" w:hAnsi="Times New Roman" w:cs="Times New Roman"/>
          <w:sz w:val="36"/>
          <w:szCs w:val="36"/>
        </w:rPr>
        <w:t xml:space="preserve"> le ruban 25 pour 2025 s’annonce à </w:t>
      </w:r>
      <w:r w:rsidR="0028610D">
        <w:rPr>
          <w:rFonts w:ascii="Times New Roman" w:hAnsi="Times New Roman" w:cs="Times New Roman"/>
          <w:sz w:val="36"/>
          <w:szCs w:val="36"/>
        </w:rPr>
        <w:t xml:space="preserve">moins de </w:t>
      </w:r>
      <w:r w:rsidR="00E9603C">
        <w:rPr>
          <w:rFonts w:ascii="Times New Roman" w:hAnsi="Times New Roman" w:cs="Times New Roman"/>
          <w:sz w:val="36"/>
          <w:szCs w:val="36"/>
        </w:rPr>
        <w:t>1</w:t>
      </w:r>
      <w:r w:rsidR="00695EB9">
        <w:rPr>
          <w:rFonts w:ascii="Times New Roman" w:hAnsi="Times New Roman" w:cs="Times New Roman"/>
          <w:sz w:val="36"/>
          <w:szCs w:val="36"/>
        </w:rPr>
        <w:t>2</w:t>
      </w:r>
      <w:r w:rsidR="00E9603C">
        <w:rPr>
          <w:rFonts w:ascii="Times New Roman" w:hAnsi="Times New Roman" w:cs="Times New Roman"/>
          <w:sz w:val="36"/>
          <w:szCs w:val="36"/>
        </w:rPr>
        <w:t>0 euro le MWh</w:t>
      </w:r>
      <w:r w:rsidR="0028610D">
        <w:rPr>
          <w:rFonts w:ascii="Times New Roman" w:hAnsi="Times New Roman" w:cs="Times New Roman"/>
          <w:sz w:val="36"/>
          <w:szCs w:val="36"/>
        </w:rPr>
        <w:t xml:space="preserve">, orienté également à la baisse. </w:t>
      </w:r>
    </w:p>
    <w:p w14:paraId="7A058869" w14:textId="77777777"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Pr>
          <w:rFonts w:ascii="Times New Roman" w:hAnsi="Times New Roman" w:cs="Times New Roman"/>
          <w:sz w:val="36"/>
          <w:szCs w:val="36"/>
        </w:rPr>
        <w:t>demeurent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de l’</w:t>
      </w:r>
      <w:proofErr w:type="spellStart"/>
      <w:r>
        <w:rPr>
          <w:rFonts w:ascii="Times New Roman" w:hAnsi="Times New Roman" w:cs="Times New Roman"/>
          <w:sz w:val="36"/>
          <w:szCs w:val="36"/>
        </w:rPr>
        <w:t>Arenh</w:t>
      </w:r>
      <w:proofErr w:type="spellEnd"/>
      <w:r>
        <w:rPr>
          <w:rFonts w:ascii="Times New Roman" w:hAnsi="Times New Roman" w:cs="Times New Roman"/>
          <w:sz w:val="36"/>
          <w:szCs w:val="36"/>
        </w:rPr>
        <w:t xml:space="preserve"> à 42 euros le MWh </w:t>
      </w:r>
      <w:proofErr w:type="gramStart"/>
      <w:r>
        <w:rPr>
          <w:rFonts w:ascii="Times New Roman" w:hAnsi="Times New Roman" w:cs="Times New Roman"/>
          <w:sz w:val="36"/>
          <w:szCs w:val="36"/>
        </w:rPr>
        <w:t>( prix</w:t>
      </w:r>
      <w:proofErr w:type="gramEnd"/>
      <w:r>
        <w:rPr>
          <w:rFonts w:ascii="Times New Roman" w:hAnsi="Times New Roman" w:cs="Times New Roman"/>
          <w:sz w:val="36"/>
          <w:szCs w:val="36"/>
        </w:rPr>
        <w:t xml:space="preserve">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 xml:space="preserve">autour de 100 Euro le </w:t>
      </w:r>
      <w:proofErr w:type="spellStart"/>
      <w:r w:rsidR="00387DF7" w:rsidRPr="00D955E3">
        <w:rPr>
          <w:rFonts w:ascii="Times New Roman" w:hAnsi="Times New Roman" w:cs="Times New Roman"/>
          <w:sz w:val="36"/>
          <w:szCs w:val="36"/>
        </w:rPr>
        <w:t>Mwh</w:t>
      </w:r>
      <w:proofErr w:type="spellEnd"/>
      <w:r w:rsidR="00387DF7" w:rsidRPr="00D955E3">
        <w:rPr>
          <w:rFonts w:ascii="Times New Roman" w:hAnsi="Times New Roman" w:cs="Times New Roman"/>
          <w:sz w:val="36"/>
          <w:szCs w:val="36"/>
        </w:rPr>
        <w:t xml:space="preserve">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4F834547"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s loin également du 100 euro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67E609A3" w14:textId="1E2F4308" w:rsidR="00A739EE"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 xml:space="preserve">. </w:t>
      </w:r>
      <w:r w:rsidR="00154ABE">
        <w:rPr>
          <w:rFonts w:ascii="Times New Roman" w:hAnsi="Times New Roman" w:cs="Times New Roman"/>
          <w:sz w:val="36"/>
          <w:szCs w:val="36"/>
        </w:rPr>
        <w:t xml:space="preserve"> Rappelons que la production d’électricité par le gaz est demeurée inférieure à 10 % en France en 2022, 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96"/>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w:t>
      </w:r>
      <w:r w:rsidRPr="004103B3">
        <w:rPr>
          <w:rFonts w:ascii="Times New Roman" w:hAnsi="Times New Roman" w:cs="Times New Roman"/>
          <w:sz w:val="36"/>
          <w:szCs w:val="36"/>
        </w:rPr>
        <w:lastRenderedPageBreak/>
        <w:t xml:space="preserve">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97"/>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w:t>
      </w:r>
      <w:proofErr w:type="gramStart"/>
      <w:r w:rsidRPr="00A41181">
        <w:rPr>
          <w:rFonts w:ascii="Times New Roman" w:hAnsi="Times New Roman" w:cs="Times New Roman"/>
          <w:sz w:val="36"/>
          <w:szCs w:val="36"/>
        </w:rPr>
        <w:t>réglementés  à</w:t>
      </w:r>
      <w:proofErr w:type="gramEnd"/>
      <w:r w:rsidRPr="00A41181">
        <w:rPr>
          <w:rFonts w:ascii="Times New Roman" w:hAnsi="Times New Roman" w:cs="Times New Roman"/>
          <w:sz w:val="36"/>
          <w:szCs w:val="36"/>
        </w:rPr>
        <w:t xml:space="preserve">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98"/>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lastRenderedPageBreak/>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99"/>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100"/>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101"/>
      </w:r>
      <w:r w:rsidRPr="004103B3">
        <w:rPr>
          <w:rFonts w:ascii="Times New Roman" w:hAnsi="Times New Roman" w:cs="Times New Roman"/>
          <w:sz w:val="36"/>
          <w:szCs w:val="36"/>
        </w:rPr>
        <w:t xml:space="preserve">… sans 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42B6A3CC" w14:textId="0380F3D1" w:rsidR="00A107F1" w:rsidRPr="00BF57C9" w:rsidRDefault="003E425A" w:rsidP="00A107F1">
      <w:pPr>
        <w:spacing w:before="200" w:after="0" w:line="216" w:lineRule="auto"/>
        <w:rPr>
          <w:rFonts w:ascii="Times New Roman" w:hAnsi="Times New Roman" w:cs="Times New Roman"/>
          <w:sz w:val="36"/>
          <w:szCs w:val="36"/>
        </w:rPr>
      </w:pPr>
      <w:r w:rsidRPr="00A41181">
        <w:rPr>
          <w:rFonts w:ascii="Times New Roman" w:hAnsi="Times New Roman" w:cs="Times New Roman"/>
          <w:sz w:val="36"/>
          <w:szCs w:val="36"/>
        </w:rPr>
        <w:t>EDF par la structure de long terme de son mix énergétique</w:t>
      </w:r>
      <w:r w:rsidR="006A0E90" w:rsidRPr="00A41181">
        <w:rPr>
          <w:rFonts w:ascii="Times New Roman" w:hAnsi="Times New Roman" w:cs="Times New Roman"/>
          <w:sz w:val="36"/>
          <w:szCs w:val="36"/>
        </w:rPr>
        <w:t xml:space="preserve"> </w:t>
      </w:r>
      <w:proofErr w:type="gramStart"/>
      <w:r w:rsidR="00A41181" w:rsidRPr="00A41181">
        <w:rPr>
          <w:rFonts w:ascii="Times New Roman" w:hAnsi="Times New Roman" w:cs="Times New Roman"/>
          <w:sz w:val="36"/>
          <w:szCs w:val="36"/>
        </w:rPr>
        <w:t>demeure</w:t>
      </w:r>
      <w:r w:rsidR="006A0E90" w:rsidRPr="00A41181">
        <w:rPr>
          <w:rFonts w:ascii="Times New Roman" w:hAnsi="Times New Roman" w:cs="Times New Roman"/>
          <w:sz w:val="36"/>
          <w:szCs w:val="36"/>
        </w:rPr>
        <w:t xml:space="preserve">  </w:t>
      </w:r>
      <w:r w:rsidRPr="00A41181">
        <w:rPr>
          <w:rFonts w:ascii="Times New Roman" w:hAnsi="Times New Roman" w:cs="Times New Roman"/>
          <w:sz w:val="36"/>
          <w:szCs w:val="36"/>
        </w:rPr>
        <w:t>cependant</w:t>
      </w:r>
      <w:proofErr w:type="gramEnd"/>
      <w:r w:rsidR="00A41181">
        <w:rPr>
          <w:rFonts w:ascii="Times New Roman" w:hAnsi="Times New Roman" w:cs="Times New Roman"/>
          <w:sz w:val="36"/>
          <w:szCs w:val="36"/>
        </w:rPr>
        <w:t xml:space="preserve">, malgré toutes ces tempêtes, </w:t>
      </w:r>
      <w:r w:rsidR="006A0E90" w:rsidRPr="00A41181">
        <w:rPr>
          <w:rFonts w:ascii="Times New Roman" w:hAnsi="Times New Roman" w:cs="Times New Roman"/>
          <w:sz w:val="36"/>
          <w:szCs w:val="36"/>
        </w:rPr>
        <w:t>en capacité de</w:t>
      </w:r>
      <w:r w:rsidRPr="00A41181">
        <w:rPr>
          <w:rFonts w:ascii="Times New Roman" w:hAnsi="Times New Roman" w:cs="Times New Roman"/>
          <w:sz w:val="36"/>
          <w:szCs w:val="36"/>
        </w:rPr>
        <w:t xml:space="preserve"> conclure des contrats de long terme , ex</w:t>
      </w:r>
      <w:r w:rsidR="006A0E90" w:rsidRPr="00A41181">
        <w:rPr>
          <w:rFonts w:ascii="Times New Roman" w:hAnsi="Times New Roman" w:cs="Times New Roman"/>
          <w:sz w:val="36"/>
          <w:szCs w:val="36"/>
        </w:rPr>
        <w:t>emple</w:t>
      </w:r>
      <w:r w:rsidRPr="00A41181">
        <w:rPr>
          <w:rFonts w:ascii="Times New Roman" w:hAnsi="Times New Roman" w:cs="Times New Roman"/>
          <w:sz w:val="36"/>
          <w:szCs w:val="36"/>
        </w:rPr>
        <w:t xml:space="preserve"> en juin 2023,  22 TWh sur 10 ans pour un producteur d’aluminium</w:t>
      </w:r>
      <w:r w:rsidRPr="00A41181">
        <w:rPr>
          <w:rStyle w:val="Appelnotedebasdep"/>
          <w:rFonts w:ascii="Times New Roman" w:hAnsi="Times New Roman" w:cs="Times New Roman"/>
          <w:sz w:val="36"/>
          <w:szCs w:val="36"/>
        </w:rPr>
        <w:footnoteReference w:id="102"/>
      </w:r>
      <w:r w:rsidRPr="00A41181">
        <w:rPr>
          <w:rFonts w:ascii="Times New Roman" w:hAnsi="Times New Roman" w:cs="Times New Roman"/>
          <w:sz w:val="36"/>
          <w:szCs w:val="36"/>
        </w:rPr>
        <w:t>.</w:t>
      </w:r>
      <w:r>
        <w:rPr>
          <w:rFonts w:ascii="Times New Roman" w:hAnsi="Times New Roman" w:cs="Times New Roman"/>
          <w:sz w:val="36"/>
          <w:szCs w:val="36"/>
        </w:rPr>
        <w:t xml:space="preserve"> </w:t>
      </w:r>
    </w:p>
    <w:p w14:paraId="73B6948F" w14:textId="2AAD5588" w:rsidR="00A107F1" w:rsidRPr="00BF57C9" w:rsidRDefault="00A107F1" w:rsidP="00A107F1">
      <w:pPr>
        <w:spacing w:before="200" w:after="0" w:line="216" w:lineRule="auto"/>
        <w:rPr>
          <w:rFonts w:ascii="Times New Roman" w:hAnsi="Times New Roman" w:cs="Times New Roman"/>
          <w:sz w:val="36"/>
          <w:szCs w:val="36"/>
        </w:rPr>
      </w:pPr>
    </w:p>
    <w:p w14:paraId="64672BE8" w14:textId="77777777" w:rsidR="003B310C" w:rsidRDefault="003B310C" w:rsidP="008A7B2D">
      <w:pPr>
        <w:spacing w:line="216" w:lineRule="auto"/>
        <w:jc w:val="both"/>
        <w:rPr>
          <w:rFonts w:ascii="Times New Roman" w:hAnsi="Times New Roman" w:cs="Times New Roman"/>
          <w:b/>
          <w:bCs/>
          <w:sz w:val="36"/>
          <w:szCs w:val="36"/>
        </w:rPr>
      </w:pPr>
    </w:p>
    <w:p w14:paraId="393D2890" w14:textId="61B64EC9" w:rsidR="00EC463C" w:rsidRDefault="00EC463C"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p>
    <w:p w14:paraId="459FF47D" w14:textId="77777777" w:rsidR="00B7298B" w:rsidRDefault="00B7298B" w:rsidP="00B7298B">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3"/>
                    <a:stretch>
                      <a:fillRect/>
                    </a:stretch>
                  </pic:blipFill>
                  <pic:spPr>
                    <a:xfrm>
                      <a:off x="0" y="0"/>
                      <a:ext cx="5760720" cy="3240405"/>
                    </a:xfrm>
                    <a:prstGeom prst="rect">
                      <a:avLst/>
                    </a:prstGeom>
                  </pic:spPr>
                </pic:pic>
              </a:graphicData>
            </a:graphic>
          </wp:inline>
        </w:drawing>
      </w:r>
    </w:p>
    <w:p w14:paraId="4781551E"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xml:space="preserve">, correspondrait à une chute brutale, volontaire ou subie, de la demande, avec décroissance rapide et démission des acteurs, avec incidence directe sur le niveau de vie et le lien social, avec remise en cause de notre bien-être en société et érosion rapide de notre patrimoine Le risque d’un tel recul, 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4ED35F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Nous venons de connaitre des situations </w:t>
      </w:r>
      <w:proofErr w:type="gramStart"/>
      <w:r>
        <w:rPr>
          <w:rFonts w:ascii="Times New Roman" w:hAnsi="Times New Roman" w:cs="Times New Roman"/>
          <w:sz w:val="36"/>
          <w:szCs w:val="36"/>
        </w:rPr>
        <w:t>déplorables,  une</w:t>
      </w:r>
      <w:proofErr w:type="gramEnd"/>
      <w:r>
        <w:rPr>
          <w:rFonts w:ascii="Times New Roman" w:hAnsi="Times New Roman" w:cs="Times New Roman"/>
          <w:sz w:val="36"/>
          <w:szCs w:val="36"/>
        </w:rPr>
        <w:t xml:space="preserve"> </w:t>
      </w:r>
      <w:proofErr w:type="spellStart"/>
      <w:r w:rsidR="00A41181">
        <w:rPr>
          <w:rFonts w:ascii="Times New Roman" w:hAnsi="Times New Roman" w:cs="Times New Roman"/>
          <w:sz w:val="36"/>
          <w:szCs w:val="36"/>
        </w:rPr>
        <w:t>A</w:t>
      </w:r>
      <w:r>
        <w:rPr>
          <w:rFonts w:ascii="Times New Roman" w:hAnsi="Times New Roman" w:cs="Times New Roman"/>
          <w:sz w:val="36"/>
          <w:szCs w:val="36"/>
        </w:rPr>
        <w:t>renh</w:t>
      </w:r>
      <w:proofErr w:type="spellEnd"/>
      <w:r>
        <w:rPr>
          <w:rFonts w:ascii="Times New Roman" w:hAnsi="Times New Roman" w:cs="Times New Roman"/>
          <w:sz w:val="36"/>
          <w:szCs w:val="36"/>
        </w:rPr>
        <w:t xml:space="preserve"> qui a été une catastrophe, et pour le consommateur, et pour l’opérateur historique et pour le contribuable ! L’arrêt de </w:t>
      </w:r>
      <w:proofErr w:type="spellStart"/>
      <w:r>
        <w:rPr>
          <w:rFonts w:ascii="Times New Roman" w:hAnsi="Times New Roman" w:cs="Times New Roman"/>
          <w:sz w:val="36"/>
          <w:szCs w:val="36"/>
        </w:rPr>
        <w:t>Fessemheim</w:t>
      </w:r>
      <w:proofErr w:type="spellEnd"/>
      <w:r>
        <w:rPr>
          <w:rFonts w:ascii="Times New Roman" w:hAnsi="Times New Roman" w:cs="Times New Roman"/>
          <w:sz w:val="36"/>
          <w:szCs w:val="36"/>
        </w:rPr>
        <w:t xml:space="preserve"> mais aussi d’autres réacteurs en excellent état de marche en Europe. Des prix de folie sur le marché.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 xml:space="preserve">de poursuivre avec des bulles successives qui nous explosent successivement à la figure au détriment du plus grand nombre, avec quelques petites castes hors sol qui s’imagineraient pouvoir à elles-seules détenir la clé magique.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w:t>
      </w:r>
      <w:proofErr w:type="gramStart"/>
      <w:r w:rsidRPr="00A41181">
        <w:rPr>
          <w:rFonts w:ascii="Times New Roman" w:hAnsi="Times New Roman" w:cs="Times New Roman"/>
          <w:sz w:val="36"/>
          <w:szCs w:val="36"/>
        </w:rPr>
        <w:t>mêmes,  et</w:t>
      </w:r>
      <w:proofErr w:type="gramEnd"/>
      <w:r w:rsidRPr="00A41181">
        <w:rPr>
          <w:rFonts w:ascii="Times New Roman" w:hAnsi="Times New Roman" w:cs="Times New Roman"/>
          <w:sz w:val="36"/>
          <w:szCs w:val="36"/>
        </w:rPr>
        <w:t xml:space="preserve">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Mais aussi en retravaillant notre gouvernance publique qui préside à nos destinées, qu’elle soit au niveau France ou au niveau Europe, voire mondial. En rétablissant ce qu’il nous appartient de faire dans le quotidien, et ce qui relève de l’intérêt 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5B920022" w:rsidR="00FC7D3A" w:rsidRDefault="00C27316"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1BFF9B" wp14:editId="09AD56D5">
            <wp:extent cx="5760720" cy="3063240"/>
            <wp:effectExtent l="0" t="0" r="0" b="3810"/>
            <wp:docPr id="1275632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2954" name="Image 1275632954"/>
                    <pic:cNvPicPr/>
                  </pic:nvPicPr>
                  <pic:blipFill>
                    <a:blip r:embed="rId24">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3D2430B1" w14:textId="3162E275"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cette demande en électricité, avec tous les enjeux sociaux, économiques, environnementaux qui y sont associés</w:t>
      </w:r>
      <w:r w:rsidR="00C27316">
        <w:rPr>
          <w:rFonts w:ascii="Times New Roman" w:hAnsi="Times New Roman" w:cs="Times New Roman"/>
          <w:sz w:val="36"/>
          <w:szCs w:val="36"/>
        </w:rPr>
        <w:t>, avec notamment la pénétration de l’électricité décarbonée dans 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en perspective d’une électricité disponible, accessible et durable pour le plus grand nombre. </w:t>
      </w:r>
      <w:r w:rsidR="0034141D">
        <w:rPr>
          <w:rFonts w:ascii="Times New Roman" w:hAnsi="Times New Roman" w:cs="Times New Roman"/>
          <w:sz w:val="36"/>
          <w:szCs w:val="36"/>
        </w:rPr>
        <w:t xml:space="preserve">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xml:space="preserve">, et la </w:t>
      </w:r>
      <w:proofErr w:type="spellStart"/>
      <w:r w:rsidR="0041546F">
        <w:rPr>
          <w:rFonts w:ascii="Times New Roman" w:hAnsi="Times New Roman" w:cs="Times New Roman"/>
          <w:sz w:val="36"/>
          <w:szCs w:val="36"/>
        </w:rPr>
        <w:t>contre-partie</w:t>
      </w:r>
      <w:proofErr w:type="spellEnd"/>
      <w:r w:rsidR="0041546F">
        <w:rPr>
          <w:rFonts w:ascii="Times New Roman" w:hAnsi="Times New Roman" w:cs="Times New Roman"/>
          <w:sz w:val="36"/>
          <w:szCs w:val="36"/>
        </w:rPr>
        <w:t xml:space="preserv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03"/>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 xml:space="preserve">constituer l’alpha et </w:t>
      </w:r>
      <w:proofErr w:type="spellStart"/>
      <w:r w:rsidR="00736C50" w:rsidRPr="004103B3">
        <w:rPr>
          <w:rFonts w:ascii="Times New Roman" w:hAnsi="Times New Roman" w:cs="Times New Roman"/>
          <w:sz w:val="36"/>
          <w:szCs w:val="36"/>
        </w:rPr>
        <w:t>l’omega</w:t>
      </w:r>
      <w:proofErr w:type="spellEnd"/>
      <w:r w:rsidR="00736C50" w:rsidRPr="004103B3">
        <w:rPr>
          <w:rFonts w:ascii="Times New Roman" w:hAnsi="Times New Roman" w:cs="Times New Roman"/>
          <w:sz w:val="36"/>
          <w:szCs w:val="36"/>
        </w:rPr>
        <w:t xml:space="preserve"> de toute politique publique, législation ou réglementation.</w:t>
      </w:r>
      <w:r w:rsidR="00736C50">
        <w:rPr>
          <w:rFonts w:ascii="Times New Roman" w:hAnsi="Times New Roman" w:cs="Times New Roman"/>
          <w:sz w:val="36"/>
          <w:szCs w:val="36"/>
        </w:rPr>
        <w:t xml:space="preserve"> </w:t>
      </w:r>
    </w:p>
    <w:p w14:paraId="720A39E3" w14:textId="5A5B7BAF" w:rsidR="00426054" w:rsidRDefault="00426054" w:rsidP="00AE7889">
      <w:pPr>
        <w:jc w:val="both"/>
        <w:rPr>
          <w:rFonts w:ascii="Times New Roman" w:hAnsi="Times New Roman" w:cs="Times New Roman"/>
          <w:sz w:val="36"/>
          <w:szCs w:val="36"/>
        </w:rPr>
      </w:pPr>
      <w:r>
        <w:rPr>
          <w:rFonts w:ascii="Times New Roman" w:hAnsi="Times New Roman" w:cs="Times New Roman"/>
          <w:sz w:val="36"/>
          <w:szCs w:val="36"/>
        </w:rPr>
        <w:t xml:space="preserve">Le conseil de l’union Européenne est parvenu le 17 octobre 2023 </w:t>
      </w:r>
      <w:r w:rsidRPr="00426054">
        <w:rPr>
          <w:rFonts w:ascii="Times New Roman" w:hAnsi="Times New Roman" w:cs="Times New Roman"/>
          <w:sz w:val="36"/>
          <w:szCs w:val="36"/>
        </w:rPr>
        <w:t>à un accord d’orientation générale</w:t>
      </w:r>
      <w:r w:rsidRPr="00426054">
        <w:rPr>
          <w:rFonts w:ascii="Times New Roman" w:hAnsi="Times New Roman" w:cs="Times New Roman"/>
          <w:sz w:val="36"/>
          <w:szCs w:val="36"/>
        </w:rPr>
        <w:footnoteReference w:id="104"/>
      </w:r>
      <w:r w:rsidRPr="00426054">
        <w:rPr>
          <w:rFonts w:ascii="Times New Roman" w:hAnsi="Times New Roman" w:cs="Times New Roman"/>
          <w:sz w:val="36"/>
          <w:szCs w:val="36"/>
        </w:rPr>
        <w:t xml:space="preserve"> sur une proposition visant à modifier l'</w:t>
      </w:r>
      <w:r w:rsidRPr="00426054">
        <w:rPr>
          <w:rFonts w:ascii="Times New Roman" w:hAnsi="Times New Roman" w:cs="Times New Roman"/>
          <w:b/>
          <w:bCs/>
          <w:sz w:val="36"/>
          <w:szCs w:val="36"/>
        </w:rPr>
        <w:t>organisation du marché de l'électricité</w:t>
      </w:r>
      <w:r w:rsidRPr="00426054">
        <w:rPr>
          <w:rFonts w:ascii="Times New Roman" w:hAnsi="Times New Roman" w:cs="Times New Roman"/>
          <w:sz w:val="36"/>
          <w:szCs w:val="36"/>
        </w:rPr>
        <w:t xml:space="preserve"> de l'UE. Cela permettra à la présidence du Conseil d'entamer des négociations avec le Parlement européen en vue de parvenir à un accord final.</w:t>
      </w:r>
      <w:r>
        <w:rPr>
          <w:rFonts w:ascii="Times New Roman" w:hAnsi="Times New Roman" w:cs="Times New Roman"/>
          <w:sz w:val="36"/>
          <w:szCs w:val="36"/>
        </w:rPr>
        <w:t xml:space="preserve"> </w:t>
      </w:r>
    </w:p>
    <w:p w14:paraId="5EF8CD8B" w14:textId="2548FA18" w:rsidR="00426054" w:rsidRPr="00426054" w:rsidRDefault="00426054" w:rsidP="00426054">
      <w:pPr>
        <w:pStyle w:val="NormalWeb"/>
        <w:rPr>
          <w:i/>
          <w:iCs/>
          <w:sz w:val="32"/>
          <w:szCs w:val="32"/>
        </w:rPr>
      </w:pPr>
      <w:r>
        <w:rPr>
          <w:i/>
          <w:iCs/>
          <w:sz w:val="32"/>
          <w:szCs w:val="32"/>
        </w:rPr>
        <w:t>« </w:t>
      </w:r>
      <w:r w:rsidRPr="00426054">
        <w:rPr>
          <w:i/>
          <w:iCs/>
          <w:sz w:val="32"/>
          <w:szCs w:val="32"/>
        </w:rPr>
        <w:t>La réforme vise à stabiliser les marchés de l'électricité à long terme en stimulant le marché des accords d'achat d'électricité (AAE), en généralisant les contrats d'écart compensatoire bidirectionnels et en améliorant la liquidité du marché à terme.</w:t>
      </w:r>
    </w:p>
    <w:p w14:paraId="09F23606" w14:textId="77777777" w:rsidR="00426054" w:rsidRPr="00426054" w:rsidRDefault="00426054" w:rsidP="00426054">
      <w:pPr>
        <w:pStyle w:val="NormalWeb"/>
        <w:rPr>
          <w:i/>
          <w:iCs/>
          <w:sz w:val="32"/>
          <w:szCs w:val="32"/>
        </w:rPr>
      </w:pPr>
      <w:r w:rsidRPr="00426054">
        <w:rPr>
          <w:i/>
          <w:iCs/>
          <w:sz w:val="32"/>
          <w:szCs w:val="32"/>
        </w:rPr>
        <w:lastRenderedPageBreak/>
        <w:t xml:space="preserve">Le Conseil est convenu que les États membres encourageraient le recours aux </w:t>
      </w:r>
      <w:r w:rsidRPr="00426054">
        <w:rPr>
          <w:rStyle w:val="lev"/>
          <w:i/>
          <w:iCs/>
          <w:sz w:val="32"/>
          <w:szCs w:val="32"/>
        </w:rPr>
        <w:t>accords d'achat d'électricité</w:t>
      </w:r>
      <w:r w:rsidRPr="00426054">
        <w:rPr>
          <w:i/>
          <w:iCs/>
          <w:sz w:val="32"/>
          <w:szCs w:val="32"/>
        </w:rPr>
        <w:t>, en supprimant les barrières injustifiées et les procédures ou les frais disproportionnés ou discriminatoires. Les mesures peuvent comprendre, entre autres, des régimes de garantie aux prix du marché soutenus par l'État, des garanties privées ou des structures mutualisant la demande d'AAE.</w:t>
      </w:r>
    </w:p>
    <w:p w14:paraId="2C0F4691" w14:textId="77777777" w:rsidR="00426054" w:rsidRPr="00426054" w:rsidRDefault="00426054" w:rsidP="00426054">
      <w:pPr>
        <w:pStyle w:val="NormalWeb"/>
        <w:rPr>
          <w:i/>
          <w:iCs/>
          <w:sz w:val="32"/>
          <w:szCs w:val="32"/>
        </w:rPr>
      </w:pPr>
      <w:r w:rsidRPr="00426054">
        <w:rPr>
          <w:i/>
          <w:iCs/>
          <w:sz w:val="32"/>
          <w:szCs w:val="32"/>
        </w:rPr>
        <w:t xml:space="preserve">Le Conseil est convenu que les </w:t>
      </w:r>
      <w:r w:rsidRPr="00426054">
        <w:rPr>
          <w:rStyle w:val="lev"/>
          <w:i/>
          <w:iCs/>
          <w:sz w:val="32"/>
          <w:szCs w:val="32"/>
        </w:rPr>
        <w:t>contrats d'écart compensatoire bidirectionnels</w:t>
      </w:r>
      <w:r w:rsidRPr="00426054">
        <w:rPr>
          <w:i/>
          <w:iCs/>
          <w:sz w:val="32"/>
          <w:szCs w:val="32"/>
        </w:rPr>
        <w:t xml:space="preserve"> (contrats à long terme conclus par des entités publiques pour soutenir les investissements, qui complètent le prix du marché lorsqu'il est bas et demandent au producteur de rembourser un certain montant lorsque le prix du marché est supérieur à une limite donnée afin d'éviter des profits inattendus excessifs) seraient le modèle obligatoire utilisé lorsqu'un financement public intervient dans des contrats à long terme, à quelques exceptions près.</w:t>
      </w:r>
    </w:p>
    <w:p w14:paraId="4C6B986E" w14:textId="77777777" w:rsidR="00426054" w:rsidRDefault="00426054" w:rsidP="00426054">
      <w:pPr>
        <w:pStyle w:val="NormalWeb"/>
        <w:rPr>
          <w:i/>
          <w:iCs/>
          <w:sz w:val="32"/>
          <w:szCs w:val="32"/>
        </w:rPr>
      </w:pPr>
      <w:r w:rsidRPr="00426054">
        <w:rPr>
          <w:i/>
          <w:iCs/>
          <w:sz w:val="32"/>
          <w:szCs w:val="32"/>
        </w:rPr>
        <w:t xml:space="preserve">Les contrats d'écart compensatoire bidirectionnels s'appliqueraient aux </w:t>
      </w:r>
      <w:r w:rsidRPr="00426054">
        <w:rPr>
          <w:rStyle w:val="lev"/>
          <w:i/>
          <w:iCs/>
          <w:sz w:val="32"/>
          <w:szCs w:val="32"/>
        </w:rPr>
        <w:t>investissements dans de nouvelles installations de production d'électricité à partir de l'énergie éolienne, l'énergie solaire, l'énergie géothermique, l'hydroélectricité sans réservoir et l'énergie nucléaire</w:t>
      </w:r>
      <w:r w:rsidRPr="00426054">
        <w:rPr>
          <w:i/>
          <w:iCs/>
          <w:sz w:val="32"/>
          <w:szCs w:val="32"/>
        </w:rPr>
        <w:t>. La prévisibilité et la sécurité s'en verraient augmentées.</w:t>
      </w:r>
      <w:r>
        <w:rPr>
          <w:i/>
          <w:iCs/>
          <w:sz w:val="32"/>
          <w:szCs w:val="32"/>
        </w:rPr>
        <w:t xml:space="preserve"> » </w:t>
      </w:r>
    </w:p>
    <w:p w14:paraId="39EEC143" w14:textId="7F88220F"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A noter que le </w:t>
      </w:r>
      <w:proofErr w:type="spellStart"/>
      <w:r>
        <w:rPr>
          <w:rFonts w:ascii="Times New Roman" w:hAnsi="Times New Roman" w:cs="Times New Roman"/>
          <w:sz w:val="36"/>
          <w:szCs w:val="36"/>
        </w:rPr>
        <w:t>caractére</w:t>
      </w:r>
      <w:proofErr w:type="spellEnd"/>
      <w:r>
        <w:rPr>
          <w:rFonts w:ascii="Times New Roman" w:hAnsi="Times New Roman" w:cs="Times New Roman"/>
          <w:sz w:val="36"/>
          <w:szCs w:val="36"/>
        </w:rPr>
        <w:t xml:space="preserve"> pilotable de l’énergie nucléaire par rapport aux énergies intermittentes que sont l’éolien et le </w:t>
      </w:r>
      <w:proofErr w:type="spellStart"/>
      <w:r>
        <w:rPr>
          <w:rFonts w:ascii="Times New Roman" w:hAnsi="Times New Roman" w:cs="Times New Roman"/>
          <w:sz w:val="36"/>
          <w:szCs w:val="36"/>
        </w:rPr>
        <w:t>photovoltaique</w:t>
      </w:r>
      <w:proofErr w:type="spellEnd"/>
      <w:r>
        <w:rPr>
          <w:rFonts w:ascii="Times New Roman" w:hAnsi="Times New Roman" w:cs="Times New Roman"/>
          <w:sz w:val="36"/>
          <w:szCs w:val="36"/>
        </w:rPr>
        <w:t xml:space="preserve">, n’est en aucun cas souligné à ce stade. </w:t>
      </w:r>
    </w:p>
    <w:p w14:paraId="01A2FEDB" w14:textId="258B7D89"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de veiller à ce que la nouvelle régulation n’ouvre pas la porte à un développement inapproprié et destructeur de valeur des acteurs intermédiaires entre la production et la vente finale aux consommateurs. </w:t>
      </w:r>
    </w:p>
    <w:p w14:paraId="21818AFA" w14:textId="3FD66DEB"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enfin de veiller à que les modalités de prises en compte des missions d’intérêt général, de service </w:t>
      </w:r>
      <w:proofErr w:type="spellStart"/>
      <w:r>
        <w:rPr>
          <w:rFonts w:ascii="Times New Roman" w:hAnsi="Times New Roman" w:cs="Times New Roman"/>
          <w:sz w:val="36"/>
          <w:szCs w:val="36"/>
        </w:rPr>
        <w:t>pulbic</w:t>
      </w:r>
      <w:proofErr w:type="spellEnd"/>
      <w:r>
        <w:rPr>
          <w:rFonts w:ascii="Times New Roman" w:hAnsi="Times New Roman" w:cs="Times New Roman"/>
          <w:sz w:val="36"/>
          <w:szCs w:val="36"/>
        </w:rPr>
        <w:t xml:space="preserve">, de maintien de l’accès à l’énergie </w:t>
      </w:r>
      <w:proofErr w:type="spellStart"/>
      <w:r>
        <w:rPr>
          <w:rFonts w:ascii="Times New Roman" w:hAnsi="Times New Roman" w:cs="Times New Roman"/>
          <w:sz w:val="36"/>
          <w:szCs w:val="36"/>
        </w:rPr>
        <w:t>écarbonée</w:t>
      </w:r>
      <w:proofErr w:type="spellEnd"/>
      <w:r>
        <w:rPr>
          <w:rFonts w:ascii="Times New Roman" w:hAnsi="Times New Roman" w:cs="Times New Roman"/>
          <w:sz w:val="36"/>
          <w:szCs w:val="36"/>
        </w:rPr>
        <w:t xml:space="preserve"> à un coût abordable pour le plus grand nombre puissent être respectées, notamment avec le maintien de la possibilité d’un tarif réglementé pour la population, et les artisans et petites entreprises. </w:t>
      </w:r>
    </w:p>
    <w:p w14:paraId="147D5DEF" w14:textId="77777777" w:rsidR="000A58A8" w:rsidRDefault="000A58A8" w:rsidP="0072533C">
      <w:pPr>
        <w:jc w:val="both"/>
        <w:rPr>
          <w:rFonts w:ascii="Times New Roman" w:hAnsi="Times New Roman" w:cs="Times New Roman"/>
          <w:sz w:val="36"/>
          <w:szCs w:val="36"/>
        </w:rPr>
      </w:pPr>
    </w:p>
    <w:p w14:paraId="14DF5760" w14:textId="1778E888"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 xml:space="preserve">sur les enjeux et les modalités de cette régulation.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proofErr w:type="spellStart"/>
      <w:r>
        <w:rPr>
          <w:rFonts w:ascii="Times New Roman" w:hAnsi="Times New Roman" w:cs="Times New Roman"/>
          <w:sz w:val="36"/>
          <w:szCs w:val="36"/>
        </w:rPr>
        <w:t>ré-ind</w:t>
      </w:r>
      <w:r w:rsidR="006B2D21">
        <w:rPr>
          <w:rFonts w:ascii="Times New Roman" w:hAnsi="Times New Roman" w:cs="Times New Roman"/>
          <w:sz w:val="36"/>
          <w:szCs w:val="36"/>
        </w:rPr>
        <w:t>us</w:t>
      </w:r>
      <w:r>
        <w:rPr>
          <w:rFonts w:ascii="Times New Roman" w:hAnsi="Times New Roman" w:cs="Times New Roman"/>
          <w:sz w:val="36"/>
          <w:szCs w:val="36"/>
        </w:rPr>
        <w:t>trialisation</w:t>
      </w:r>
      <w:proofErr w:type="spellEnd"/>
      <w:r>
        <w:rPr>
          <w:rFonts w:ascii="Times New Roman" w:hAnsi="Times New Roman" w:cs="Times New Roman"/>
          <w:sz w:val="36"/>
          <w:szCs w:val="36"/>
        </w:rPr>
        <w:t xml:space="preserve">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w:t>
      </w:r>
      <w:proofErr w:type="spellStart"/>
      <w:r w:rsidR="004B422D">
        <w:rPr>
          <w:rFonts w:ascii="Times New Roman" w:hAnsi="Times New Roman" w:cs="Times New Roman"/>
          <w:sz w:val="36"/>
          <w:szCs w:val="36"/>
        </w:rPr>
        <w:t>fut-il</w:t>
      </w:r>
      <w:proofErr w:type="spellEnd"/>
      <w:r w:rsidR="004B422D">
        <w:rPr>
          <w:rFonts w:ascii="Times New Roman" w:hAnsi="Times New Roman" w:cs="Times New Roman"/>
          <w:sz w:val="36"/>
          <w:szCs w:val="36"/>
        </w:rPr>
        <w:t xml:space="preserve">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proofErr w:type="spellStart"/>
      <w:r w:rsidRPr="00DF3DD5">
        <w:rPr>
          <w:rFonts w:ascii="Times New Roman" w:hAnsi="Times New Roman" w:cs="Times New Roman"/>
          <w:i/>
          <w:iCs/>
          <w:sz w:val="36"/>
          <w:szCs w:val="36"/>
        </w:rPr>
        <w:t>nuclear</w:t>
      </w:r>
      <w:proofErr w:type="spellEnd"/>
      <w:r w:rsidRPr="00DF3DD5">
        <w:rPr>
          <w:rFonts w:ascii="Times New Roman" w:hAnsi="Times New Roman" w:cs="Times New Roman"/>
          <w:i/>
          <w:iCs/>
          <w:sz w:val="36"/>
          <w:szCs w:val="36"/>
        </w:rPr>
        <w:t xml:space="preserve"> bashing</w:t>
      </w:r>
      <w:r>
        <w:rPr>
          <w:rFonts w:ascii="Times New Roman" w:hAnsi="Times New Roman" w:cs="Times New Roman"/>
          <w:sz w:val="36"/>
          <w:szCs w:val="36"/>
        </w:rPr>
        <w:t xml:space="preserve"> ». Chaque pays doit rester libre de s’engager ou pas dans cette voie, avec tous les avantages qu’elle apporte, mais aussi ses exigences, notamment en matière de sûreté nucléaire et d’acceptation. Mais cessons de considérer </w:t>
      </w:r>
      <w:r>
        <w:rPr>
          <w:rFonts w:ascii="Times New Roman" w:hAnsi="Times New Roman" w:cs="Times New Roman"/>
          <w:sz w:val="36"/>
          <w:szCs w:val="36"/>
        </w:rPr>
        <w:lastRenderedPageBreak/>
        <w:t>cette énergie, pleinement naturelle</w:t>
      </w:r>
      <w:r w:rsidR="00D07926">
        <w:rPr>
          <w:rStyle w:val="Appelnotedebasdep"/>
          <w:rFonts w:ascii="Times New Roman" w:hAnsi="Times New Roman" w:cs="Times New Roman"/>
          <w:sz w:val="36"/>
          <w:szCs w:val="36"/>
        </w:rPr>
        <w:footnoteReference w:id="105"/>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53659F5E"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et in -fine, du consommateur 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lastRenderedPageBreak/>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proofErr w:type="gramStart"/>
      <w:r w:rsidR="00D07926">
        <w:rPr>
          <w:rFonts w:ascii="Times New Roman" w:hAnsi="Times New Roman" w:cs="Times New Roman"/>
          <w:sz w:val="36"/>
          <w:szCs w:val="36"/>
        </w:rPr>
        <w:t>»</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w:t>
      </w:r>
      <w:proofErr w:type="gramEnd"/>
      <w:r w:rsidR="00D07926">
        <w:rPr>
          <w:rFonts w:ascii="Times New Roman" w:hAnsi="Times New Roman" w:cs="Times New Roman"/>
          <w:sz w:val="36"/>
          <w:szCs w:val="36"/>
        </w:rPr>
        <w:t xml:space="preserve">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06"/>
      </w:r>
      <w:r>
        <w:rPr>
          <w:rFonts w:ascii="Times New Roman" w:hAnsi="Times New Roman" w:cs="Times New Roman"/>
          <w:sz w:val="36"/>
          <w:szCs w:val="36"/>
        </w:rPr>
        <w:t>, 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w:t>
      </w:r>
      <w:r w:rsidR="004127BD">
        <w:rPr>
          <w:rFonts w:ascii="Times New Roman" w:hAnsi="Times New Roman" w:cs="Times New Roman"/>
          <w:sz w:val="36"/>
          <w:szCs w:val="36"/>
        </w:rPr>
        <w:lastRenderedPageBreak/>
        <w:t xml:space="preserve">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557ABBDC"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t xml:space="preserve">Que l’électricité </w:t>
      </w:r>
      <w:proofErr w:type="gramStart"/>
      <w:r>
        <w:rPr>
          <w:rFonts w:ascii="Times New Roman" w:hAnsi="Times New Roman" w:cs="Times New Roman"/>
          <w:sz w:val="36"/>
          <w:szCs w:val="36"/>
        </w:rPr>
        <w:t>est</w:t>
      </w:r>
      <w:proofErr w:type="gramEnd"/>
      <w:r>
        <w:rPr>
          <w:rFonts w:ascii="Times New Roman" w:hAnsi="Times New Roman" w:cs="Times New Roman"/>
          <w:sz w:val="36"/>
          <w:szCs w:val="36"/>
        </w:rPr>
        <w:t xml:space="preserve">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 xml:space="preserve">du système électrique que pour la </w:t>
      </w:r>
      <w:r w:rsidR="00A3635B">
        <w:rPr>
          <w:rFonts w:ascii="Times New Roman" w:hAnsi="Times New Roman" w:cs="Times New Roman"/>
          <w:sz w:val="36"/>
          <w:szCs w:val="36"/>
        </w:rPr>
        <w:t xml:space="preserve">nécessaire </w:t>
      </w:r>
      <w:r>
        <w:rPr>
          <w:rFonts w:ascii="Times New Roman" w:hAnsi="Times New Roman" w:cs="Times New Roman"/>
          <w:sz w:val="36"/>
          <w:szCs w:val="36"/>
        </w:rPr>
        <w:t>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tant en pointe en puissance appelée, sa variation dans 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de la production pilotable décarbonée</w:t>
      </w:r>
      <w:r w:rsidR="000A58A8">
        <w:rPr>
          <w:rFonts w:ascii="Times New Roman" w:hAnsi="Times New Roman" w:cs="Times New Roman"/>
          <w:sz w:val="36"/>
          <w:szCs w:val="36"/>
        </w:rPr>
        <w:t xml:space="preserve"> sur laquelle doit porter de manière prioritaire, dans une vision de long terme</w:t>
      </w:r>
      <w:r w:rsidR="00A3635B">
        <w:rPr>
          <w:rFonts w:ascii="Times New Roman" w:hAnsi="Times New Roman" w:cs="Times New Roman"/>
          <w:sz w:val="36"/>
          <w:szCs w:val="36"/>
        </w:rPr>
        <w:t xml:space="preserve"> et dans la réalité économique</w:t>
      </w:r>
      <w:r w:rsidR="000A58A8">
        <w:rPr>
          <w:rFonts w:ascii="Times New Roman" w:hAnsi="Times New Roman" w:cs="Times New Roman"/>
          <w:sz w:val="36"/>
          <w:szCs w:val="36"/>
        </w:rPr>
        <w:t xml:space="preserve">, </w:t>
      </w:r>
      <w:r w:rsidR="00A3635B">
        <w:rPr>
          <w:rFonts w:ascii="Times New Roman" w:hAnsi="Times New Roman" w:cs="Times New Roman"/>
          <w:sz w:val="36"/>
          <w:szCs w:val="36"/>
        </w:rPr>
        <w:t xml:space="preserve">toute </w:t>
      </w:r>
      <w:r w:rsidR="000A58A8">
        <w:rPr>
          <w:rFonts w:ascii="Times New Roman" w:hAnsi="Times New Roman" w:cs="Times New Roman"/>
          <w:sz w:val="36"/>
          <w:szCs w:val="36"/>
        </w:rPr>
        <w:t xml:space="preserve">l’attention des Pouvoirs Publics. </w:t>
      </w:r>
    </w:p>
    <w:p w14:paraId="2CAEF02F" w14:textId="6F330879"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proofErr w:type="spellStart"/>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à</w:t>
      </w:r>
      <w:proofErr w:type="spellEnd"/>
      <w:r>
        <w:rPr>
          <w:rFonts w:ascii="Times New Roman" w:hAnsi="Times New Roman" w:cs="Times New Roman"/>
          <w:sz w:val="36"/>
          <w:szCs w:val="36"/>
        </w:rPr>
        <w:t xml:space="preserve">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A3635B">
        <w:rPr>
          <w:rFonts w:ascii="Times New Roman" w:hAnsi="Times New Roman" w:cs="Times New Roman"/>
          <w:sz w:val="36"/>
          <w:szCs w:val="36"/>
        </w:rPr>
        <w:t xml:space="preserve"> avec la nécessaire culture de sûreté nucléaire partagée entre toutes les parties prenantes</w:t>
      </w:r>
      <w:r w:rsidR="00526928">
        <w:rPr>
          <w:rFonts w:ascii="Times New Roman" w:hAnsi="Times New Roman" w:cs="Times New Roman"/>
          <w:sz w:val="36"/>
          <w:szCs w:val="36"/>
        </w:rPr>
        <w:t xml:space="preserve">. </w:t>
      </w:r>
      <w:r>
        <w:rPr>
          <w:rFonts w:ascii="Times New Roman" w:hAnsi="Times New Roman" w:cs="Times New Roman"/>
          <w:sz w:val="36"/>
          <w:szCs w:val="36"/>
        </w:rPr>
        <w:t xml:space="preserve">Au regard des opportunités de développement et d’innovation, ici en France comme en Europe ou à travers le monde, l’énergie nucléaire demeure une terre d’innovation et de performance industrielle, mais avant tout une formidable aventure </w:t>
      </w:r>
      <w:r>
        <w:rPr>
          <w:rFonts w:ascii="Times New Roman" w:hAnsi="Times New Roman" w:cs="Times New Roman"/>
          <w:sz w:val="36"/>
          <w:szCs w:val="36"/>
        </w:rPr>
        <w:lastRenderedPageBreak/>
        <w:t>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épanouir de manière aussi intense que j’ai pu moi-même le vivre. </w:t>
      </w:r>
      <w:r w:rsidR="00BC32C5">
        <w:rPr>
          <w:rFonts w:ascii="Times New Roman" w:hAnsi="Times New Roman" w:cs="Times New Roman"/>
          <w:sz w:val="36"/>
          <w:szCs w:val="36"/>
        </w:rPr>
        <w:t xml:space="preserve">Que ce soit en France, en Europe, ou à travers le monde pour lequel nous devons garder un espoir de paix et de progrès pour le plus grand nombre. </w:t>
      </w:r>
    </w:p>
    <w:p w14:paraId="1F3708E9" w14:textId="27380F47"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25" w:history="1">
        <w:r w:rsidR="00453B1B"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proofErr w:type="gramStart"/>
      <w:r w:rsidRPr="00453B1B">
        <w:rPr>
          <w:rFonts w:ascii="Times New Roman" w:hAnsi="Times New Roman" w:cs="Times New Roman"/>
          <w:i/>
          <w:iCs/>
          <w:sz w:val="36"/>
          <w:szCs w:val="36"/>
        </w:rPr>
        <w:t>et</w:t>
      </w:r>
      <w:proofErr w:type="gramEnd"/>
      <w:r w:rsidRPr="00453B1B">
        <w:rPr>
          <w:rFonts w:ascii="Times New Roman" w:hAnsi="Times New Roman" w:cs="Times New Roman"/>
          <w:i/>
          <w:iCs/>
          <w:sz w:val="36"/>
          <w:szCs w:val="36"/>
        </w:rPr>
        <w:t xml:space="preserve">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26" w:history="1">
        <w:r w:rsidR="00453B1B" w:rsidRPr="00E74C90">
          <w:rPr>
            <w:rStyle w:val="Lienhypertexte"/>
            <w:rFonts w:ascii="Times New Roman" w:hAnsi="Times New Roman" w:cs="Times New Roman"/>
            <w:sz w:val="36"/>
            <w:szCs w:val="36"/>
          </w:rPr>
          <w:t>https://malicorne.over-blog.com/tag/energie/</w:t>
        </w:r>
      </w:hyperlink>
    </w:p>
    <w:sectPr w:rsidR="00453B1B">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5B604" w14:textId="77777777" w:rsidR="001C6E9F" w:rsidRDefault="001C6E9F" w:rsidP="00E653D9">
      <w:pPr>
        <w:spacing w:after="0" w:line="240" w:lineRule="auto"/>
      </w:pPr>
      <w:r>
        <w:separator/>
      </w:r>
    </w:p>
  </w:endnote>
  <w:endnote w:type="continuationSeparator" w:id="0">
    <w:p w14:paraId="33E7237E" w14:textId="77777777" w:rsidR="001C6E9F" w:rsidRDefault="001C6E9F"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B6DF" w14:textId="77777777" w:rsidR="00B14990" w:rsidRDefault="00B149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FB0D" w14:textId="0419A0E4" w:rsidR="00E653D9" w:rsidRDefault="00B14990">
    <w:pPr>
      <w:pStyle w:val="Pieddepage"/>
    </w:pPr>
    <w:r>
      <w:t>Energie où allons</w:t>
    </w:r>
    <w:r w:rsidR="00174271">
      <w:t>-</w:t>
    </w:r>
    <w:r>
      <w:t xml:space="preserve">nous ? Quelques </w:t>
    </w:r>
    <w:proofErr w:type="gramStart"/>
    <w:r>
      <w:t>repères….</w:t>
    </w:r>
    <w:proofErr w:type="gramEnd"/>
    <w:r>
      <w:ptab w:relativeTo="margin" w:alignment="center" w:leader="none"/>
    </w:r>
    <w:r>
      <w:t>Bernard Maillard</w:t>
    </w:r>
    <w:r>
      <w:ptab w:relativeTo="margin" w:alignment="right" w:leader="none"/>
    </w:r>
    <w:r w:rsidR="00174271">
      <w:t>Paris le 7 novembre</w:t>
    </w:r>
    <w:r>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A009" w14:textId="77777777" w:rsidR="00B14990" w:rsidRDefault="00B149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403E5" w14:textId="77777777" w:rsidR="001C6E9F" w:rsidRDefault="001C6E9F" w:rsidP="00E653D9">
      <w:pPr>
        <w:spacing w:after="0" w:line="240" w:lineRule="auto"/>
      </w:pPr>
      <w:r>
        <w:separator/>
      </w:r>
    </w:p>
  </w:footnote>
  <w:footnote w:type="continuationSeparator" w:id="0">
    <w:p w14:paraId="62893146" w14:textId="77777777" w:rsidR="001C6E9F" w:rsidRDefault="001C6E9F" w:rsidP="00E653D9">
      <w:pPr>
        <w:spacing w:after="0" w:line="240" w:lineRule="auto"/>
      </w:pPr>
      <w:r>
        <w:continuationSeparator/>
      </w:r>
    </w:p>
  </w:footnote>
  <w:footnote w:id="1">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w:t>
      </w:r>
      <w:proofErr w:type="gramStart"/>
      <w:r>
        <w:t>besoin  de</w:t>
      </w:r>
      <w:proofErr w:type="gramEnd"/>
      <w:r>
        <w:t xml:space="preserve"> 30 TWh par an, avec une possibilité d’étaler la puissance appelée , énergie pouvant être  couverte pour une large partie par une paire d’EPR</w:t>
      </w:r>
    </w:p>
  </w:footnote>
  <w:footnote w:id="2">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3">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4">
    <w:p w14:paraId="628B3E61" w14:textId="0CFD93E2" w:rsidR="007D0D5D" w:rsidRDefault="007D0D5D">
      <w:pPr>
        <w:pStyle w:val="Notedebasdepage"/>
      </w:pPr>
      <w:r>
        <w:rPr>
          <w:rStyle w:val="Appelnotedebasdep"/>
        </w:rPr>
        <w:footnoteRef/>
      </w:r>
      <w:r>
        <w:t xml:space="preserve"> </w:t>
      </w:r>
      <w:hyperlink r:id="rId1" w:history="1">
        <w:r w:rsidRPr="007D0D5D">
          <w:rPr>
            <w:rFonts w:ascii="Times New Roman" w:eastAsia="Times New Roman" w:hAnsi="Times New Roman" w:cs="Times New Roman"/>
            <w:color w:val="0000FF"/>
            <w:sz w:val="24"/>
            <w:szCs w:val="24"/>
            <w:u w:val="single"/>
            <w:lang w:eastAsia="fr-FR"/>
          </w:rPr>
          <w:t>https://www.iea.org/reports/electricity-market-report-2023</w:t>
        </w:r>
      </w:hyperlink>
    </w:p>
  </w:footnote>
  <w:footnote w:id="5">
    <w:p w14:paraId="03C16BBA" w14:textId="783485B8" w:rsidR="002676D7" w:rsidRDefault="002676D7">
      <w:pPr>
        <w:pStyle w:val="Notedebasdepage"/>
      </w:pPr>
      <w:r>
        <w:rPr>
          <w:rStyle w:val="Appelnotedebasdep"/>
        </w:rPr>
        <w:footnoteRef/>
      </w:r>
      <w:r>
        <w:t xml:space="preserve"> Afrique du Sud, Argentine, Arabie Saoudite, Brésil, Chine, Egypte, Emirats Arabes Unis, Ethiopie, Inde, Iran, Russie</w:t>
      </w:r>
    </w:p>
  </w:footnote>
  <w:footnote w:id="6">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7">
    <w:p w14:paraId="3AC01D9C" w14:textId="77777777" w:rsidR="00C213F0" w:rsidRPr="00C213F0" w:rsidRDefault="00C213F0" w:rsidP="00C213F0">
      <w:pPr>
        <w:jc w:val="both"/>
        <w:rPr>
          <w:sz w:val="20"/>
          <w:szCs w:val="20"/>
        </w:rPr>
      </w:pPr>
      <w:r>
        <w:rPr>
          <w:rStyle w:val="Appelnotedebasdep"/>
        </w:rPr>
        <w:footnoteRef/>
      </w:r>
      <w:r>
        <w:t xml:space="preserve"> </w:t>
      </w:r>
      <w:hyperlink r:id="rId2"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8">
    <w:p w14:paraId="6BD77295" w14:textId="3CE87ECD"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magnétique qui circule le long des conducteurs et qui fait bouger les électrons</w:t>
      </w:r>
      <w:r w:rsidR="0094177F">
        <w:t>, et non l’inverse ! Comme les cailloux sur une plage emportés par la houle</w:t>
      </w:r>
      <w:r w:rsidR="005B5540">
        <w:t xml:space="preserve"> de l’océan</w:t>
      </w:r>
    </w:p>
  </w:footnote>
  <w:footnote w:id="9">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3"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10">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11">
    <w:p w14:paraId="67B3E9B7" w14:textId="609F0662" w:rsidR="007D0D5D" w:rsidRPr="007D0D5D" w:rsidRDefault="007D0D5D" w:rsidP="007D0D5D">
      <w:pPr>
        <w:rPr>
          <w:sz w:val="20"/>
          <w:szCs w:val="20"/>
        </w:rPr>
      </w:pPr>
      <w:r>
        <w:rPr>
          <w:rStyle w:val="Appelnotedebasdep"/>
        </w:rPr>
        <w:footnoteRef/>
      </w:r>
      <w:r>
        <w:t xml:space="preserve"> </w:t>
      </w:r>
      <w:hyperlink r:id="rId4" w:history="1">
        <w:r w:rsidRPr="007D0D5D">
          <w:rPr>
            <w:sz w:val="20"/>
            <w:szCs w:val="20"/>
          </w:rPr>
          <w:t>https://www.iea.org/reports/electricity-market-report-2023</w:t>
        </w:r>
      </w:hyperlink>
    </w:p>
    <w:p w14:paraId="4FC4CE25" w14:textId="77777777" w:rsidR="007D0D5D" w:rsidRDefault="007D0D5D" w:rsidP="007D0D5D">
      <w:pPr>
        <w:rPr>
          <w:rFonts w:ascii="Times New Roman" w:hAnsi="Times New Roman" w:cs="Times New Roman"/>
          <w:sz w:val="36"/>
          <w:szCs w:val="36"/>
        </w:rPr>
      </w:pPr>
    </w:p>
    <w:p w14:paraId="7DC8DB87" w14:textId="7C19F129" w:rsidR="007D0D5D" w:rsidRDefault="007D0D5D">
      <w:pPr>
        <w:pStyle w:val="Notedebasdepage"/>
      </w:pPr>
    </w:p>
  </w:footnote>
  <w:footnote w:id="12">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 xml:space="preserve">Pour les données </w:t>
      </w:r>
      <w:proofErr w:type="gramStart"/>
      <w:r w:rsidRPr="00BB3B24">
        <w:rPr>
          <w:sz w:val="20"/>
          <w:szCs w:val="20"/>
        </w:rPr>
        <w:t>2022 ,</w:t>
      </w:r>
      <w:proofErr w:type="gramEnd"/>
      <w:r w:rsidRPr="00BB3B24">
        <w:rPr>
          <w:sz w:val="20"/>
          <w:szCs w:val="20"/>
        </w:rPr>
        <w:t xml:space="preserve"> </w:t>
      </w:r>
      <w:proofErr w:type="spellStart"/>
      <w:r w:rsidRPr="00BB3B24">
        <w:rPr>
          <w:sz w:val="20"/>
          <w:szCs w:val="20"/>
        </w:rPr>
        <w:t>cf</w:t>
      </w:r>
      <w:proofErr w:type="spellEnd"/>
      <w:r w:rsidRPr="00BB3B24">
        <w:rPr>
          <w:sz w:val="20"/>
          <w:szCs w:val="20"/>
        </w:rPr>
        <w:t xml:space="preserve"> https://analysesetdonnees.rte-france.com/bilan-electrique-synthese</w:t>
      </w:r>
    </w:p>
    <w:p w14:paraId="7775D181" w14:textId="77777777" w:rsidR="00BB3B24" w:rsidRDefault="00BB3B24" w:rsidP="00BB3B24">
      <w:pPr>
        <w:pStyle w:val="Notedebasdepage"/>
      </w:pPr>
    </w:p>
  </w:footnote>
  <w:footnote w:id="13">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14">
    <w:p w14:paraId="1454394D" w14:textId="679831A5" w:rsidR="005263E7" w:rsidRDefault="005263E7">
      <w:pPr>
        <w:pStyle w:val="Notedebasdepage"/>
      </w:pPr>
      <w:r>
        <w:rPr>
          <w:rStyle w:val="Appelnotedebasdep"/>
        </w:rPr>
        <w:footnoteRef/>
      </w:r>
      <w:r>
        <w:t xml:space="preserve"> Délibération CRE 202</w:t>
      </w:r>
      <w:r w:rsidR="005D573D">
        <w:t>3-200 du 13 juillet 2023</w:t>
      </w:r>
    </w:p>
  </w:footnote>
  <w:footnote w:id="15">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16">
    <w:p w14:paraId="2F76A38C" w14:textId="64E92E70" w:rsidR="007A5D58" w:rsidRDefault="007A5D58" w:rsidP="007A5D58">
      <w:pPr>
        <w:pStyle w:val="Notedebasdepage"/>
      </w:pPr>
      <w:r>
        <w:rPr>
          <w:rStyle w:val="Appelnotedebasdep"/>
        </w:rPr>
        <w:footnoteRef/>
      </w:r>
      <w:r>
        <w:t xml:space="preserve"> </w:t>
      </w:r>
      <w:proofErr w:type="gramStart"/>
      <w:r>
        <w:t>les</w:t>
      </w:r>
      <w:proofErr w:type="gramEnd"/>
      <w:r>
        <w:t xml:space="preserve">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xml:space="preserve">« Un vent de </w:t>
      </w:r>
      <w:proofErr w:type="gramStart"/>
      <w:r>
        <w:t>folie ,</w:t>
      </w:r>
      <w:proofErr w:type="gramEnd"/>
      <w:r>
        <w:t xml:space="preserve"> l’éolien en France, mensonge et arnaque», chapitre 6).</w:t>
      </w:r>
    </w:p>
  </w:footnote>
  <w:footnote w:id="17">
    <w:p w14:paraId="4F5EF970" w14:textId="36269816" w:rsidR="00F77F71" w:rsidRDefault="00F77F71" w:rsidP="00F77F71">
      <w:pPr>
        <w:pStyle w:val="Notedebasdepage"/>
      </w:pPr>
      <w:r>
        <w:rPr>
          <w:rStyle w:val="Appelnotedebasdep"/>
        </w:rPr>
        <w:footnoteRef/>
      </w:r>
      <w:r>
        <w:t xml:space="preserve"> </w:t>
      </w:r>
      <w:hyperlink r:id="rId5"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18">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19">
    <w:p w14:paraId="54CAD440" w14:textId="0E0C544D" w:rsidR="00AB0CBA" w:rsidRDefault="00F77F71" w:rsidP="00481FF2">
      <w:r>
        <w:rPr>
          <w:rStyle w:val="Appelnotedebasdep"/>
        </w:rPr>
        <w:footnoteRef/>
      </w:r>
      <w:r>
        <w:t xml:space="preserve"> </w:t>
      </w:r>
      <w:hyperlink r:id="rId6" w:history="1">
        <w:r w:rsidR="00AB0CBA" w:rsidRPr="003D4645">
          <w:rPr>
            <w:rStyle w:val="Lienhypertexte"/>
          </w:rPr>
          <w:t>https://www.ecologie.gouv.fr/eolien-en-mer-0</w:t>
        </w:r>
      </w:hyperlink>
    </w:p>
  </w:footnote>
  <w:footnote w:id="20">
    <w:p w14:paraId="0E977B8A" w14:textId="77777777" w:rsidR="00483998" w:rsidRDefault="00483998" w:rsidP="00483998">
      <w:pPr>
        <w:pStyle w:val="Notedebasdepage"/>
      </w:pPr>
      <w:r>
        <w:rPr>
          <w:rStyle w:val="Appelnotedebasdep"/>
        </w:rPr>
        <w:footnoteRef/>
      </w:r>
      <w:r>
        <w:t xml:space="preserve"> Sources ENTSOE, RTE, </w:t>
      </w:r>
    </w:p>
  </w:footnote>
  <w:footnote w:id="21">
    <w:p w14:paraId="0B2934FB" w14:textId="76DBC721" w:rsidR="00696343" w:rsidRDefault="00696343">
      <w:pPr>
        <w:pStyle w:val="Notedebasdepage"/>
      </w:pPr>
      <w:r>
        <w:rPr>
          <w:rStyle w:val="Appelnotedebasdep"/>
        </w:rPr>
        <w:footnoteRef/>
      </w:r>
      <w:r>
        <w:t xml:space="preserve"> </w:t>
      </w:r>
      <w:proofErr w:type="spellStart"/>
      <w:proofErr w:type="gramStart"/>
      <w:r>
        <w:t>i</w:t>
      </w:r>
      <w:r w:rsidR="00481FF2">
        <w:t>l</w:t>
      </w:r>
      <w:r>
        <w:t>l</w:t>
      </w:r>
      <w:proofErr w:type="spellEnd"/>
      <w:proofErr w:type="gramEnd"/>
      <w:r>
        <w:t xml:space="preserve">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22">
    <w:p w14:paraId="2C8C44C6" w14:textId="028E30D4"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CD3AE9">
        <w:t>, partiel au Brésil le 15 août 2023</w:t>
      </w:r>
    </w:p>
  </w:footnote>
  <w:footnote w:id="23">
    <w:p w14:paraId="1D8BF5D6" w14:textId="7E31177A" w:rsidR="006D6B98" w:rsidRDefault="006D6B98">
      <w:pPr>
        <w:pStyle w:val="Notedebasdepage"/>
      </w:pPr>
      <w:r>
        <w:rPr>
          <w:rStyle w:val="Appelnotedebasdep"/>
        </w:rPr>
        <w:footnoteRef/>
      </w:r>
      <w:r>
        <w:t xml:space="preserve"> </w:t>
      </w:r>
      <w:proofErr w:type="gramStart"/>
      <w:r>
        <w:t>L’h</w:t>
      </w:r>
      <w:r w:rsidR="00894F83">
        <w:t xml:space="preserve">ydraulique </w:t>
      </w:r>
      <w:r>
        <w:t xml:space="preserve"> a</w:t>
      </w:r>
      <w:proofErr w:type="gramEnd"/>
      <w:r>
        <w:t xml:space="preserve"> joué un rôle important pour redresser la sit</w:t>
      </w:r>
      <w:r w:rsidR="00894F83">
        <w:t>uation</w:t>
      </w:r>
      <w:r>
        <w:t xml:space="preserve"> et éviter un incident généralisé le 4 novembre 2006 dans l’Europe de l’Ouest </w:t>
      </w:r>
      <w:hyperlink r:id="rId7"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24">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w:t>
      </w:r>
      <w:proofErr w:type="gramStart"/>
      <w:r>
        <w:t>impliquant ,</w:t>
      </w:r>
      <w:proofErr w:type="gramEnd"/>
      <w:r>
        <w:t xml:space="preserve"> non seulement </w:t>
      </w:r>
      <w:r w:rsidR="003E5833">
        <w:t>c</w:t>
      </w:r>
      <w:r>
        <w:t xml:space="preserve">ertains sites hydrauliques, mais aussi les capacités d’ilotage </w:t>
      </w:r>
      <w:r w:rsidR="003E5833">
        <w:t xml:space="preserve">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w:t>
      </w:r>
      <w:proofErr w:type="gramStart"/>
      <w:r w:rsidR="003E5833">
        <w:t>pourrait  créer</w:t>
      </w:r>
      <w:proofErr w:type="gramEnd"/>
      <w:r w:rsidR="003E5833">
        <w:t xml:space="preserve"> des situa</w:t>
      </w:r>
      <w:r w:rsidR="00A13989">
        <w:t>tions</w:t>
      </w:r>
      <w:r w:rsidR="003E5833">
        <w:t xml:space="preserve"> de crise très profonde</w:t>
      </w:r>
    </w:p>
  </w:footnote>
  <w:footnote w:id="25">
    <w:p w14:paraId="03EE121F" w14:textId="2E0940C3" w:rsidR="005A11E9" w:rsidRDefault="005A11E9">
      <w:pPr>
        <w:pStyle w:val="Notedebasdepage"/>
      </w:pPr>
      <w:r>
        <w:rPr>
          <w:rStyle w:val="Appelnotedebasdep"/>
        </w:rPr>
        <w:footnoteRef/>
      </w:r>
      <w:r>
        <w:t xml:space="preserve"> Le potentiel hydroélectrique est évalué en France à 653 MW en sites vierges et à 368 </w:t>
      </w:r>
      <w:proofErr w:type="gramStart"/>
      <w:r>
        <w:t>MW  pour</w:t>
      </w:r>
      <w:proofErr w:type="gramEnd"/>
      <w:r>
        <w:t xml:space="preserve"> l’équipement de seuils déjà existants. </w:t>
      </w:r>
      <w:r w:rsidRPr="005A11E9">
        <w:t>https://www.ecologie.gouv.fr/hydroelectricite</w:t>
      </w:r>
    </w:p>
  </w:footnote>
  <w:footnote w:id="26">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27">
    <w:p w14:paraId="2378D274" w14:textId="5F0A7800" w:rsidR="00AE3637" w:rsidRDefault="00AE3637">
      <w:pPr>
        <w:pStyle w:val="Notedebasdepage"/>
      </w:pPr>
      <w:r>
        <w:rPr>
          <w:rStyle w:val="Appelnotedebasdep"/>
        </w:rPr>
        <w:footnoteRef/>
      </w:r>
      <w:r>
        <w:t xml:space="preserve"> Cf réacteurs nucléaires d’</w:t>
      </w:r>
      <w:proofErr w:type="spellStart"/>
      <w:r>
        <w:t>Oklo</w:t>
      </w:r>
      <w:proofErr w:type="spellEnd"/>
      <w:r>
        <w:t xml:space="preserve"> en Afrique</w:t>
      </w:r>
      <w:r w:rsidR="00D91550">
        <w:t xml:space="preserve"> a produit, il y a deux milliards d’années, des centaines de tonnes de plutonium et des produits de fission. Ces données sont importantes pour la démonstration de sûreté passive apportée par la future installation CIGEO à </w:t>
      </w:r>
      <w:proofErr w:type="gramStart"/>
      <w:r w:rsidR="00D91550">
        <w:t>Bure  pour</w:t>
      </w:r>
      <w:proofErr w:type="gramEnd"/>
      <w:r w:rsidR="00D91550">
        <w:t xml:space="preserve"> le stockage ultime des déchets nucléaires à vie longue. </w:t>
      </w:r>
    </w:p>
  </w:footnote>
  <w:footnote w:id="28">
    <w:p w14:paraId="43CDABCD" w14:textId="4C04663B" w:rsidR="00D308FE" w:rsidRDefault="00D308FE">
      <w:pPr>
        <w:pStyle w:val="Notedebasdepage"/>
      </w:pPr>
      <w:r>
        <w:rPr>
          <w:rStyle w:val="Appelnotedebasdep"/>
        </w:rPr>
        <w:footnoteRef/>
      </w:r>
      <w:r>
        <w:t xml:space="preserve"> Source Agence Internationale de l’Energie Atomique </w:t>
      </w:r>
      <w:hyperlink r:id="rId8" w:history="1">
        <w:r w:rsidR="001A416C" w:rsidRPr="005936B6">
          <w:rPr>
            <w:rStyle w:val="Lienhypertexte"/>
          </w:rPr>
          <w:t>https://pris.iaea.org/pris/</w:t>
        </w:r>
      </w:hyperlink>
    </w:p>
    <w:p w14:paraId="53EF88A3" w14:textId="77777777" w:rsidR="001A416C" w:rsidRDefault="001A416C">
      <w:pPr>
        <w:pStyle w:val="Notedebasdepage"/>
      </w:pPr>
    </w:p>
  </w:footnote>
  <w:footnote w:id="29">
    <w:p w14:paraId="2ED9FCB2" w14:textId="6AD789B0" w:rsidR="00784688" w:rsidRDefault="00784688">
      <w:pPr>
        <w:pStyle w:val="Notedebasdepage"/>
      </w:pPr>
      <w:r>
        <w:rPr>
          <w:rStyle w:val="Appelnotedebasdep"/>
        </w:rPr>
        <w:footnoteRef/>
      </w:r>
      <w:r>
        <w:t xml:space="preserve"> Projections AIEA au 6 octobre 2023 </w:t>
      </w:r>
      <w:r w:rsidRPr="00784688">
        <w:t>https://pris.iaea.org/pris/</w:t>
      </w:r>
    </w:p>
  </w:footnote>
  <w:footnote w:id="30">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w:t>
      </w:r>
      <w:proofErr w:type="spellStart"/>
      <w:r>
        <w:t>Fincantieri</w:t>
      </w:r>
      <w:proofErr w:type="spellEnd"/>
      <w:r>
        <w:t xml:space="preserve"> et d'une société de technologie nucléaire, a déclaré Ugo Salerno, PDG de RINA, à l'agence </w:t>
      </w:r>
      <w:proofErr w:type="spellStart"/>
      <w:r>
        <w:t>Reuters.M</w:t>
      </w:r>
      <w:proofErr w:type="spellEnd"/>
      <w:r>
        <w:t xml:space="preserve">.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31">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32">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33">
    <w:p w14:paraId="5896A42A" w14:textId="77777777" w:rsidR="00FA1FF7" w:rsidRDefault="00FA1FF7" w:rsidP="00FA1FF7">
      <w:pPr>
        <w:pStyle w:val="Notedebasdepage"/>
      </w:pPr>
      <w:r>
        <w:rPr>
          <w:rStyle w:val="Appelnotedebasdep"/>
        </w:rPr>
        <w:footnoteRef/>
      </w:r>
      <w:r>
        <w:t xml:space="preserve"> </w:t>
      </w:r>
      <w:hyperlink r:id="rId9"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34">
    <w:p w14:paraId="6B1437C9" w14:textId="77777777" w:rsidR="00FA1FF7" w:rsidRDefault="00FA1FF7" w:rsidP="00FA1FF7">
      <w:pPr>
        <w:pStyle w:val="Notedebasdepage"/>
      </w:pPr>
      <w:r>
        <w:rPr>
          <w:rStyle w:val="Appelnotedebasdep"/>
        </w:rPr>
        <w:footnoteRef/>
      </w:r>
      <w:r>
        <w:t xml:space="preserve"> </w:t>
      </w:r>
      <w:hyperlink r:id="rId10"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35">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36">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37">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w:t>
      </w:r>
      <w:proofErr w:type="spellStart"/>
      <w:r>
        <w:t>prologement</w:t>
      </w:r>
      <w:proofErr w:type="spellEnd"/>
      <w:r>
        <w:t xml:space="preserve"> de tous les réacteurs nucléaires qui peuvent l’être et le lancement d'un grand programme de nouveaux réacteurs nucléaires </w:t>
      </w:r>
      <w:r w:rsidRPr="00344B5B">
        <w:t>https://www.elysee.fr/emmanuel-macron/2022/02/10/reprendre-en-main-notre-destin-energetique</w:t>
      </w:r>
    </w:p>
  </w:footnote>
  <w:footnote w:id="38">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39">
    <w:p w14:paraId="4D40DAF4" w14:textId="77777777" w:rsidR="00FA1FF7" w:rsidRDefault="00FA1FF7" w:rsidP="00FA1FF7">
      <w:pPr>
        <w:pStyle w:val="Notedebasdepage"/>
      </w:pPr>
      <w:r>
        <w:rPr>
          <w:rStyle w:val="Appelnotedebasdep"/>
        </w:rPr>
        <w:footnoteRef/>
      </w:r>
      <w:r>
        <w:t>Voir les projets de Type SFR, Sodium-</w:t>
      </w:r>
      <w:proofErr w:type="spellStart"/>
      <w:r>
        <w:t>cooled</w:t>
      </w:r>
      <w:proofErr w:type="spellEnd"/>
      <w:r>
        <w:t xml:space="preserve"> Fast </w:t>
      </w:r>
      <w:proofErr w:type="spellStart"/>
      <w:r>
        <w:t>Reactor</w:t>
      </w:r>
      <w:proofErr w:type="spellEnd"/>
      <w:r>
        <w:t xml:space="preserve"> à travers le </w:t>
      </w:r>
      <w:proofErr w:type="gramStart"/>
      <w:r>
        <w:t xml:space="preserve">monde  </w:t>
      </w:r>
      <w:r w:rsidRPr="00584A25">
        <w:t>https://aris.iaea.org/sites/overview.html</w:t>
      </w:r>
      <w:proofErr w:type="gramEnd"/>
    </w:p>
  </w:footnote>
  <w:footnote w:id="40">
    <w:p w14:paraId="5A2C8BFE" w14:textId="3BFF55E5" w:rsidR="00FA1FF7" w:rsidRDefault="00FA1FF7">
      <w:pPr>
        <w:pStyle w:val="Notedebasdepage"/>
      </w:pPr>
      <w:r>
        <w:rPr>
          <w:rStyle w:val="Appelnotedebasdep"/>
        </w:rPr>
        <w:footnoteRef/>
      </w:r>
      <w:r>
        <w:t xml:space="preserve"> Le suivi de charge a été intégré d</w:t>
      </w:r>
      <w:r w:rsidR="00BA670A">
        <w:t>è</w:t>
      </w:r>
      <w:r>
        <w:t>s la conception dans les réacteurs français aujourd’hui en exploitation ou en développement</w:t>
      </w:r>
    </w:p>
  </w:footnote>
  <w:footnote w:id="41">
    <w:p w14:paraId="6BB9865F" w14:textId="407CF367" w:rsidR="00FA1FF7" w:rsidRDefault="00FA1FF7">
      <w:pPr>
        <w:pStyle w:val="Notedebasdepage"/>
      </w:pPr>
      <w:r>
        <w:rPr>
          <w:rStyle w:val="Appelnotedebasdep"/>
        </w:rPr>
        <w:footnoteRef/>
      </w:r>
      <w:r>
        <w:t xml:space="preserve"> 6 g de CO2 par kWh</w:t>
      </w:r>
    </w:p>
  </w:footnote>
  <w:footnote w:id="42">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43">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44">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w:t>
      </w:r>
      <w:proofErr w:type="spellStart"/>
      <w:r>
        <w:t>Daichi</w:t>
      </w:r>
      <w:proofErr w:type="spellEnd"/>
      <w:r>
        <w:t xml:space="preserve"> 1 2 et </w:t>
      </w:r>
      <w:proofErr w:type="gramStart"/>
      <w:r>
        <w:t>3 ,</w:t>
      </w:r>
      <w:proofErr w:type="gramEnd"/>
      <w:r>
        <w:t xml:space="preserve">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w:t>
      </w:r>
      <w:proofErr w:type="spellStart"/>
      <w:r>
        <w:t>Daichi</w:t>
      </w:r>
      <w:proofErr w:type="spellEnd"/>
      <w:r>
        <w:t xml:space="preserve"> 4, à l’arrêt </w:t>
      </w:r>
      <w:r w:rsidR="00586874">
        <w:t xml:space="preserve">programmé </w:t>
      </w:r>
      <w:r>
        <w:t xml:space="preserve">lors du tsunami, et </w:t>
      </w:r>
      <w:proofErr w:type="gramStart"/>
      <w:r>
        <w:t xml:space="preserve">Fukushima  </w:t>
      </w:r>
      <w:proofErr w:type="spellStart"/>
      <w:r>
        <w:t>Daichi</w:t>
      </w:r>
      <w:proofErr w:type="spellEnd"/>
      <w:proofErr w:type="gramEnd"/>
      <w:r>
        <w:t xml:space="preserve"> 56 et Fukushima </w:t>
      </w:r>
      <w:proofErr w:type="spellStart"/>
      <w:r>
        <w:t>Daini</w:t>
      </w:r>
      <w:proofErr w:type="spellEnd"/>
      <w:r>
        <w:t xml:space="preserve"> 1234, plus récents, exposés aux mêmes vagues, mais mieux protégés, n’ont pas subi de fusion du cœur. </w:t>
      </w:r>
    </w:p>
  </w:footnote>
  <w:footnote w:id="45">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w:t>
      </w:r>
      <w:proofErr w:type="gramStart"/>
      <w:r w:rsidR="00C517B9">
        <w:t>kilomètres ,</w:t>
      </w:r>
      <w:proofErr w:type="gramEnd"/>
      <w:r w:rsidR="00C517B9">
        <w:t xml:space="preserve"> Fukushima </w:t>
      </w:r>
      <w:proofErr w:type="spellStart"/>
      <w:r w:rsidR="00C517B9">
        <w:t>Daini</w:t>
      </w:r>
      <w:proofErr w:type="spellEnd"/>
      <w:r w:rsidR="00C517B9">
        <w:t xml:space="preserve">, avec 4 réacteurs, n’ont pas été accidentés bien que soumis aux mêmes vagues. </w:t>
      </w:r>
    </w:p>
  </w:footnote>
  <w:footnote w:id="46">
    <w:p w14:paraId="12666789" w14:textId="0088FD19" w:rsidR="00756DBC" w:rsidRDefault="00756DBC">
      <w:pPr>
        <w:pStyle w:val="Notedebasdepage"/>
      </w:pPr>
      <w:r>
        <w:rPr>
          <w:rStyle w:val="Appelnotedebasdep"/>
        </w:rPr>
        <w:footnoteRef/>
      </w:r>
      <w:r>
        <w:t xml:space="preserve"> Le développement de l’intelligence dite artificielle entraine des dispositions </w:t>
      </w:r>
      <w:proofErr w:type="gramStart"/>
      <w:r>
        <w:t>complémentaires ,</w:t>
      </w:r>
      <w:proofErr w:type="gramEnd"/>
      <w:r>
        <w:t xml:space="preserve"> voir Nouveaux réacteurs, Intelligence artificielle et Sûreté Nucléaire </w:t>
      </w:r>
      <w:r w:rsidRPr="00756DBC">
        <w:t>https://malicorne.over-blog.com/2023/02/nouveaux-reacteurs-et-surete-nucleaire.html</w:t>
      </w:r>
    </w:p>
  </w:footnote>
  <w:footnote w:id="47">
    <w:p w14:paraId="21518B13" w14:textId="47794085" w:rsidR="002A27F8" w:rsidRDefault="002A27F8">
      <w:pPr>
        <w:pStyle w:val="Notedebasdepage"/>
      </w:pPr>
      <w:r>
        <w:rPr>
          <w:rStyle w:val="Appelnotedebasdep"/>
        </w:rPr>
        <w:footnoteRef/>
      </w:r>
      <w:r>
        <w:t xml:space="preserve"> </w:t>
      </w:r>
      <w:hyperlink r:id="rId11" w:history="1">
        <w:r w:rsidRPr="00F24E79">
          <w:rPr>
            <w:rStyle w:val="Lienhypertexte"/>
          </w:rPr>
          <w:t>http://www.hctisn.fr/</w:t>
        </w:r>
      </w:hyperlink>
    </w:p>
    <w:p w14:paraId="7E351F00" w14:textId="77777777" w:rsidR="002A27F8" w:rsidRDefault="002A27F8">
      <w:pPr>
        <w:pStyle w:val="Notedebasdepage"/>
      </w:pPr>
    </w:p>
  </w:footnote>
  <w:footnote w:id="48">
    <w:p w14:paraId="427E0FE5" w14:textId="71BC12DB" w:rsidR="002A27F8" w:rsidRDefault="002A27F8">
      <w:pPr>
        <w:pStyle w:val="Notedebasdepage"/>
      </w:pPr>
      <w:r>
        <w:rPr>
          <w:rStyle w:val="Appelnotedebasdep"/>
        </w:rPr>
        <w:footnoteRef/>
      </w:r>
      <w:r>
        <w:t xml:space="preserve"> </w:t>
      </w:r>
      <w:hyperlink r:id="rId12" w:history="1">
        <w:r w:rsidRPr="00F24E79">
          <w:rPr>
            <w:rStyle w:val="Lienhypertexte"/>
          </w:rPr>
          <w:t>http://www.senat.fr/opecst/</w:t>
        </w:r>
      </w:hyperlink>
    </w:p>
    <w:p w14:paraId="24E99486" w14:textId="77777777" w:rsidR="002A27F8" w:rsidRDefault="002A27F8">
      <w:pPr>
        <w:pStyle w:val="Notedebasdepage"/>
      </w:pPr>
    </w:p>
  </w:footnote>
  <w:footnote w:id="49">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w:t>
      </w:r>
      <w:proofErr w:type="gramStart"/>
      <w:r>
        <w:t>l’attitude,  Rigueur</w:t>
      </w:r>
      <w:proofErr w:type="gramEnd"/>
      <w:r>
        <w:t xml:space="preserve">, Prudence, Attitude interrogative, Communication, Transparence… INSAG ( International </w:t>
      </w:r>
      <w:proofErr w:type="spellStart"/>
      <w:r>
        <w:t>Nuclear</w:t>
      </w:r>
      <w:proofErr w:type="spellEnd"/>
      <w:r>
        <w:t xml:space="preserve"> </w:t>
      </w:r>
      <w:proofErr w:type="spellStart"/>
      <w:r>
        <w:t>Safety</w:t>
      </w:r>
      <w:proofErr w:type="spellEnd"/>
      <w:r>
        <w:t xml:space="preserve"> Advisory Group ) est un groupe d’experts de l’AIEA</w:t>
      </w:r>
    </w:p>
  </w:footnote>
  <w:footnote w:id="50">
    <w:p w14:paraId="2B317DDD" w14:textId="77777777" w:rsidR="00143986" w:rsidRDefault="00143986" w:rsidP="00143986">
      <w:pPr>
        <w:pStyle w:val="Notedebasdepage"/>
      </w:pPr>
      <w:r>
        <w:rPr>
          <w:rStyle w:val="Appelnotedebasdep"/>
        </w:rPr>
        <w:footnoteRef/>
      </w:r>
      <w:r>
        <w:t xml:space="preserve"> WANO World Association of </w:t>
      </w:r>
      <w:proofErr w:type="spellStart"/>
      <w:r>
        <w:t>Nuclear</w:t>
      </w:r>
      <w:proofErr w:type="spellEnd"/>
      <w:r>
        <w:t xml:space="preserve"> </w:t>
      </w:r>
      <w:proofErr w:type="spellStart"/>
      <w:r>
        <w:t>Operators</w:t>
      </w:r>
      <w:proofErr w:type="spellEnd"/>
      <w:r>
        <w:t xml:space="preserve"> </w:t>
      </w:r>
      <w:r w:rsidRPr="00D308FE">
        <w:t>https://www.wano.info/</w:t>
      </w:r>
    </w:p>
  </w:footnote>
  <w:footnote w:id="51">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proofErr w:type="spellStart"/>
      <w:r w:rsidRPr="00876AF2">
        <w:t>à</w:t>
      </w:r>
      <w:proofErr w:type="spellEnd"/>
      <w:r w:rsidRPr="00876AF2">
        <w:t xml:space="preserve"> </w:t>
      </w:r>
      <w:r>
        <w:t xml:space="preserve">Sapporo au japon le 16 avril 2023, </w:t>
      </w:r>
      <w:r w:rsidRPr="00876AF2">
        <w:t>https://malicorne.over-blog.com/2023/04/surete-nucleaire-geopolitique-et-culture-de-surete.html</w:t>
      </w:r>
    </w:p>
  </w:footnote>
  <w:footnote w:id="52">
    <w:p w14:paraId="6353EAA0" w14:textId="00D3452B" w:rsidR="00377727" w:rsidRDefault="00377727">
      <w:pPr>
        <w:pStyle w:val="Notedebasdepage"/>
      </w:pPr>
      <w:r>
        <w:rPr>
          <w:rStyle w:val="Appelnotedebasdep"/>
        </w:rPr>
        <w:footnoteRef/>
      </w:r>
      <w:r>
        <w:t xml:space="preserve"> De par leur </w:t>
      </w:r>
      <w:proofErr w:type="gramStart"/>
      <w:r>
        <w:t>nature,  au</w:t>
      </w:r>
      <w:proofErr w:type="gramEnd"/>
      <w:r>
        <w:t xml:space="preserve">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me électrique</w:t>
      </w:r>
      <w:r w:rsidR="00A43168">
        <w:t xml:space="preserve"> ou d’autres infrastructures vitales pour la population et l’économie. </w:t>
      </w:r>
    </w:p>
  </w:footnote>
  <w:footnote w:id="53">
    <w:p w14:paraId="1669609F" w14:textId="2AA05349" w:rsidR="00535711" w:rsidRDefault="00535711">
      <w:pPr>
        <w:pStyle w:val="Notedebasdepage"/>
      </w:pPr>
      <w:r>
        <w:rPr>
          <w:rStyle w:val="Appelnotedebasdep"/>
        </w:rPr>
        <w:footnoteRef/>
      </w:r>
      <w:r>
        <w:t xml:space="preserve"> Voir notamment le dossier de demande d’autorisation de Création de CIGEO déposé le 16 janvier 2023 dont le dossier est disponible à </w:t>
      </w:r>
      <w:r w:rsidRPr="00535711">
        <w:t>https://www.andra.fr/cigeo/les-documents-de-reference</w:t>
      </w:r>
    </w:p>
  </w:footnote>
  <w:footnote w:id="54">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55">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w:t>
      </w:r>
      <w:proofErr w:type="spellStart"/>
      <w:r>
        <w:t>auprés</w:t>
      </w:r>
      <w:proofErr w:type="spellEnd"/>
      <w:r>
        <w:t xml:space="preserve"> du Conseil d’Etat le 9 aout 2022. </w:t>
      </w:r>
    </w:p>
  </w:footnote>
  <w:footnote w:id="56">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w:t>
      </w:r>
      <w:proofErr w:type="gramStart"/>
      <w:r w:rsidR="003029FE">
        <w:rPr>
          <w:rFonts w:asciiTheme="minorHAnsi" w:eastAsiaTheme="minorHAnsi" w:hAnsiTheme="minorHAnsi" w:cstheme="minorBidi"/>
          <w:sz w:val="20"/>
          <w:szCs w:val="20"/>
          <w:lang w:eastAsia="en-US"/>
        </w:rPr>
        <w:t xml:space="preserve">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59,162</w:t>
      </w:r>
      <w:proofErr w:type="gramEnd"/>
      <w:r w:rsidR="003029FE">
        <w:rPr>
          <w:rFonts w:asciiTheme="minorHAnsi" w:eastAsiaTheme="minorHAnsi" w:hAnsiTheme="minorHAnsi" w:cstheme="minorBidi"/>
          <w:sz w:val="20"/>
          <w:szCs w:val="20"/>
          <w:lang w:eastAsia="en-US"/>
        </w:rPr>
        <w:t xml:space="preserve"> Milliards d’euros pour le Groupe EDF pour 2022, dont 23,8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gestion de l’aval du cycle du combustible nucléaire et le traitement ultime des déchets nucléaires en France, et 19,5 </w:t>
      </w:r>
      <w:proofErr w:type="spellStart"/>
      <w:r w:rsidR="003029FE">
        <w:rPr>
          <w:rFonts w:asciiTheme="minorHAnsi" w:eastAsiaTheme="minorHAnsi" w:hAnsiTheme="minorHAnsi" w:cstheme="minorBidi"/>
          <w:sz w:val="20"/>
          <w:szCs w:val="20"/>
          <w:lang w:eastAsia="en-US"/>
        </w:rPr>
        <w:t>MdEuros</w:t>
      </w:r>
      <w:proofErr w:type="spellEnd"/>
      <w:r w:rsidR="003029FE">
        <w:rPr>
          <w:rFonts w:asciiTheme="minorHAnsi" w:eastAsiaTheme="minorHAnsi" w:hAnsiTheme="minorHAnsi" w:cstheme="minorBidi"/>
          <w:sz w:val="20"/>
          <w:szCs w:val="20"/>
          <w:lang w:eastAsia="en-US"/>
        </w:rPr>
        <w:t xml:space="preserve"> pour la déconstruction des centrales et dernier cœur en France, </w:t>
      </w:r>
      <w:proofErr w:type="spellStart"/>
      <w:r w:rsidR="003029FE">
        <w:rPr>
          <w:rFonts w:asciiTheme="minorHAnsi" w:eastAsiaTheme="minorHAnsi" w:hAnsiTheme="minorHAnsi" w:cstheme="minorBidi"/>
          <w:sz w:val="20"/>
          <w:szCs w:val="20"/>
          <w:lang w:eastAsia="en-US"/>
        </w:rPr>
        <w:t>cf</w:t>
      </w:r>
      <w:proofErr w:type="spellEnd"/>
      <w:r w:rsidR="003029FE">
        <w:rPr>
          <w:rFonts w:asciiTheme="minorHAnsi" w:eastAsiaTheme="minorHAnsi" w:hAnsiTheme="minorHAnsi" w:cstheme="minorBidi"/>
          <w:sz w:val="20"/>
          <w:szCs w:val="20"/>
          <w:lang w:eastAsia="en-US"/>
        </w:rPr>
        <w:t xml:space="preserve"> note 15 page 429 du rapport financier annuel d’EDF pour 2022</w:t>
      </w:r>
    </w:p>
    <w:p w14:paraId="6609EB82" w14:textId="66807061" w:rsidR="003029FE" w:rsidRPr="004B422D" w:rsidRDefault="00000000" w:rsidP="004B422D">
      <w:pPr>
        <w:pStyle w:val="NormalWeb"/>
        <w:spacing w:before="0" w:beforeAutospacing="0" w:after="0" w:afterAutospacing="0"/>
        <w:rPr>
          <w:rFonts w:asciiTheme="minorHAnsi" w:eastAsiaTheme="minorHAnsi" w:hAnsiTheme="minorHAnsi" w:cstheme="minorBidi"/>
          <w:sz w:val="20"/>
          <w:szCs w:val="20"/>
          <w:lang w:eastAsia="en-US"/>
        </w:rPr>
      </w:pPr>
      <w:hyperlink r:id="rId13" w:history="1">
        <w:r w:rsidR="003029FE"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7D195221" w14:textId="733E52A1" w:rsidR="004B422D" w:rsidRDefault="004B422D">
      <w:pPr>
        <w:pStyle w:val="Notedebasdepage"/>
      </w:pPr>
    </w:p>
  </w:footnote>
  <w:footnote w:id="57">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58">
    <w:p w14:paraId="3B5C214D" w14:textId="65E9E5E4" w:rsidR="00CD4DF1" w:rsidRDefault="00CD4DF1">
      <w:pPr>
        <w:pStyle w:val="Notedebasdepage"/>
      </w:pPr>
      <w:r>
        <w:rPr>
          <w:rStyle w:val="Appelnotedebasdep"/>
        </w:rPr>
        <w:footnoteRef/>
      </w:r>
      <w:r>
        <w:t xml:space="preserve"> </w:t>
      </w:r>
      <w:proofErr w:type="gramStart"/>
      <w:r>
        <w:t>sur</w:t>
      </w:r>
      <w:proofErr w:type="gramEnd"/>
      <w:r>
        <w:t xml:space="preserve"> les réacteurs à eau bouillante, à chimie plus agressive, ce phénomène est plus courant</w:t>
      </w:r>
    </w:p>
  </w:footnote>
  <w:footnote w:id="59">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60">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61">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14"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62">
    <w:p w14:paraId="60B21F5B" w14:textId="370CF7C6" w:rsidR="00E97433" w:rsidRDefault="00E97433">
      <w:pPr>
        <w:pStyle w:val="Notedebasdepage"/>
      </w:pPr>
      <w:r>
        <w:rPr>
          <w:rStyle w:val="Appelnotedebasdep"/>
        </w:rPr>
        <w:footnoteRef/>
      </w:r>
      <w:r>
        <w:t xml:space="preserve"> Audition de Luc </w:t>
      </w:r>
      <w:proofErr w:type="spellStart"/>
      <w:r>
        <w:t>rémont</w:t>
      </w:r>
      <w:proofErr w:type="spellEnd"/>
      <w:r>
        <w:t xml:space="preserve"> au Parlement, 19 juillet 2023, </w:t>
      </w:r>
      <w:hyperlink r:id="rId15"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63">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64">
    <w:p w14:paraId="05C6827A" w14:textId="50A4697E" w:rsidR="008441F2" w:rsidRDefault="008441F2">
      <w:pPr>
        <w:pStyle w:val="Notedebasdepage"/>
      </w:pPr>
      <w:r>
        <w:rPr>
          <w:rStyle w:val="Appelnotedebasdep"/>
        </w:rPr>
        <w:footnoteRef/>
      </w:r>
      <w:r>
        <w:t xml:space="preserve"> </w:t>
      </w:r>
      <w:proofErr w:type="gramStart"/>
      <w:r>
        <w:t>tubes</w:t>
      </w:r>
      <w:proofErr w:type="gramEnd"/>
      <w:r>
        <w:t xml:space="preserve"> et coudes selon communique EDF du 18 mai 2022</w:t>
      </w:r>
    </w:p>
  </w:footnote>
  <w:footnote w:id="65">
    <w:p w14:paraId="2ED06E10" w14:textId="145AF9B9" w:rsidR="00F23E0A" w:rsidRDefault="00F23E0A">
      <w:pPr>
        <w:pStyle w:val="Notedebasdepage"/>
      </w:pPr>
      <w:r>
        <w:rPr>
          <w:rStyle w:val="Appelnotedebasdep"/>
        </w:rPr>
        <w:footnoteRef/>
      </w:r>
      <w:r>
        <w:t xml:space="preserve"> </w:t>
      </w:r>
      <w:hyperlink r:id="rId16"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66">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 xml:space="preserve">Italie le 28 septembre </w:t>
      </w:r>
      <w:proofErr w:type="gramStart"/>
      <w:r w:rsidR="00665A9A">
        <w:t>2003</w:t>
      </w:r>
      <w:r w:rsidR="003E38C3">
        <w:t xml:space="preserve"> ,</w:t>
      </w:r>
      <w:proofErr w:type="gramEnd"/>
      <w:r w:rsidR="003E38C3">
        <w:t xml:space="preserve"> l’incident du 4 novembre 2006 sur toute l’Europe de l’Ouest,</w:t>
      </w:r>
      <w:r w:rsidR="00665A9A">
        <w:t xml:space="preserve"> </w:t>
      </w:r>
      <w:r w:rsidR="00D4358C">
        <w:t>rappellent</w:t>
      </w:r>
      <w:r w:rsidR="003E38C3">
        <w:t xml:space="preserve"> la nécessité de préserver une attitude prudente au regard du risque de </w:t>
      </w:r>
      <w:proofErr w:type="spellStart"/>
      <w:r w:rsidR="003E38C3">
        <w:t>black out</w:t>
      </w:r>
      <w:proofErr w:type="spellEnd"/>
      <w:r w:rsidR="003E38C3">
        <w:t xml:space="preserve">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67">
    <w:p w14:paraId="7DA5E6E1" w14:textId="1524C8AB" w:rsidR="008E6A1F" w:rsidRDefault="008E6A1F">
      <w:pPr>
        <w:pStyle w:val="Notedebasdepage"/>
      </w:pPr>
      <w:r>
        <w:rPr>
          <w:rStyle w:val="Appelnotedebasdep"/>
        </w:rPr>
        <w:footnoteRef/>
      </w:r>
      <w:r>
        <w:t xml:space="preserve"> Maximum France à l’exportation est désormais </w:t>
      </w:r>
      <w:proofErr w:type="gramStart"/>
      <w:r>
        <w:t xml:space="preserve">de  </w:t>
      </w:r>
      <w:r w:rsidRPr="008E6A1F">
        <w:t>17</w:t>
      </w:r>
      <w:proofErr w:type="gramEnd"/>
      <w:r w:rsidRPr="008E6A1F">
        <w:t xml:space="preserve"> 636  MW le 31 mars 2023</w:t>
      </w:r>
    </w:p>
  </w:footnote>
  <w:footnote w:id="68">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69">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w:t>
      </w:r>
      <w:proofErr w:type="gramStart"/>
      <w:r>
        <w:t>et  qui</w:t>
      </w:r>
      <w:proofErr w:type="gramEnd"/>
      <w:r>
        <w:t xml:space="preserve"> mettra probablement plusieurs années à ses réaliser</w:t>
      </w:r>
    </w:p>
  </w:footnote>
  <w:footnote w:id="70">
    <w:p w14:paraId="663471B7" w14:textId="61F41079" w:rsidR="009E5450" w:rsidRDefault="009E5450">
      <w:pPr>
        <w:pStyle w:val="Notedebasdepage"/>
      </w:pPr>
      <w:r>
        <w:rPr>
          <w:rStyle w:val="Appelnotedebasdep"/>
        </w:rPr>
        <w:footnoteRef/>
      </w:r>
      <w:r>
        <w:t xml:space="preserve"> Les deux réacteurs EPR à </w:t>
      </w:r>
      <w:proofErr w:type="spellStart"/>
      <w:r>
        <w:t>Taishan</w:t>
      </w:r>
      <w:proofErr w:type="spellEnd"/>
      <w:r>
        <w:t xml:space="preserve"> en Chine</w:t>
      </w:r>
      <w:r w:rsidR="008E6A1F">
        <w:t xml:space="preserve">, dont le premier couplage ont </w:t>
      </w:r>
      <w:proofErr w:type="spellStart"/>
      <w:r w:rsidR="008E6A1F">
        <w:t>éu</w:t>
      </w:r>
      <w:proofErr w:type="spellEnd"/>
      <w:r w:rsidR="008E6A1F">
        <w:t xml:space="preserve"> lieu respectivement le 29 juin 2018 pour </w:t>
      </w:r>
      <w:proofErr w:type="spellStart"/>
      <w:r w:rsidR="008E6A1F">
        <w:t>Taishan</w:t>
      </w:r>
      <w:proofErr w:type="spellEnd"/>
      <w:r w:rsidR="008E6A1F">
        <w:t xml:space="preserve"> 1 et </w:t>
      </w:r>
      <w:proofErr w:type="spellStart"/>
      <w:r w:rsidR="008E6A1F">
        <w:t>Taishan</w:t>
      </w:r>
      <w:proofErr w:type="spellEnd"/>
      <w:r w:rsidR="008E6A1F">
        <w:t xml:space="preserve"> </w:t>
      </w:r>
      <w:proofErr w:type="gramStart"/>
      <w:r w:rsidR="008E6A1F">
        <w:t>2 ,</w:t>
      </w:r>
      <w:proofErr w:type="gramEnd"/>
      <w:r w:rsidR="008E6A1F">
        <w:t xml:space="preserve"> le 23 juin 2019, </w:t>
      </w:r>
      <w:r>
        <w:t xml:space="preserve"> ont déjà produit 73 TWh à fin 2022</w:t>
      </w:r>
      <w:r w:rsidR="008E6A1F">
        <w:t xml:space="preserve">. Maximum de production annuelle, </w:t>
      </w:r>
      <w:proofErr w:type="spellStart"/>
      <w:r w:rsidR="008E6A1F">
        <w:t>Taishan</w:t>
      </w:r>
      <w:proofErr w:type="spellEnd"/>
      <w:r w:rsidR="008E6A1F">
        <w:t xml:space="preserve"> 2 avec 12,5 TWh. </w:t>
      </w:r>
    </w:p>
  </w:footnote>
  <w:footnote w:id="71">
    <w:p w14:paraId="4702A277" w14:textId="0130D452" w:rsidR="00C158BD" w:rsidRDefault="00C158BD">
      <w:pPr>
        <w:pStyle w:val="Notedebasdepage"/>
      </w:pPr>
      <w:r>
        <w:rPr>
          <w:rStyle w:val="Appelnotedebasdep"/>
        </w:rPr>
        <w:footnoteRef/>
      </w:r>
      <w:r>
        <w:t xml:space="preserve"> Premier couplage de </w:t>
      </w:r>
      <w:proofErr w:type="spellStart"/>
      <w:r>
        <w:t>Olkiluoto</w:t>
      </w:r>
      <w:proofErr w:type="spellEnd"/>
      <w:r>
        <w:t xml:space="preserve"> </w:t>
      </w:r>
      <w:proofErr w:type="gramStart"/>
      <w:r>
        <w:t>3 ,</w:t>
      </w:r>
      <w:proofErr w:type="gramEnd"/>
      <w:r>
        <w:t xml:space="preserve"> 12 mars 2022</w:t>
      </w:r>
    </w:p>
  </w:footnote>
  <w:footnote w:id="72">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73">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74">
    <w:p w14:paraId="07F5A022" w14:textId="23AE9E7E" w:rsidR="009F49DC" w:rsidRPr="009F49DC" w:rsidRDefault="009F49DC">
      <w:pPr>
        <w:pStyle w:val="Notedebasdepage"/>
      </w:pPr>
      <w:r>
        <w:rPr>
          <w:rStyle w:val="Appelnotedebasdep"/>
        </w:rPr>
        <w:footnoteRef/>
      </w:r>
      <w:r w:rsidRPr="009F49DC">
        <w:t xml:space="preserve"> </w:t>
      </w:r>
      <w:hyperlink r:id="rId17"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w:t>
      </w:r>
      <w:proofErr w:type="gramStart"/>
      <w:r>
        <w:t>l’industrie</w:t>
      </w:r>
      <w:proofErr w:type="gramEnd"/>
      <w:r>
        <w:t xml:space="preserv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75">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76">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w:t>
      </w:r>
      <w:proofErr w:type="gramStart"/>
      <w:r>
        <w:t xml:space="preserve">( </w:t>
      </w:r>
      <w:proofErr w:type="spellStart"/>
      <w:r>
        <w:t>cf</w:t>
      </w:r>
      <w:proofErr w:type="spellEnd"/>
      <w:proofErr w:type="gramEnd"/>
      <w:r>
        <w:t xml:space="preserve"> « projets « </w:t>
      </w:r>
      <w:r w:rsidRPr="002B6F6C">
        <w:rPr>
          <w:i/>
          <w:iCs/>
        </w:rPr>
        <w:t xml:space="preserve">starts </w:t>
      </w:r>
      <w:proofErr w:type="spellStart"/>
      <w:r w:rsidRPr="002B6F6C">
        <w:rPr>
          <w:i/>
          <w:iCs/>
        </w:rPr>
        <w:t>ups</w:t>
      </w:r>
      <w:proofErr w:type="spellEnd"/>
      <w:r>
        <w:t> »…)</w:t>
      </w:r>
    </w:p>
  </w:footnote>
  <w:footnote w:id="77">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78">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79">
    <w:p w14:paraId="728E3A42" w14:textId="77777777" w:rsidR="002557D6" w:rsidRDefault="002557D6" w:rsidP="002557D6">
      <w:pPr>
        <w:pStyle w:val="Notedebasdepage"/>
      </w:pPr>
      <w:r>
        <w:rPr>
          <w:rStyle w:val="Appelnotedebasdep"/>
        </w:rPr>
        <w:footnoteRef/>
      </w:r>
      <w:r>
        <w:t xml:space="preserve"> Les 51,7 milliards d’euros se décomposent en 3,8 </w:t>
      </w:r>
      <w:proofErr w:type="spellStart"/>
      <w:r>
        <w:t>Meuros</w:t>
      </w:r>
      <w:proofErr w:type="spellEnd"/>
      <w:r>
        <w:t xml:space="preserve"> en cout de développement du palier EPR2, 16,9 </w:t>
      </w:r>
      <w:proofErr w:type="spellStart"/>
      <w:r>
        <w:t>Meuros</w:t>
      </w:r>
      <w:proofErr w:type="spellEnd"/>
      <w:r>
        <w:t xml:space="preserve"> pour la paire Penly, 15,8 </w:t>
      </w:r>
      <w:proofErr w:type="spellStart"/>
      <w:r>
        <w:t>Meuros</w:t>
      </w:r>
      <w:proofErr w:type="spellEnd"/>
      <w:r>
        <w:t xml:space="preserve"> pour la paire Gravelines, et 15,3 </w:t>
      </w:r>
      <w:proofErr w:type="spellStart"/>
      <w:r>
        <w:t>Meuros</w:t>
      </w:r>
      <w:proofErr w:type="spellEnd"/>
      <w:r>
        <w:t xml:space="preserve"> pour une paire en bord de </w:t>
      </w:r>
      <w:proofErr w:type="spellStart"/>
      <w:r>
        <w:t>riviére</w:t>
      </w:r>
      <w:proofErr w:type="spellEnd"/>
      <w:r>
        <w:t xml:space="preserve">. Cf Dossier Maitre d’ouvrage EPR 2 Penly. </w:t>
      </w:r>
    </w:p>
  </w:footnote>
  <w:footnote w:id="80">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81">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82">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83">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18"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84">
    <w:p w14:paraId="5EC8AAA7" w14:textId="0AD20551" w:rsidR="00A83C30" w:rsidRDefault="00A83C30">
      <w:pPr>
        <w:pStyle w:val="Notedebasdepage"/>
      </w:pPr>
      <w:r>
        <w:rPr>
          <w:rStyle w:val="Appelnotedebasdep"/>
        </w:rPr>
        <w:footnoteRef/>
      </w:r>
      <w:r>
        <w:t xml:space="preserve"> Délai annoncé par EDF </w:t>
      </w:r>
      <w:proofErr w:type="spellStart"/>
      <w:r>
        <w:t>Nuward</w:t>
      </w:r>
      <w:proofErr w:type="spellEnd"/>
      <w:r>
        <w:t>, 40 mois entre le premier béton et le couplage</w:t>
      </w:r>
    </w:p>
  </w:footnote>
  <w:footnote w:id="85">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86">
    <w:p w14:paraId="174FCAAB" w14:textId="0E0132AA" w:rsidR="00F45B04" w:rsidRDefault="00F45B04">
      <w:pPr>
        <w:pStyle w:val="Notedebasdepage"/>
      </w:pPr>
      <w:r>
        <w:rPr>
          <w:rStyle w:val="Appelnotedebasdep"/>
        </w:rPr>
        <w:footnoteRef/>
      </w:r>
      <w:r>
        <w:t xml:space="preserve"> Voir notamment le projet US Phoenix de petits réacteurs </w:t>
      </w:r>
      <w:proofErr w:type="gramStart"/>
      <w:r>
        <w:t>SMR  susceptible</w:t>
      </w:r>
      <w:proofErr w:type="gramEnd"/>
      <w:r>
        <w:t xml:space="preserve"> de se déployer en République Tchèque, en Roumanie et en Pologne </w:t>
      </w:r>
      <w:r w:rsidRPr="00F45B04">
        <w:t>https://malicorne.over-blog.com/2023/10/petits-reacteurs-en-europe-surete-nucleaire-et-souverainete-energetique.html</w:t>
      </w:r>
    </w:p>
  </w:footnote>
  <w:footnote w:id="87">
    <w:p w14:paraId="75719748" w14:textId="322CBCCC" w:rsidR="000B31B4" w:rsidRDefault="000B31B4">
      <w:pPr>
        <w:pStyle w:val="Notedebasdepage"/>
      </w:pPr>
      <w:r>
        <w:rPr>
          <w:rStyle w:val="Appelnotedebasdep"/>
        </w:rPr>
        <w:footnoteRef/>
      </w:r>
      <w:r>
        <w:t xml:space="preserve"> </w:t>
      </w:r>
    </w:p>
  </w:footnote>
  <w:footnote w:id="88">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89">
    <w:p w14:paraId="242A0D51" w14:textId="038892D2" w:rsidR="00AF25BE" w:rsidRDefault="00AF25BE" w:rsidP="004E7BDE">
      <w:pPr>
        <w:pStyle w:val="Notedebasdepage"/>
      </w:pPr>
      <w:r>
        <w:rPr>
          <w:rStyle w:val="Appelnotedebasdep"/>
        </w:rPr>
        <w:footnoteRef/>
      </w:r>
      <w:r>
        <w:t xml:space="preserve"> Par exemple </w:t>
      </w:r>
      <w:r w:rsidR="004E7BDE">
        <w:t xml:space="preserve">Les quatre arrêts d’urgence par baisse de la réactivité (AURN) survenus en 1989 et 1990 sur Phénix restent inexpliqués ; l’explication privilégiée est une vibration d’origine mécanique engendrant une modification de la géométrie du cœur ayant entraîné, en début de transitoire, une baisse de la réactivité. De même, l’origine des baisses de réactivité survenues dans EBR II (USA) en 1974 et dans Rapsodie (France) en 1978 n’a pas été identifiée. Page 47 </w:t>
      </w:r>
      <w:r w:rsidR="004E7BDE" w:rsidRPr="004E7BDE">
        <w:t>https://www.irsn.fr/sites/default/files/documents/expertise/rapports_expertise/IRSN-Rapport-GenIV_04-2015.pdf</w:t>
      </w:r>
    </w:p>
  </w:footnote>
  <w:footnote w:id="90">
    <w:p w14:paraId="39CA2CAB" w14:textId="31491F2C" w:rsidR="00D608C5" w:rsidRDefault="00D608C5">
      <w:pPr>
        <w:pStyle w:val="Notedebasdepage"/>
      </w:pPr>
      <w:r>
        <w:rPr>
          <w:rStyle w:val="Appelnotedebasdep"/>
        </w:rPr>
        <w:footnoteRef/>
      </w:r>
      <w:r>
        <w:t xml:space="preserve"> </w:t>
      </w:r>
      <w:proofErr w:type="gramStart"/>
      <w:r w:rsidRPr="00AF5DD6">
        <w:t>source</w:t>
      </w:r>
      <w:proofErr w:type="gramEnd"/>
      <w:r w:rsidRPr="00AF5DD6">
        <w:t xml:space="preserve"> Eurostat </w:t>
      </w:r>
      <w:hyperlink r:id="rId19" w:history="1">
        <w:r w:rsidRPr="00AF5DD6">
          <w:t>https://ec.europa.eu/eurostat/databrowser/view/ten00117/default/bar?lang=fr</w:t>
        </w:r>
      </w:hyperlink>
    </w:p>
  </w:footnote>
  <w:footnote w:id="91">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92">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93">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20"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94">
    <w:p w14:paraId="491E1628" w14:textId="561918A6" w:rsidR="0081253B" w:rsidRDefault="0081253B">
      <w:pPr>
        <w:pStyle w:val="Notedebasdepage"/>
      </w:pPr>
      <w:r>
        <w:rPr>
          <w:rStyle w:val="Appelnotedebasdep"/>
        </w:rPr>
        <w:footnoteRef/>
      </w:r>
      <w:r>
        <w:t xml:space="preserve"> En </w:t>
      </w:r>
      <w:proofErr w:type="gramStart"/>
      <w:r>
        <w:t>imposant ,</w:t>
      </w:r>
      <w:proofErr w:type="gramEnd"/>
      <w:r>
        <w:t xml:space="preserve"> en pleine crise, à EDF d’élargir le volume de la production mise à disposition de l’</w:t>
      </w:r>
      <w:proofErr w:type="spellStart"/>
      <w:r>
        <w:t>Arenh</w:t>
      </w:r>
      <w:proofErr w:type="spellEnd"/>
      <w:r>
        <w:t xml:space="preserve"> en 2022, le Gouvernement a forcé EDF à aller se couvrir sur un marché en ébullition pour ses propres clients ! </w:t>
      </w:r>
    </w:p>
  </w:footnote>
  <w:footnote w:id="95">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21" w:history="1">
        <w:r w:rsidRPr="00BF57C9">
          <w:rPr>
            <w:sz w:val="20"/>
            <w:szCs w:val="20"/>
          </w:rPr>
          <w:t>https://www.eex.com/en/market-data/power/futures</w:t>
        </w:r>
      </w:hyperlink>
    </w:p>
    <w:p w14:paraId="6DA2F615" w14:textId="1513F852" w:rsidR="00BF57C9" w:rsidRDefault="00BF57C9">
      <w:pPr>
        <w:pStyle w:val="Notedebasdepage"/>
      </w:pPr>
    </w:p>
  </w:footnote>
  <w:footnote w:id="96">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97">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22"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98">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99">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23" w:history="1">
        <w:r w:rsidRPr="008C2894">
          <w:rPr>
            <w:sz w:val="20"/>
            <w:szCs w:val="20"/>
          </w:rPr>
          <w:t>https</w:t>
        </w:r>
      </w:hyperlink>
      <w:hyperlink r:id="rId24" w:history="1">
        <w:r w:rsidRPr="008C2894">
          <w:rPr>
            <w:sz w:val="20"/>
            <w:szCs w:val="20"/>
          </w:rPr>
          <w:t>://www.cre.fr/Actualites/</w:t>
        </w:r>
      </w:hyperlink>
      <w:hyperlink r:id="rId25"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100">
    <w:p w14:paraId="4340C65C" w14:textId="26C1EAA2" w:rsidR="00A331AD" w:rsidRDefault="00A331AD">
      <w:pPr>
        <w:pStyle w:val="Notedebasdepage"/>
      </w:pPr>
      <w:r>
        <w:rPr>
          <w:rStyle w:val="Appelnotedebasdep"/>
        </w:rPr>
        <w:footnoteRef/>
      </w:r>
      <w:r>
        <w:t xml:space="preserve"> </w:t>
      </w:r>
      <w:hyperlink r:id="rId26"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101">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w:t>
      </w:r>
      <w:proofErr w:type="spellStart"/>
      <w:r>
        <w:t>auprés</w:t>
      </w:r>
      <w:proofErr w:type="spellEnd"/>
      <w:r>
        <w:t xml:space="preserve">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102">
    <w:p w14:paraId="34F33E13" w14:textId="57EB86F0" w:rsidR="003E425A" w:rsidRDefault="003E425A">
      <w:pPr>
        <w:pStyle w:val="Notedebasdepage"/>
      </w:pPr>
      <w:r>
        <w:rPr>
          <w:rStyle w:val="Appelnotedebasdep"/>
        </w:rPr>
        <w:footnoteRef/>
      </w:r>
      <w:r>
        <w:t xml:space="preserve">Communiqué EDF du 26 juin </w:t>
      </w:r>
      <w:proofErr w:type="gramStart"/>
      <w:r>
        <w:t xml:space="preserve">2023  </w:t>
      </w:r>
      <w:r w:rsidRPr="003E425A">
        <w:t>https://www.edf.fr/groupe-edf/espaces-dedies/journalistes/tous-les-communiques-de-presse/edf-et-trimet-signent-un-contrat-long-terme-de-fourniture-delectricite</w:t>
      </w:r>
      <w:proofErr w:type="gramEnd"/>
    </w:p>
  </w:footnote>
  <w:footnote w:id="103">
    <w:p w14:paraId="41BBC1AE" w14:textId="5B277FE6" w:rsidR="00736C50" w:rsidRDefault="00736C50">
      <w:pPr>
        <w:pStyle w:val="Notedebasdepage"/>
      </w:pPr>
      <w:r>
        <w:rPr>
          <w:rStyle w:val="Appelnotedebasdep"/>
        </w:rPr>
        <w:footnoteRef/>
      </w:r>
      <w:r>
        <w:t xml:space="preserve"> Page 37 Manifeste pour la France, Au chant des Abeilles, Bernard Maillard, éditions </w:t>
      </w:r>
      <w:proofErr w:type="spellStart"/>
      <w:r>
        <w:t>Edilivre</w:t>
      </w:r>
      <w:proofErr w:type="spellEnd"/>
    </w:p>
  </w:footnote>
  <w:footnote w:id="104">
    <w:p w14:paraId="1DB9B873" w14:textId="43397D61" w:rsidR="00426054" w:rsidRDefault="00426054">
      <w:pPr>
        <w:pStyle w:val="Notedebasdepage"/>
      </w:pPr>
      <w:r>
        <w:rPr>
          <w:rStyle w:val="Appelnotedebasdep"/>
        </w:rPr>
        <w:footnoteRef/>
      </w:r>
      <w:r>
        <w:t xml:space="preserve"> </w:t>
      </w:r>
      <w:r w:rsidRPr="00426054">
        <w:t>https://www.consilium.europa.eu/fr/press/press-releases/2023/10/17/reform-of-electricity-market-design-council-reaches-agreement/</w:t>
      </w:r>
    </w:p>
  </w:footnote>
  <w:footnote w:id="105">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w:t>
      </w:r>
      <w:proofErr w:type="spellStart"/>
      <w:r>
        <w:t>Oklo</w:t>
      </w:r>
      <w:proofErr w:type="spellEnd"/>
      <w:r>
        <w:t xml:space="preserve">, repose sur des interactions fortes et faibles dont la nature intime nous est aussi inconnue que celle de la </w:t>
      </w:r>
      <w:proofErr w:type="gramStart"/>
      <w:r>
        <w:t>gravitation  qui</w:t>
      </w:r>
      <w:proofErr w:type="gramEnd"/>
      <w:r>
        <w:t xml:space="preserve"> préside à l’énergie hydraulique ! </w:t>
      </w:r>
    </w:p>
  </w:footnote>
  <w:footnote w:id="106">
    <w:p w14:paraId="5A9991F7" w14:textId="78AD09BB" w:rsidR="00D07926" w:rsidRDefault="00D07926">
      <w:pPr>
        <w:pStyle w:val="Notedebasdepage"/>
      </w:pPr>
      <w:r>
        <w:rPr>
          <w:rStyle w:val="Appelnotedebasdep"/>
        </w:rPr>
        <w:footnoteRef/>
      </w:r>
      <w:r>
        <w:t xml:space="preserve"> J’ai in</w:t>
      </w:r>
      <w:r w:rsidR="0000456E">
        <w:t>itié, alors que j’étais Délégué Régional EDF en Bretagne, avec l’appui de la R&amp;</w:t>
      </w:r>
      <w:proofErr w:type="gramStart"/>
      <w:r w:rsidR="0000456E">
        <w:t>D  et</w:t>
      </w:r>
      <w:proofErr w:type="gramEnd"/>
      <w:r w:rsidR="0000456E">
        <w:t xml:space="preserve">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proofErr w:type="spellStart"/>
      <w:r>
        <w:t>dés</w:t>
      </w:r>
      <w:proofErr w:type="spellEnd"/>
      <w:r>
        <w:t xml:space="preserve"> le départ du projet, avec les professionnels et usagers de la mer. </w:t>
      </w:r>
      <w:r w:rsidR="0000456E">
        <w:t xml:space="preserve">Avec une immersion à 35 m de profondeur de l’hydrolienne HQ-OCEAN conçue par la start-up française </w:t>
      </w:r>
      <w:proofErr w:type="spellStart"/>
      <w:r w:rsidR="0000456E">
        <w:t>HydroQuest</w:t>
      </w:r>
      <w:proofErr w:type="spellEnd"/>
      <w:r w:rsidR="0000456E">
        <w:t xml:space="preserve"> et construite par CMN (Constructions Mécaniques de Normandie), ce démonstrateur de 1 MW a injecté ses premiers kWh sur le réseau en juin 2019,</w:t>
      </w:r>
      <w:r w:rsidR="0000456E" w:rsidRPr="0000456E">
        <w:t xml:space="preserve"> </w:t>
      </w:r>
      <w:r w:rsidR="00FB6BD4">
        <w:t xml:space="preserve">Les campagnes d’essais ont </w:t>
      </w:r>
      <w:proofErr w:type="gramStart"/>
      <w:r w:rsidR="00FB6BD4">
        <w:t>fait  l’objet</w:t>
      </w:r>
      <w:proofErr w:type="gramEnd"/>
      <w:r w:rsidR="00FB6BD4">
        <w:t xml:space="preserve"> d’un suivi environnemental évalué par un Comité Scientifique. 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r w:rsidR="0000456E" w:rsidRPr="0000456E">
        <w:t>https://www.edf.fr/groupe-edf/produire-une-energie-respectueuse-du-climat/accelerer-le-developpement-des-energies-renouvelables/la-mer-une-energie-renouvelable-et-disponible/energie-hydrolienne/paimpol-brehat-un-site-dessais-en-mer-au-profit-du-developpement-de-la-filiere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D028" w14:textId="77777777" w:rsidR="00B14990" w:rsidRDefault="00B149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BFE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7"/>
  </w:num>
  <w:num w:numId="3" w16cid:durableId="298000550">
    <w:abstractNumId w:val="1"/>
  </w:num>
  <w:num w:numId="4" w16cid:durableId="1819414710">
    <w:abstractNumId w:val="0"/>
  </w:num>
  <w:num w:numId="5" w16cid:durableId="258107480">
    <w:abstractNumId w:val="6"/>
  </w:num>
  <w:num w:numId="6" w16cid:durableId="1748263337">
    <w:abstractNumId w:val="9"/>
  </w:num>
  <w:num w:numId="7" w16cid:durableId="690183800">
    <w:abstractNumId w:val="2"/>
  </w:num>
  <w:num w:numId="8" w16cid:durableId="1933389280">
    <w:abstractNumId w:val="4"/>
  </w:num>
  <w:num w:numId="9" w16cid:durableId="1877966349">
    <w:abstractNumId w:val="5"/>
  </w:num>
  <w:num w:numId="10" w16cid:durableId="924816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06522"/>
    <w:rsid w:val="00010787"/>
    <w:rsid w:val="000123F0"/>
    <w:rsid w:val="00012B7E"/>
    <w:rsid w:val="00015938"/>
    <w:rsid w:val="00022FD4"/>
    <w:rsid w:val="00026CE1"/>
    <w:rsid w:val="000272C5"/>
    <w:rsid w:val="00027EDD"/>
    <w:rsid w:val="000311EB"/>
    <w:rsid w:val="00036BD3"/>
    <w:rsid w:val="00040289"/>
    <w:rsid w:val="000427CD"/>
    <w:rsid w:val="00043807"/>
    <w:rsid w:val="00043981"/>
    <w:rsid w:val="00051085"/>
    <w:rsid w:val="0005352C"/>
    <w:rsid w:val="00053763"/>
    <w:rsid w:val="0006367A"/>
    <w:rsid w:val="00070093"/>
    <w:rsid w:val="000703D4"/>
    <w:rsid w:val="00071FE1"/>
    <w:rsid w:val="00074EA4"/>
    <w:rsid w:val="000827E5"/>
    <w:rsid w:val="0009015A"/>
    <w:rsid w:val="000903F6"/>
    <w:rsid w:val="00093FC6"/>
    <w:rsid w:val="00095245"/>
    <w:rsid w:val="0009750C"/>
    <w:rsid w:val="000977B3"/>
    <w:rsid w:val="000A58A8"/>
    <w:rsid w:val="000A799A"/>
    <w:rsid w:val="000B1EBA"/>
    <w:rsid w:val="000B2670"/>
    <w:rsid w:val="000B31B4"/>
    <w:rsid w:val="000B624F"/>
    <w:rsid w:val="000B6FEA"/>
    <w:rsid w:val="000C2A47"/>
    <w:rsid w:val="000C5FD1"/>
    <w:rsid w:val="000D305F"/>
    <w:rsid w:val="000E058E"/>
    <w:rsid w:val="000E5AD8"/>
    <w:rsid w:val="000E5D46"/>
    <w:rsid w:val="000E6B41"/>
    <w:rsid w:val="000F3B8A"/>
    <w:rsid w:val="000F724E"/>
    <w:rsid w:val="001013A1"/>
    <w:rsid w:val="00104746"/>
    <w:rsid w:val="00105460"/>
    <w:rsid w:val="00105EBE"/>
    <w:rsid w:val="0011315F"/>
    <w:rsid w:val="001137DB"/>
    <w:rsid w:val="00115205"/>
    <w:rsid w:val="00116942"/>
    <w:rsid w:val="00126AD2"/>
    <w:rsid w:val="001273A3"/>
    <w:rsid w:val="001301BE"/>
    <w:rsid w:val="00131126"/>
    <w:rsid w:val="001328B8"/>
    <w:rsid w:val="00135EBA"/>
    <w:rsid w:val="00143986"/>
    <w:rsid w:val="00152B53"/>
    <w:rsid w:val="00154ABE"/>
    <w:rsid w:val="0016300D"/>
    <w:rsid w:val="00164026"/>
    <w:rsid w:val="0016535F"/>
    <w:rsid w:val="0017155C"/>
    <w:rsid w:val="0017419F"/>
    <w:rsid w:val="00174271"/>
    <w:rsid w:val="00175035"/>
    <w:rsid w:val="00187937"/>
    <w:rsid w:val="00191BED"/>
    <w:rsid w:val="00196E28"/>
    <w:rsid w:val="001A416C"/>
    <w:rsid w:val="001B4B5A"/>
    <w:rsid w:val="001B67C8"/>
    <w:rsid w:val="001B7377"/>
    <w:rsid w:val="001C5BAB"/>
    <w:rsid w:val="001C6E2C"/>
    <w:rsid w:val="001C6E9F"/>
    <w:rsid w:val="001C7A45"/>
    <w:rsid w:val="001D0E41"/>
    <w:rsid w:val="001D0F2F"/>
    <w:rsid w:val="001D6CBC"/>
    <w:rsid w:val="001E0698"/>
    <w:rsid w:val="001F0103"/>
    <w:rsid w:val="001F2338"/>
    <w:rsid w:val="002174B9"/>
    <w:rsid w:val="00217BF6"/>
    <w:rsid w:val="002272FC"/>
    <w:rsid w:val="002406CE"/>
    <w:rsid w:val="0024697F"/>
    <w:rsid w:val="00250297"/>
    <w:rsid w:val="00252EE9"/>
    <w:rsid w:val="002557D6"/>
    <w:rsid w:val="00260B1F"/>
    <w:rsid w:val="00261253"/>
    <w:rsid w:val="00261FF6"/>
    <w:rsid w:val="002621A7"/>
    <w:rsid w:val="00263437"/>
    <w:rsid w:val="002676D7"/>
    <w:rsid w:val="00267EC0"/>
    <w:rsid w:val="00276779"/>
    <w:rsid w:val="00282DF0"/>
    <w:rsid w:val="0028610D"/>
    <w:rsid w:val="00291C9B"/>
    <w:rsid w:val="00291CE2"/>
    <w:rsid w:val="00294AC5"/>
    <w:rsid w:val="00297196"/>
    <w:rsid w:val="002A123B"/>
    <w:rsid w:val="002A15DD"/>
    <w:rsid w:val="002A27F8"/>
    <w:rsid w:val="002A644B"/>
    <w:rsid w:val="002A7375"/>
    <w:rsid w:val="002B5C6D"/>
    <w:rsid w:val="002B6F6C"/>
    <w:rsid w:val="002C3840"/>
    <w:rsid w:val="002C3DE2"/>
    <w:rsid w:val="002C3FE6"/>
    <w:rsid w:val="002C459E"/>
    <w:rsid w:val="002C4B73"/>
    <w:rsid w:val="002D15C0"/>
    <w:rsid w:val="002D49CC"/>
    <w:rsid w:val="002E4C3B"/>
    <w:rsid w:val="002E6643"/>
    <w:rsid w:val="002E695A"/>
    <w:rsid w:val="002F02BA"/>
    <w:rsid w:val="002F1C81"/>
    <w:rsid w:val="002F2065"/>
    <w:rsid w:val="003029FE"/>
    <w:rsid w:val="0030315E"/>
    <w:rsid w:val="00303B3F"/>
    <w:rsid w:val="003071BD"/>
    <w:rsid w:val="0030724D"/>
    <w:rsid w:val="003102D2"/>
    <w:rsid w:val="003159AB"/>
    <w:rsid w:val="00327774"/>
    <w:rsid w:val="00332B4F"/>
    <w:rsid w:val="0034141D"/>
    <w:rsid w:val="00344B5B"/>
    <w:rsid w:val="00347677"/>
    <w:rsid w:val="00351931"/>
    <w:rsid w:val="003533F5"/>
    <w:rsid w:val="0035658E"/>
    <w:rsid w:val="003674CA"/>
    <w:rsid w:val="00370F21"/>
    <w:rsid w:val="003732BB"/>
    <w:rsid w:val="00375C35"/>
    <w:rsid w:val="00377635"/>
    <w:rsid w:val="00377727"/>
    <w:rsid w:val="00387ABE"/>
    <w:rsid w:val="00387DF7"/>
    <w:rsid w:val="00390384"/>
    <w:rsid w:val="00391974"/>
    <w:rsid w:val="003920EB"/>
    <w:rsid w:val="00395727"/>
    <w:rsid w:val="003A3A3B"/>
    <w:rsid w:val="003A3B7B"/>
    <w:rsid w:val="003A6386"/>
    <w:rsid w:val="003A6E3D"/>
    <w:rsid w:val="003B013E"/>
    <w:rsid w:val="003B2B37"/>
    <w:rsid w:val="003B310C"/>
    <w:rsid w:val="003B38E8"/>
    <w:rsid w:val="003C30F2"/>
    <w:rsid w:val="003C3A30"/>
    <w:rsid w:val="003C5992"/>
    <w:rsid w:val="003C643F"/>
    <w:rsid w:val="003D1C8B"/>
    <w:rsid w:val="003D741D"/>
    <w:rsid w:val="003E1224"/>
    <w:rsid w:val="003E38C3"/>
    <w:rsid w:val="003E425A"/>
    <w:rsid w:val="003E5833"/>
    <w:rsid w:val="003E6D28"/>
    <w:rsid w:val="003F08FD"/>
    <w:rsid w:val="003F1B5C"/>
    <w:rsid w:val="004103B3"/>
    <w:rsid w:val="004127BD"/>
    <w:rsid w:val="0041546F"/>
    <w:rsid w:val="00417F57"/>
    <w:rsid w:val="00423219"/>
    <w:rsid w:val="00426054"/>
    <w:rsid w:val="00427A71"/>
    <w:rsid w:val="004316E9"/>
    <w:rsid w:val="00432A68"/>
    <w:rsid w:val="00433764"/>
    <w:rsid w:val="00442C8E"/>
    <w:rsid w:val="00453B1B"/>
    <w:rsid w:val="0047488B"/>
    <w:rsid w:val="004754A2"/>
    <w:rsid w:val="00475B0C"/>
    <w:rsid w:val="00477F6D"/>
    <w:rsid w:val="00481310"/>
    <w:rsid w:val="00481FF2"/>
    <w:rsid w:val="00483998"/>
    <w:rsid w:val="004855D0"/>
    <w:rsid w:val="00487F0D"/>
    <w:rsid w:val="00490DF1"/>
    <w:rsid w:val="00493410"/>
    <w:rsid w:val="004942D2"/>
    <w:rsid w:val="004A213F"/>
    <w:rsid w:val="004A2389"/>
    <w:rsid w:val="004A359A"/>
    <w:rsid w:val="004A7880"/>
    <w:rsid w:val="004B02E8"/>
    <w:rsid w:val="004B422D"/>
    <w:rsid w:val="004B682D"/>
    <w:rsid w:val="004B74EB"/>
    <w:rsid w:val="004C2E58"/>
    <w:rsid w:val="004C33A2"/>
    <w:rsid w:val="004C380B"/>
    <w:rsid w:val="004C6A0A"/>
    <w:rsid w:val="004C7570"/>
    <w:rsid w:val="004D12EC"/>
    <w:rsid w:val="004D1EA7"/>
    <w:rsid w:val="004D6B9F"/>
    <w:rsid w:val="004E4A5A"/>
    <w:rsid w:val="004E5E1C"/>
    <w:rsid w:val="004E7BDE"/>
    <w:rsid w:val="004F16F4"/>
    <w:rsid w:val="004F1774"/>
    <w:rsid w:val="004F25AC"/>
    <w:rsid w:val="004F271D"/>
    <w:rsid w:val="005004D6"/>
    <w:rsid w:val="005025A3"/>
    <w:rsid w:val="00504B7F"/>
    <w:rsid w:val="00510304"/>
    <w:rsid w:val="00512A50"/>
    <w:rsid w:val="00522D4A"/>
    <w:rsid w:val="005255D2"/>
    <w:rsid w:val="005263E7"/>
    <w:rsid w:val="00526928"/>
    <w:rsid w:val="00531C06"/>
    <w:rsid w:val="0053225D"/>
    <w:rsid w:val="00535711"/>
    <w:rsid w:val="00536E9E"/>
    <w:rsid w:val="0054154C"/>
    <w:rsid w:val="005441C4"/>
    <w:rsid w:val="00545788"/>
    <w:rsid w:val="00550EA5"/>
    <w:rsid w:val="00554E19"/>
    <w:rsid w:val="00563661"/>
    <w:rsid w:val="00573BE7"/>
    <w:rsid w:val="00581D64"/>
    <w:rsid w:val="00584A25"/>
    <w:rsid w:val="00585061"/>
    <w:rsid w:val="00586874"/>
    <w:rsid w:val="00591495"/>
    <w:rsid w:val="00592116"/>
    <w:rsid w:val="00592D4A"/>
    <w:rsid w:val="00595C60"/>
    <w:rsid w:val="005A11E9"/>
    <w:rsid w:val="005A1DB4"/>
    <w:rsid w:val="005A7509"/>
    <w:rsid w:val="005B4649"/>
    <w:rsid w:val="005B4AA2"/>
    <w:rsid w:val="005B5540"/>
    <w:rsid w:val="005B59F0"/>
    <w:rsid w:val="005C1BCB"/>
    <w:rsid w:val="005C5D84"/>
    <w:rsid w:val="005D35A0"/>
    <w:rsid w:val="005D4ECD"/>
    <w:rsid w:val="005D573D"/>
    <w:rsid w:val="005D5DCE"/>
    <w:rsid w:val="005D6B90"/>
    <w:rsid w:val="005D6CBE"/>
    <w:rsid w:val="005E1F28"/>
    <w:rsid w:val="005E2449"/>
    <w:rsid w:val="005E7DFC"/>
    <w:rsid w:val="005F4E5A"/>
    <w:rsid w:val="005F4FFB"/>
    <w:rsid w:val="005F6342"/>
    <w:rsid w:val="005F6C44"/>
    <w:rsid w:val="00601C76"/>
    <w:rsid w:val="00606CB3"/>
    <w:rsid w:val="00607138"/>
    <w:rsid w:val="0061054F"/>
    <w:rsid w:val="00611E9C"/>
    <w:rsid w:val="00615CC3"/>
    <w:rsid w:val="006167A5"/>
    <w:rsid w:val="00616B5C"/>
    <w:rsid w:val="00617304"/>
    <w:rsid w:val="006222BB"/>
    <w:rsid w:val="006348FE"/>
    <w:rsid w:val="006372EF"/>
    <w:rsid w:val="00641A47"/>
    <w:rsid w:val="00641F02"/>
    <w:rsid w:val="00652E7C"/>
    <w:rsid w:val="00653272"/>
    <w:rsid w:val="006534D4"/>
    <w:rsid w:val="006629A3"/>
    <w:rsid w:val="00663368"/>
    <w:rsid w:val="00664601"/>
    <w:rsid w:val="00665A9A"/>
    <w:rsid w:val="00666564"/>
    <w:rsid w:val="00671971"/>
    <w:rsid w:val="00693AF4"/>
    <w:rsid w:val="00695ABC"/>
    <w:rsid w:val="00695EB9"/>
    <w:rsid w:val="00696343"/>
    <w:rsid w:val="00697759"/>
    <w:rsid w:val="006A02AA"/>
    <w:rsid w:val="006A0E90"/>
    <w:rsid w:val="006A191A"/>
    <w:rsid w:val="006A39F5"/>
    <w:rsid w:val="006A5FC6"/>
    <w:rsid w:val="006B18A4"/>
    <w:rsid w:val="006B19C3"/>
    <w:rsid w:val="006B2D21"/>
    <w:rsid w:val="006B5322"/>
    <w:rsid w:val="006B70A5"/>
    <w:rsid w:val="006C0922"/>
    <w:rsid w:val="006C09B7"/>
    <w:rsid w:val="006C0E03"/>
    <w:rsid w:val="006C2F4B"/>
    <w:rsid w:val="006C63BC"/>
    <w:rsid w:val="006D2BF7"/>
    <w:rsid w:val="006D4B64"/>
    <w:rsid w:val="006D4BDA"/>
    <w:rsid w:val="006D6B98"/>
    <w:rsid w:val="006E0C62"/>
    <w:rsid w:val="006F25B4"/>
    <w:rsid w:val="006F64B9"/>
    <w:rsid w:val="006F7A37"/>
    <w:rsid w:val="00705F05"/>
    <w:rsid w:val="00707AD8"/>
    <w:rsid w:val="00713537"/>
    <w:rsid w:val="0072533C"/>
    <w:rsid w:val="00725DDD"/>
    <w:rsid w:val="0072742E"/>
    <w:rsid w:val="00727ECC"/>
    <w:rsid w:val="00736C50"/>
    <w:rsid w:val="007436AD"/>
    <w:rsid w:val="00743F52"/>
    <w:rsid w:val="007465F2"/>
    <w:rsid w:val="00747945"/>
    <w:rsid w:val="00756DBC"/>
    <w:rsid w:val="00762FF1"/>
    <w:rsid w:val="00766309"/>
    <w:rsid w:val="00767F1A"/>
    <w:rsid w:val="00775905"/>
    <w:rsid w:val="0078231A"/>
    <w:rsid w:val="00784688"/>
    <w:rsid w:val="00791D53"/>
    <w:rsid w:val="00791F5B"/>
    <w:rsid w:val="00792914"/>
    <w:rsid w:val="007936C1"/>
    <w:rsid w:val="007970DB"/>
    <w:rsid w:val="00797BB3"/>
    <w:rsid w:val="007A1172"/>
    <w:rsid w:val="007A1977"/>
    <w:rsid w:val="007A4E30"/>
    <w:rsid w:val="007A5D58"/>
    <w:rsid w:val="007A7CB8"/>
    <w:rsid w:val="007B0610"/>
    <w:rsid w:val="007B1336"/>
    <w:rsid w:val="007B68A9"/>
    <w:rsid w:val="007B7878"/>
    <w:rsid w:val="007C0C81"/>
    <w:rsid w:val="007C181E"/>
    <w:rsid w:val="007C1D39"/>
    <w:rsid w:val="007C25E3"/>
    <w:rsid w:val="007C2D09"/>
    <w:rsid w:val="007D01A5"/>
    <w:rsid w:val="007D0674"/>
    <w:rsid w:val="007D0848"/>
    <w:rsid w:val="007D0D5D"/>
    <w:rsid w:val="007D248F"/>
    <w:rsid w:val="007D4DD2"/>
    <w:rsid w:val="007D6515"/>
    <w:rsid w:val="007E0980"/>
    <w:rsid w:val="007E3B36"/>
    <w:rsid w:val="007E3B5B"/>
    <w:rsid w:val="007E6A90"/>
    <w:rsid w:val="007E6AAE"/>
    <w:rsid w:val="007F6222"/>
    <w:rsid w:val="00800040"/>
    <w:rsid w:val="008017BF"/>
    <w:rsid w:val="00811DC3"/>
    <w:rsid w:val="00811DEF"/>
    <w:rsid w:val="0081253B"/>
    <w:rsid w:val="00812A11"/>
    <w:rsid w:val="00813734"/>
    <w:rsid w:val="008208BC"/>
    <w:rsid w:val="008209A3"/>
    <w:rsid w:val="00822F63"/>
    <w:rsid w:val="00823C61"/>
    <w:rsid w:val="008246BE"/>
    <w:rsid w:val="00827876"/>
    <w:rsid w:val="00832363"/>
    <w:rsid w:val="00832B51"/>
    <w:rsid w:val="00837505"/>
    <w:rsid w:val="0084112E"/>
    <w:rsid w:val="0084309D"/>
    <w:rsid w:val="008441F2"/>
    <w:rsid w:val="008454DC"/>
    <w:rsid w:val="00846554"/>
    <w:rsid w:val="00850849"/>
    <w:rsid w:val="00855815"/>
    <w:rsid w:val="00857189"/>
    <w:rsid w:val="0086064E"/>
    <w:rsid w:val="00863A0D"/>
    <w:rsid w:val="00872C82"/>
    <w:rsid w:val="00874A1B"/>
    <w:rsid w:val="00874FAB"/>
    <w:rsid w:val="00876AF2"/>
    <w:rsid w:val="0087702D"/>
    <w:rsid w:val="0087793E"/>
    <w:rsid w:val="00877BAF"/>
    <w:rsid w:val="00877C3C"/>
    <w:rsid w:val="008800C5"/>
    <w:rsid w:val="008901E0"/>
    <w:rsid w:val="00890C21"/>
    <w:rsid w:val="0089168B"/>
    <w:rsid w:val="00892050"/>
    <w:rsid w:val="00894E1A"/>
    <w:rsid w:val="00894F83"/>
    <w:rsid w:val="0089743E"/>
    <w:rsid w:val="008A5381"/>
    <w:rsid w:val="008A599A"/>
    <w:rsid w:val="008A68EA"/>
    <w:rsid w:val="008A6F9C"/>
    <w:rsid w:val="008A7B2D"/>
    <w:rsid w:val="008B3884"/>
    <w:rsid w:val="008C2894"/>
    <w:rsid w:val="008C4939"/>
    <w:rsid w:val="008C65E3"/>
    <w:rsid w:val="008E494F"/>
    <w:rsid w:val="008E6A1F"/>
    <w:rsid w:val="008F6474"/>
    <w:rsid w:val="008F672B"/>
    <w:rsid w:val="009055DA"/>
    <w:rsid w:val="0091053F"/>
    <w:rsid w:val="009140E1"/>
    <w:rsid w:val="0092130C"/>
    <w:rsid w:val="00921351"/>
    <w:rsid w:val="009250AE"/>
    <w:rsid w:val="00927472"/>
    <w:rsid w:val="00927E98"/>
    <w:rsid w:val="00933C4C"/>
    <w:rsid w:val="00934974"/>
    <w:rsid w:val="0093641E"/>
    <w:rsid w:val="0094113A"/>
    <w:rsid w:val="009411D3"/>
    <w:rsid w:val="0094177F"/>
    <w:rsid w:val="00941AB4"/>
    <w:rsid w:val="009434A3"/>
    <w:rsid w:val="00944B8F"/>
    <w:rsid w:val="009462C1"/>
    <w:rsid w:val="00946ED3"/>
    <w:rsid w:val="009532C1"/>
    <w:rsid w:val="00960A16"/>
    <w:rsid w:val="00961E0B"/>
    <w:rsid w:val="00974BE8"/>
    <w:rsid w:val="0097755A"/>
    <w:rsid w:val="00981965"/>
    <w:rsid w:val="00992545"/>
    <w:rsid w:val="00994344"/>
    <w:rsid w:val="0099618D"/>
    <w:rsid w:val="00997C71"/>
    <w:rsid w:val="009A2100"/>
    <w:rsid w:val="009B78EA"/>
    <w:rsid w:val="009C09B7"/>
    <w:rsid w:val="009D0393"/>
    <w:rsid w:val="009D2368"/>
    <w:rsid w:val="009D3880"/>
    <w:rsid w:val="009D6122"/>
    <w:rsid w:val="009D7801"/>
    <w:rsid w:val="009D7F2E"/>
    <w:rsid w:val="009E5450"/>
    <w:rsid w:val="009F14A4"/>
    <w:rsid w:val="009F195B"/>
    <w:rsid w:val="009F42F6"/>
    <w:rsid w:val="009F49DC"/>
    <w:rsid w:val="009F5639"/>
    <w:rsid w:val="00A07442"/>
    <w:rsid w:val="00A07524"/>
    <w:rsid w:val="00A107F1"/>
    <w:rsid w:val="00A10B6B"/>
    <w:rsid w:val="00A11D85"/>
    <w:rsid w:val="00A125F0"/>
    <w:rsid w:val="00A13989"/>
    <w:rsid w:val="00A17558"/>
    <w:rsid w:val="00A21BD9"/>
    <w:rsid w:val="00A230EB"/>
    <w:rsid w:val="00A234AA"/>
    <w:rsid w:val="00A237E6"/>
    <w:rsid w:val="00A24E0D"/>
    <w:rsid w:val="00A250E3"/>
    <w:rsid w:val="00A25D57"/>
    <w:rsid w:val="00A260CD"/>
    <w:rsid w:val="00A2620B"/>
    <w:rsid w:val="00A331AD"/>
    <w:rsid w:val="00A3420A"/>
    <w:rsid w:val="00A35C5D"/>
    <w:rsid w:val="00A3635B"/>
    <w:rsid w:val="00A365E1"/>
    <w:rsid w:val="00A41181"/>
    <w:rsid w:val="00A43168"/>
    <w:rsid w:val="00A444E7"/>
    <w:rsid w:val="00A4782A"/>
    <w:rsid w:val="00A55BEF"/>
    <w:rsid w:val="00A6286D"/>
    <w:rsid w:val="00A6599C"/>
    <w:rsid w:val="00A739EE"/>
    <w:rsid w:val="00A764B3"/>
    <w:rsid w:val="00A806CB"/>
    <w:rsid w:val="00A83C30"/>
    <w:rsid w:val="00A83F08"/>
    <w:rsid w:val="00A85231"/>
    <w:rsid w:val="00A85842"/>
    <w:rsid w:val="00A874BD"/>
    <w:rsid w:val="00A9034E"/>
    <w:rsid w:val="00A92AB5"/>
    <w:rsid w:val="00AA14F3"/>
    <w:rsid w:val="00AA164F"/>
    <w:rsid w:val="00AB0CBA"/>
    <w:rsid w:val="00AB2390"/>
    <w:rsid w:val="00AB3692"/>
    <w:rsid w:val="00AB740E"/>
    <w:rsid w:val="00AB7E15"/>
    <w:rsid w:val="00AC2774"/>
    <w:rsid w:val="00AC36CE"/>
    <w:rsid w:val="00AD09F5"/>
    <w:rsid w:val="00AD21CF"/>
    <w:rsid w:val="00AD2792"/>
    <w:rsid w:val="00AD2E0E"/>
    <w:rsid w:val="00AD2F24"/>
    <w:rsid w:val="00AD4B90"/>
    <w:rsid w:val="00AD758F"/>
    <w:rsid w:val="00AE0268"/>
    <w:rsid w:val="00AE2180"/>
    <w:rsid w:val="00AE3637"/>
    <w:rsid w:val="00AE3C56"/>
    <w:rsid w:val="00AE4436"/>
    <w:rsid w:val="00AE59EE"/>
    <w:rsid w:val="00AE7889"/>
    <w:rsid w:val="00AF20D4"/>
    <w:rsid w:val="00AF25BE"/>
    <w:rsid w:val="00AF5DD6"/>
    <w:rsid w:val="00AF60F4"/>
    <w:rsid w:val="00AF725D"/>
    <w:rsid w:val="00B021BB"/>
    <w:rsid w:val="00B117BE"/>
    <w:rsid w:val="00B11EA0"/>
    <w:rsid w:val="00B14990"/>
    <w:rsid w:val="00B1567A"/>
    <w:rsid w:val="00B1773E"/>
    <w:rsid w:val="00B3113E"/>
    <w:rsid w:val="00B33A81"/>
    <w:rsid w:val="00B524A3"/>
    <w:rsid w:val="00B5546C"/>
    <w:rsid w:val="00B66C01"/>
    <w:rsid w:val="00B7254A"/>
    <w:rsid w:val="00B7298B"/>
    <w:rsid w:val="00B738B7"/>
    <w:rsid w:val="00B74790"/>
    <w:rsid w:val="00B80AC6"/>
    <w:rsid w:val="00B86CA0"/>
    <w:rsid w:val="00B870B8"/>
    <w:rsid w:val="00B91518"/>
    <w:rsid w:val="00B929A5"/>
    <w:rsid w:val="00B956EF"/>
    <w:rsid w:val="00B95F25"/>
    <w:rsid w:val="00B979A8"/>
    <w:rsid w:val="00BA023B"/>
    <w:rsid w:val="00BA15D3"/>
    <w:rsid w:val="00BA4D40"/>
    <w:rsid w:val="00BA58D2"/>
    <w:rsid w:val="00BA670A"/>
    <w:rsid w:val="00BB09CB"/>
    <w:rsid w:val="00BB0C0C"/>
    <w:rsid w:val="00BB207D"/>
    <w:rsid w:val="00BB3B24"/>
    <w:rsid w:val="00BB7612"/>
    <w:rsid w:val="00BC32C5"/>
    <w:rsid w:val="00BD594C"/>
    <w:rsid w:val="00BD7DC9"/>
    <w:rsid w:val="00BE0943"/>
    <w:rsid w:val="00BF57C9"/>
    <w:rsid w:val="00BF661A"/>
    <w:rsid w:val="00C0064B"/>
    <w:rsid w:val="00C023AF"/>
    <w:rsid w:val="00C05544"/>
    <w:rsid w:val="00C05AE1"/>
    <w:rsid w:val="00C0643D"/>
    <w:rsid w:val="00C13C78"/>
    <w:rsid w:val="00C14F0F"/>
    <w:rsid w:val="00C158BD"/>
    <w:rsid w:val="00C213F0"/>
    <w:rsid w:val="00C263DF"/>
    <w:rsid w:val="00C27072"/>
    <w:rsid w:val="00C270E6"/>
    <w:rsid w:val="00C27316"/>
    <w:rsid w:val="00C3414F"/>
    <w:rsid w:val="00C345B0"/>
    <w:rsid w:val="00C37291"/>
    <w:rsid w:val="00C47CF2"/>
    <w:rsid w:val="00C517B9"/>
    <w:rsid w:val="00C52A5F"/>
    <w:rsid w:val="00C53FF2"/>
    <w:rsid w:val="00C55D0A"/>
    <w:rsid w:val="00C574AB"/>
    <w:rsid w:val="00C66B86"/>
    <w:rsid w:val="00C73F11"/>
    <w:rsid w:val="00C77304"/>
    <w:rsid w:val="00C87F5F"/>
    <w:rsid w:val="00C90D9D"/>
    <w:rsid w:val="00C962E1"/>
    <w:rsid w:val="00CA4793"/>
    <w:rsid w:val="00CB4F34"/>
    <w:rsid w:val="00CC4F86"/>
    <w:rsid w:val="00CC57E7"/>
    <w:rsid w:val="00CC71C9"/>
    <w:rsid w:val="00CD1210"/>
    <w:rsid w:val="00CD3123"/>
    <w:rsid w:val="00CD3AE9"/>
    <w:rsid w:val="00CD4DF1"/>
    <w:rsid w:val="00CD5363"/>
    <w:rsid w:val="00CE0BD7"/>
    <w:rsid w:val="00CE54B0"/>
    <w:rsid w:val="00CE7974"/>
    <w:rsid w:val="00CF045E"/>
    <w:rsid w:val="00CF0F6A"/>
    <w:rsid w:val="00D07926"/>
    <w:rsid w:val="00D17F20"/>
    <w:rsid w:val="00D224D3"/>
    <w:rsid w:val="00D2321B"/>
    <w:rsid w:val="00D24A1B"/>
    <w:rsid w:val="00D24C75"/>
    <w:rsid w:val="00D308FE"/>
    <w:rsid w:val="00D336B2"/>
    <w:rsid w:val="00D36D86"/>
    <w:rsid w:val="00D4358C"/>
    <w:rsid w:val="00D50638"/>
    <w:rsid w:val="00D57A95"/>
    <w:rsid w:val="00D57E55"/>
    <w:rsid w:val="00D608C5"/>
    <w:rsid w:val="00D6195D"/>
    <w:rsid w:val="00D626AD"/>
    <w:rsid w:val="00D65324"/>
    <w:rsid w:val="00D72B78"/>
    <w:rsid w:val="00D73487"/>
    <w:rsid w:val="00D774D4"/>
    <w:rsid w:val="00D77B23"/>
    <w:rsid w:val="00D81653"/>
    <w:rsid w:val="00D91550"/>
    <w:rsid w:val="00D91997"/>
    <w:rsid w:val="00D94BF2"/>
    <w:rsid w:val="00D955E3"/>
    <w:rsid w:val="00D971E6"/>
    <w:rsid w:val="00DA1AAD"/>
    <w:rsid w:val="00DB2CB2"/>
    <w:rsid w:val="00DB54D6"/>
    <w:rsid w:val="00DB588E"/>
    <w:rsid w:val="00DC14ED"/>
    <w:rsid w:val="00DC71F5"/>
    <w:rsid w:val="00DD084C"/>
    <w:rsid w:val="00DD090D"/>
    <w:rsid w:val="00DD0AFD"/>
    <w:rsid w:val="00DD6239"/>
    <w:rsid w:val="00DE2C7E"/>
    <w:rsid w:val="00DE41BF"/>
    <w:rsid w:val="00DE4E3E"/>
    <w:rsid w:val="00DF1B53"/>
    <w:rsid w:val="00DF3847"/>
    <w:rsid w:val="00DF3BAA"/>
    <w:rsid w:val="00DF3DD5"/>
    <w:rsid w:val="00DF480F"/>
    <w:rsid w:val="00E032BB"/>
    <w:rsid w:val="00E0499F"/>
    <w:rsid w:val="00E04E6A"/>
    <w:rsid w:val="00E06A28"/>
    <w:rsid w:val="00E10CA9"/>
    <w:rsid w:val="00E15DF2"/>
    <w:rsid w:val="00E3192D"/>
    <w:rsid w:val="00E40FAC"/>
    <w:rsid w:val="00E42AC3"/>
    <w:rsid w:val="00E456F1"/>
    <w:rsid w:val="00E47BE6"/>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81B43"/>
    <w:rsid w:val="00E85B17"/>
    <w:rsid w:val="00E91167"/>
    <w:rsid w:val="00E9603C"/>
    <w:rsid w:val="00E97433"/>
    <w:rsid w:val="00EA6F2B"/>
    <w:rsid w:val="00EB75DC"/>
    <w:rsid w:val="00EC463C"/>
    <w:rsid w:val="00EC5497"/>
    <w:rsid w:val="00EC6874"/>
    <w:rsid w:val="00EC6B40"/>
    <w:rsid w:val="00EC6E82"/>
    <w:rsid w:val="00ED0A42"/>
    <w:rsid w:val="00ED7804"/>
    <w:rsid w:val="00EE687D"/>
    <w:rsid w:val="00EF1F7A"/>
    <w:rsid w:val="00EF2055"/>
    <w:rsid w:val="00EF32A1"/>
    <w:rsid w:val="00EF6DB9"/>
    <w:rsid w:val="00EF774B"/>
    <w:rsid w:val="00EF7A08"/>
    <w:rsid w:val="00F01173"/>
    <w:rsid w:val="00F02136"/>
    <w:rsid w:val="00F07831"/>
    <w:rsid w:val="00F1241A"/>
    <w:rsid w:val="00F1382F"/>
    <w:rsid w:val="00F20591"/>
    <w:rsid w:val="00F2111D"/>
    <w:rsid w:val="00F223E8"/>
    <w:rsid w:val="00F2363E"/>
    <w:rsid w:val="00F23E0A"/>
    <w:rsid w:val="00F2401F"/>
    <w:rsid w:val="00F3286F"/>
    <w:rsid w:val="00F43C3D"/>
    <w:rsid w:val="00F45B04"/>
    <w:rsid w:val="00F67385"/>
    <w:rsid w:val="00F7232C"/>
    <w:rsid w:val="00F75E2D"/>
    <w:rsid w:val="00F762E8"/>
    <w:rsid w:val="00F77F71"/>
    <w:rsid w:val="00F815C5"/>
    <w:rsid w:val="00F81AE0"/>
    <w:rsid w:val="00FA1FF7"/>
    <w:rsid w:val="00FA2BD2"/>
    <w:rsid w:val="00FA6687"/>
    <w:rsid w:val="00FA7E42"/>
    <w:rsid w:val="00FB170A"/>
    <w:rsid w:val="00FB4A2B"/>
    <w:rsid w:val="00FB6BD4"/>
    <w:rsid w:val="00FC01D4"/>
    <w:rsid w:val="00FC28F3"/>
    <w:rsid w:val="00FC2E7A"/>
    <w:rsid w:val="00FC3415"/>
    <w:rsid w:val="00FC7D3A"/>
    <w:rsid w:val="00FD57D0"/>
    <w:rsid w:val="00FD64FC"/>
    <w:rsid w:val="00FD69A6"/>
    <w:rsid w:val="00FE1F18"/>
    <w:rsid w:val="00FE3492"/>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87698C73-AA61-4ADD-B1D3-CA33D693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 w:id="195567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malicorne.over-blog.com/tag/energie/"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s://sevedatome.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te-france.com/eco2mix/la-production-delectricite-par-filiere" TargetMode="External"/><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ris.iaea.org/pris/" TargetMode="External"/><Relationship Id="rId13" Type="http://schemas.openxmlformats.org/officeDocument/2006/relationships/hyperlink" Target="https://www.edf.fr/sites/groupe/files/2023-03/edf-urd-rapport-financier-annuel-2022-fr.pdf" TargetMode="External"/><Relationship Id="rId18" Type="http://schemas.openxmlformats.org/officeDocument/2006/relationships/hyperlink" Target="https://www.asn.fr/l-asn-informe/actualites/petits-reacteurs-modulaires-revue-conjointe-realisee-par-trois-autorites-de-surete-europeennes" TargetMode="External"/><Relationship Id="rId26" Type="http://schemas.openxmlformats.org/officeDocument/2006/relationships/hyperlink" Target="https://www.cre.fr/Actualites/la-cre-reevalue-a-la-baisse-les-acomptes-verses-par-l-etat-aux-fournisseurs-d-electricite-dans-le-cadre-des-boucliers-tarifaires-et-des-amortisseurs" TargetMode="External"/><Relationship Id="rId3" Type="http://schemas.openxmlformats.org/officeDocument/2006/relationships/hyperlink" Target="https://app.electricitymaps.com/map?utm_source=electricitymaps.com&amp;utm_medium=website&amp;utm_campaign=banner" TargetMode="External"/><Relationship Id="rId21" Type="http://schemas.openxmlformats.org/officeDocument/2006/relationships/hyperlink" Target="https://www.eex.com/en/market-data/power/futures" TargetMode="External"/><Relationship Id="rId7" Type="http://schemas.openxmlformats.org/officeDocument/2006/relationships/hyperlink" Target="https://eepublicdownloads.entsoe.eu/clean-documents/pre2015/publications/ce/otherreports/Final-Report-20070130.pdf" TargetMode="External"/><Relationship Id="rId12" Type="http://schemas.openxmlformats.org/officeDocument/2006/relationships/hyperlink" Target="http://www.senat.fr/opecst/" TargetMode="External"/><Relationship Id="rId17" Type="http://schemas.openxmlformats.org/officeDocument/2006/relationships/hyperlink" Target="https://www.gifen.fr/" TargetMode="External"/><Relationship Id="rId25" Type="http://schemas.openxmlformats.org/officeDocument/2006/relationships/hyperlink" Target="https://www.cre.fr/Actualites/la-cre-fixe-les-acomptes-verses-par-l-etat-aux-fournisseurs-d-electricite-dans-le-cadre-du-bouclier-tarifaire-et-de-l-amortisseur" TargetMode="External"/><Relationship Id="rId2" Type="http://schemas.openxmlformats.org/officeDocument/2006/relationships/hyperlink" Target="https://transmission-system-map.entsoe.eu/" TargetMode="External"/><Relationship Id="rId16" Type="http://schemas.openxmlformats.org/officeDocument/2006/relationships/hyperlink" Target="https://www.rte-france.com/actualites/previsions-systeme-electrique-hiver-2022-2023" TargetMode="External"/><Relationship Id="rId20" Type="http://schemas.openxmlformats.org/officeDocument/2006/relationships/hyperlink" Target="https://www.rte-france.com/eco2mix/les-donnees-de-marche" TargetMode="External"/><Relationship Id="rId1" Type="http://schemas.openxmlformats.org/officeDocument/2006/relationships/hyperlink" Target="https://www.iea.org/reports/electricity-market-report-2023" TargetMode="External"/><Relationship Id="rId6" Type="http://schemas.openxmlformats.org/officeDocument/2006/relationships/hyperlink" Target="https://www.ecologie.gouv.fr/eolien-en-mer-0" TargetMode="External"/><Relationship Id="rId11" Type="http://schemas.openxmlformats.org/officeDocument/2006/relationships/hyperlink" Target="http://www.hctisn.fr/" TargetMode="External"/><Relationship Id="rId24" Type="http://schemas.openxmlformats.org/officeDocument/2006/relationships/hyperlink" Target="https://www.cre.fr/Actualites/la-cre-fixe-les-acomptes-verses-par-l-etat-aux-fournisseurs-d-electricite-dans-le-cadre-du-bouclier-tarifaire-et-de-l-amortisseur" TargetMode="External"/><Relationship Id="rId5" Type="http://schemas.openxmlformats.org/officeDocument/2006/relationships/hyperlink" Target="https://eur-lex.europa.eu/legal-content/FR/TXT/PDF/?uri=CELEX:52020DC0741&amp;from=FR" TargetMode="External"/><Relationship Id="rId15"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23" Type="http://schemas.openxmlformats.org/officeDocument/2006/relationships/hyperlink" Target="file:///C:\Users\HP\Documents\&#233;nergie\conf%20BM\https" TargetMode="External"/><Relationship Id="rId10" Type="http://schemas.openxmlformats.org/officeDocument/2006/relationships/hyperlink" Target="https://energynews.pro/les-pays-bas-se-reconcentrent-sur-le-nucleaire/" TargetMode="External"/><Relationship Id="rId19" Type="http://schemas.openxmlformats.org/officeDocument/2006/relationships/hyperlink" Target="https://ec.europa.eu/eurostat/databrowser/view/ten00117/default/bar?lang=fr" TargetMode="External"/><Relationship Id="rId4" Type="http://schemas.openxmlformats.org/officeDocument/2006/relationships/hyperlink" Target="https://www.iea.org/reports/electricity-market-report-2023" TargetMode="External"/><Relationship Id="rId9" Type="http://schemas.openxmlformats.org/officeDocument/2006/relationships/hyperlink" Target="https://www.lefigaro.fr/flash-actu/la-suede-va-construire-de-nouveaux-reacteurs-nucleaires-20221014" TargetMode="External"/><Relationship Id="rId14"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22" Type="http://schemas.openxmlformats.org/officeDocument/2006/relationships/hyperlink" Target="https://www.cre.fr/Actualites/la-cre-a-adresse-au-gouvernement-sa-proposition-d-evolution-des-tarifs-reglementes-de-vente-d-electricite-au-1er-fevrier-202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81</Pages>
  <Words>16302</Words>
  <Characters>89664</Characters>
  <Application>Microsoft Office Word</Application>
  <DocSecurity>0</DocSecurity>
  <Lines>747</Lines>
  <Paragraphs>211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14</cp:revision>
  <cp:lastPrinted>2023-10-02T16:40:00Z</cp:lastPrinted>
  <dcterms:created xsi:type="dcterms:W3CDTF">2023-10-06T10:55:00Z</dcterms:created>
  <dcterms:modified xsi:type="dcterms:W3CDTF">2023-11-08T07:19:00Z</dcterms:modified>
</cp:coreProperties>
</file>