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98E" w:rsidRPr="00A16C7E" w:rsidRDefault="0079298E" w:rsidP="00F60844">
      <w:pPr>
        <w:jc w:val="both"/>
        <w:rPr>
          <w:rFonts w:cstheme="minorHAnsi"/>
        </w:rPr>
      </w:pPr>
      <w:r w:rsidRPr="00A16C7E">
        <w:rPr>
          <w:rFonts w:eastAsia="Times New Roman" w:cstheme="minorHAnsi"/>
          <w:color w:val="000000"/>
          <w:lang w:eastAsia="fr-FR"/>
        </w:rPr>
        <w:t xml:space="preserve">Nom et adresse de l’entreprise </w:t>
      </w:r>
    </w:p>
    <w:p w:rsidR="0079298E" w:rsidRPr="00A16C7E" w:rsidRDefault="0079298E" w:rsidP="00F60844">
      <w:pPr>
        <w:shd w:val="clear" w:color="auto" w:fill="FFFFFF"/>
        <w:spacing w:after="280"/>
        <w:jc w:val="both"/>
        <w:rPr>
          <w:rFonts w:eastAsia="Times New Roman" w:cstheme="minorHAnsi"/>
          <w:color w:val="000000"/>
          <w:lang w:eastAsia="fr-FR"/>
        </w:rPr>
      </w:pPr>
      <w:r w:rsidRPr="00A16C7E">
        <w:rPr>
          <w:rFonts w:eastAsia="Times New Roman" w:cstheme="minorHAnsi"/>
          <w:color w:val="000000"/>
          <w:lang w:eastAsia="fr-FR"/>
        </w:rPr>
        <w:t>Copie aux organisations syndicales représentatives</w:t>
      </w:r>
    </w:p>
    <w:p w:rsidR="0079298E" w:rsidRPr="00485C7A" w:rsidRDefault="0079298E" w:rsidP="00485C7A">
      <w:pPr>
        <w:shd w:val="clear" w:color="auto" w:fill="FFFFFF"/>
        <w:tabs>
          <w:tab w:val="left" w:pos="2770"/>
        </w:tabs>
        <w:spacing w:before="280" w:after="280"/>
        <w:jc w:val="both"/>
        <w:rPr>
          <w:rFonts w:eastAsia="Times New Roman" w:cstheme="minorHAnsi"/>
          <w:color w:val="000000"/>
          <w:lang w:eastAsia="fr-FR"/>
        </w:rPr>
      </w:pPr>
      <w:r w:rsidRPr="00A16C7E">
        <w:rPr>
          <w:rFonts w:eastAsia="Times New Roman" w:cstheme="minorHAnsi"/>
          <w:color w:val="000000"/>
          <w:lang w:eastAsia="fr-FR"/>
        </w:rPr>
        <w:t>Syndicat CGT de …</w:t>
      </w:r>
    </w:p>
    <w:p w:rsidR="0079298E" w:rsidRPr="00A16C7E" w:rsidRDefault="0079298E" w:rsidP="00F60844">
      <w:pPr>
        <w:shd w:val="clear" w:color="auto" w:fill="FFFFFF"/>
        <w:spacing w:before="280" w:after="280"/>
        <w:jc w:val="both"/>
        <w:rPr>
          <w:rFonts w:cstheme="minorHAnsi"/>
        </w:rPr>
      </w:pPr>
      <w:r w:rsidRPr="00A16C7E">
        <w:rPr>
          <w:rFonts w:eastAsia="Times New Roman" w:cstheme="minorHAnsi"/>
          <w:color w:val="000000"/>
          <w:u w:val="single"/>
          <w:lang w:eastAsia="fr-FR"/>
        </w:rPr>
        <w:t>Objet</w:t>
      </w:r>
      <w:r w:rsidRPr="00A16C7E">
        <w:rPr>
          <w:rFonts w:eastAsia="Times New Roman" w:cstheme="minorHAnsi"/>
          <w:color w:val="000000"/>
          <w:lang w:eastAsia="fr-FR"/>
        </w:rPr>
        <w:t> : Demande d’ouverture de négociations sur l’égalité F/</w:t>
      </w:r>
      <w:r w:rsidR="00F60844" w:rsidRPr="00A16C7E">
        <w:rPr>
          <w:rFonts w:eastAsia="Times New Roman" w:cstheme="minorHAnsi"/>
          <w:color w:val="000000"/>
          <w:lang w:eastAsia="fr-FR"/>
        </w:rPr>
        <w:t xml:space="preserve">H et les violences </w:t>
      </w:r>
      <w:r w:rsidRPr="00A16C7E">
        <w:rPr>
          <w:rFonts w:eastAsia="Times New Roman" w:cstheme="minorHAnsi"/>
          <w:color w:val="000000"/>
          <w:lang w:eastAsia="fr-FR"/>
        </w:rPr>
        <w:t>sexistes</w:t>
      </w:r>
      <w:r w:rsidR="00F60844" w:rsidRPr="00A16C7E">
        <w:rPr>
          <w:rFonts w:eastAsia="Times New Roman" w:cstheme="minorHAnsi"/>
          <w:color w:val="000000"/>
          <w:lang w:eastAsia="fr-FR"/>
        </w:rPr>
        <w:t xml:space="preserve"> et sexuelle</w:t>
      </w:r>
      <w:r w:rsidR="00780C62">
        <w:rPr>
          <w:rFonts w:eastAsia="Times New Roman" w:cstheme="minorHAnsi"/>
          <w:color w:val="000000"/>
          <w:lang w:eastAsia="fr-FR"/>
        </w:rPr>
        <w:t>s</w:t>
      </w:r>
      <w:r w:rsidRPr="00A16C7E">
        <w:rPr>
          <w:rFonts w:eastAsia="Times New Roman" w:cstheme="minorHAnsi"/>
          <w:color w:val="000000"/>
          <w:lang w:eastAsia="fr-FR"/>
        </w:rPr>
        <w:t xml:space="preserve"> </w:t>
      </w:r>
    </w:p>
    <w:p w:rsidR="0079298E" w:rsidRPr="00A16C7E" w:rsidRDefault="0079298E" w:rsidP="00F60844">
      <w:pPr>
        <w:shd w:val="clear" w:color="auto" w:fill="FFFFFF"/>
        <w:spacing w:before="280" w:after="280"/>
        <w:jc w:val="both"/>
        <w:rPr>
          <w:rFonts w:eastAsia="Times New Roman" w:cstheme="minorHAnsi"/>
          <w:color w:val="000000"/>
          <w:u w:val="single"/>
          <w:lang w:eastAsia="fr-FR"/>
        </w:rPr>
      </w:pPr>
      <w:r w:rsidRPr="00A16C7E">
        <w:rPr>
          <w:rFonts w:eastAsia="Times New Roman" w:cstheme="minorHAnsi"/>
          <w:color w:val="000000"/>
          <w:u w:val="single"/>
          <w:lang w:eastAsia="fr-FR"/>
        </w:rPr>
        <w:t>Lettre recommandée avec accusé de réception</w:t>
      </w:r>
    </w:p>
    <w:p w:rsidR="0079298E" w:rsidRPr="00A16C7E" w:rsidRDefault="0079298E" w:rsidP="00F60844">
      <w:pPr>
        <w:shd w:val="clear" w:color="auto" w:fill="FFFFFF"/>
        <w:ind w:left="720"/>
        <w:jc w:val="both"/>
        <w:rPr>
          <w:rFonts w:cstheme="minorHAnsi"/>
        </w:rPr>
      </w:pPr>
      <w:r w:rsidRPr="00A16C7E">
        <w:rPr>
          <w:rFonts w:eastAsia="Times New Roman" w:cstheme="minorHAnsi"/>
          <w:color w:val="000000"/>
          <w:lang w:eastAsia="fr-FR"/>
        </w:rPr>
        <w:tab/>
      </w:r>
      <w:r w:rsidRPr="00A16C7E">
        <w:rPr>
          <w:rFonts w:eastAsia="Times New Roman" w:cstheme="minorHAnsi"/>
          <w:color w:val="000000"/>
          <w:lang w:eastAsia="fr-FR"/>
        </w:rPr>
        <w:tab/>
      </w:r>
      <w:r w:rsidRPr="00A16C7E">
        <w:rPr>
          <w:rFonts w:eastAsia="Times New Roman" w:cstheme="minorHAnsi"/>
          <w:color w:val="000000"/>
          <w:lang w:eastAsia="fr-FR"/>
        </w:rPr>
        <w:tab/>
      </w:r>
      <w:r w:rsidRPr="00A16C7E">
        <w:rPr>
          <w:rFonts w:eastAsia="Times New Roman" w:cstheme="minorHAnsi"/>
          <w:color w:val="000000"/>
          <w:lang w:eastAsia="fr-FR"/>
        </w:rPr>
        <w:tab/>
      </w:r>
      <w:r w:rsidRPr="00A16C7E">
        <w:rPr>
          <w:rFonts w:eastAsia="Times New Roman" w:cstheme="minorHAnsi"/>
          <w:color w:val="000000"/>
          <w:lang w:eastAsia="fr-FR"/>
        </w:rPr>
        <w:tab/>
      </w:r>
      <w:r w:rsidRPr="00A16C7E">
        <w:rPr>
          <w:rFonts w:eastAsia="Times New Roman" w:cstheme="minorHAnsi"/>
          <w:color w:val="000000"/>
          <w:lang w:eastAsia="fr-FR"/>
        </w:rPr>
        <w:tab/>
      </w:r>
      <w:r w:rsidRPr="00A16C7E">
        <w:rPr>
          <w:rFonts w:eastAsia="Times New Roman" w:cstheme="minorHAnsi"/>
          <w:color w:val="000000"/>
          <w:lang w:eastAsia="fr-FR"/>
        </w:rPr>
        <w:tab/>
        <w:t xml:space="preserve">Madame, Monsieur, </w:t>
      </w:r>
    </w:p>
    <w:p w:rsidR="00551CE7" w:rsidRPr="00A16C7E" w:rsidRDefault="00551CE7" w:rsidP="00F60844">
      <w:pPr>
        <w:jc w:val="both"/>
        <w:rPr>
          <w:rFonts w:cstheme="minorHAnsi"/>
        </w:rPr>
      </w:pPr>
    </w:p>
    <w:p w:rsidR="00551CE7" w:rsidRPr="00A16C7E" w:rsidRDefault="0079298E" w:rsidP="00F60844">
      <w:pPr>
        <w:jc w:val="both"/>
        <w:rPr>
          <w:rFonts w:cstheme="minorHAnsi"/>
        </w:rPr>
      </w:pPr>
      <w:r w:rsidRPr="00A16C7E">
        <w:rPr>
          <w:rFonts w:cstheme="minorHAnsi"/>
        </w:rPr>
        <w:t>Le 8 mars est la journée in</w:t>
      </w:r>
      <w:r w:rsidR="00780C62">
        <w:rPr>
          <w:rFonts w:cstheme="minorHAnsi"/>
        </w:rPr>
        <w:t>ternationale de lutte pour les D</w:t>
      </w:r>
      <w:r w:rsidRPr="00A16C7E">
        <w:rPr>
          <w:rFonts w:cstheme="minorHAnsi"/>
        </w:rPr>
        <w:t>roits de femmes.</w:t>
      </w:r>
      <w:r w:rsidR="00A16C7E">
        <w:rPr>
          <w:rFonts w:cstheme="minorHAnsi"/>
        </w:rPr>
        <w:t xml:space="preserve"> Nous vous sollicitons pour engager les négociations sur deux points : l’égalité</w:t>
      </w:r>
      <w:r w:rsidR="00780C62">
        <w:rPr>
          <w:rFonts w:cstheme="minorHAnsi"/>
        </w:rPr>
        <w:t xml:space="preserve"> salariale Femmes/H</w:t>
      </w:r>
      <w:r w:rsidR="00A16C7E">
        <w:rPr>
          <w:rFonts w:cstheme="minorHAnsi"/>
        </w:rPr>
        <w:t>ommes et la lutte contre les violences sexistes et sexuelles au travail :</w:t>
      </w:r>
    </w:p>
    <w:p w:rsidR="00A16C7E" w:rsidRPr="00A16C7E" w:rsidRDefault="00A16C7E" w:rsidP="00780C62">
      <w:pPr>
        <w:pStyle w:val="NormalWeb"/>
        <w:ind w:firstLine="708"/>
        <w:jc w:val="both"/>
        <w:rPr>
          <w:rFonts w:asciiTheme="minorHAnsi" w:hAnsiTheme="minorHAnsi" w:cstheme="minorHAnsi"/>
          <w:b/>
          <w:i/>
          <w:sz w:val="22"/>
          <w:szCs w:val="22"/>
        </w:rPr>
      </w:pPr>
      <w:r w:rsidRPr="00A16C7E">
        <w:rPr>
          <w:rFonts w:asciiTheme="minorHAnsi" w:hAnsiTheme="minorHAnsi" w:cstheme="minorHAnsi"/>
          <w:b/>
          <w:i/>
          <w:sz w:val="22"/>
          <w:szCs w:val="22"/>
        </w:rPr>
        <w:t>Egalité salariale femmes / Hommes :</w:t>
      </w:r>
    </w:p>
    <w:p w:rsidR="00A16C7E" w:rsidRPr="00A16C7E" w:rsidRDefault="00A16C7E" w:rsidP="00F60844">
      <w:pPr>
        <w:pStyle w:val="NormalWeb"/>
        <w:jc w:val="both"/>
        <w:rPr>
          <w:rFonts w:asciiTheme="minorHAnsi" w:hAnsiTheme="minorHAnsi" w:cstheme="minorHAnsi"/>
          <w:sz w:val="22"/>
          <w:szCs w:val="22"/>
        </w:rPr>
      </w:pPr>
    </w:p>
    <w:p w:rsidR="00551CE7" w:rsidRPr="00A16C7E" w:rsidRDefault="00551CE7" w:rsidP="00F60844">
      <w:pPr>
        <w:pStyle w:val="NormalWeb"/>
        <w:jc w:val="both"/>
        <w:rPr>
          <w:rFonts w:asciiTheme="minorHAnsi" w:hAnsiTheme="minorHAnsi" w:cstheme="minorHAnsi"/>
          <w:sz w:val="22"/>
          <w:szCs w:val="22"/>
        </w:rPr>
      </w:pPr>
      <w:r w:rsidRPr="00A16C7E">
        <w:rPr>
          <w:rFonts w:asciiTheme="minorHAnsi" w:hAnsiTheme="minorHAnsi" w:cstheme="minorHAnsi"/>
          <w:sz w:val="22"/>
          <w:szCs w:val="22"/>
        </w:rPr>
        <w:t>Si le contexte sanitaire particulier à mis en avant que les « premiers de cordés » étaient essentiellement des « premières de cordées » et que ces derrières étaient en majorité dans des situations plus précaires et inégalitaires que le reste de la population ; la situation épidémique à globalement suspendu les processus de négociation et consultation avec les syndicats</w:t>
      </w:r>
      <w:r w:rsidR="00F60844" w:rsidRPr="00A16C7E">
        <w:rPr>
          <w:rFonts w:asciiTheme="minorHAnsi" w:hAnsiTheme="minorHAnsi" w:cstheme="minorHAnsi"/>
          <w:sz w:val="22"/>
          <w:szCs w:val="22"/>
        </w:rPr>
        <w:t xml:space="preserve"> sur l’égalité professionnelle alors qu’en moyenne, les écarts de </w:t>
      </w:r>
      <w:r w:rsidR="00A16C7E">
        <w:rPr>
          <w:rFonts w:asciiTheme="minorHAnsi" w:hAnsiTheme="minorHAnsi" w:cstheme="minorHAnsi"/>
          <w:sz w:val="22"/>
          <w:szCs w:val="22"/>
        </w:rPr>
        <w:t>rémunération entre les F</w:t>
      </w:r>
      <w:r w:rsidR="00F60844" w:rsidRPr="00A16C7E">
        <w:rPr>
          <w:rFonts w:asciiTheme="minorHAnsi" w:hAnsiTheme="minorHAnsi" w:cstheme="minorHAnsi"/>
          <w:sz w:val="22"/>
          <w:szCs w:val="22"/>
        </w:rPr>
        <w:t>emmes et l</w:t>
      </w:r>
      <w:r w:rsidR="00A16C7E">
        <w:rPr>
          <w:rFonts w:asciiTheme="minorHAnsi" w:hAnsiTheme="minorHAnsi" w:cstheme="minorHAnsi"/>
          <w:sz w:val="22"/>
          <w:szCs w:val="22"/>
        </w:rPr>
        <w:t>es H</w:t>
      </w:r>
      <w:r w:rsidR="00F60844" w:rsidRPr="00A16C7E">
        <w:rPr>
          <w:rFonts w:asciiTheme="minorHAnsi" w:hAnsiTheme="minorHAnsi" w:cstheme="minorHAnsi"/>
          <w:sz w:val="22"/>
          <w:szCs w:val="22"/>
        </w:rPr>
        <w:t xml:space="preserve">ommes sont </w:t>
      </w:r>
      <w:r w:rsidR="00A16C7E">
        <w:rPr>
          <w:rFonts w:asciiTheme="minorHAnsi" w:hAnsiTheme="minorHAnsi" w:cstheme="minorHAnsi"/>
          <w:sz w:val="22"/>
          <w:szCs w:val="22"/>
        </w:rPr>
        <w:t xml:space="preserve">toujours </w:t>
      </w:r>
      <w:r w:rsidR="00F60844" w:rsidRPr="00A16C7E">
        <w:rPr>
          <w:rFonts w:asciiTheme="minorHAnsi" w:hAnsiTheme="minorHAnsi" w:cstheme="minorHAnsi"/>
          <w:sz w:val="22"/>
          <w:szCs w:val="22"/>
        </w:rPr>
        <w:t>de 25%.</w:t>
      </w:r>
    </w:p>
    <w:p w:rsidR="00551CE7" w:rsidRPr="00A16C7E" w:rsidRDefault="00551CE7" w:rsidP="00F60844">
      <w:pPr>
        <w:pStyle w:val="NormalWeb"/>
        <w:jc w:val="both"/>
        <w:rPr>
          <w:rFonts w:asciiTheme="minorHAnsi" w:hAnsiTheme="minorHAnsi" w:cstheme="minorHAnsi"/>
          <w:b/>
          <w:i/>
          <w:sz w:val="22"/>
          <w:szCs w:val="22"/>
        </w:rPr>
      </w:pPr>
    </w:p>
    <w:p w:rsidR="0079298E" w:rsidRPr="00A16C7E" w:rsidRDefault="004E6E0C" w:rsidP="00F60844">
      <w:pPr>
        <w:contextualSpacing/>
        <w:jc w:val="both"/>
        <w:rPr>
          <w:rFonts w:cstheme="minorHAnsi"/>
        </w:rPr>
      </w:pPr>
      <w:r w:rsidRPr="00A16C7E">
        <w:rPr>
          <w:rFonts w:cstheme="minorHAnsi"/>
        </w:rPr>
        <w:t>Or, l</w:t>
      </w:r>
      <w:r w:rsidR="0079298E" w:rsidRPr="00A16C7E">
        <w:rPr>
          <w:rFonts w:cstheme="minorHAnsi"/>
        </w:rPr>
        <w:t xml:space="preserve">’employeur est tenu d’assurer, pour un travail de valeur égale l’égalité de rémunération entre les hommes et les femmes : cette obligation interdit toute différenciation de salaire fondée sur le sexe. </w:t>
      </w:r>
    </w:p>
    <w:p w:rsidR="004E6E0C" w:rsidRPr="00A16C7E" w:rsidRDefault="0079298E" w:rsidP="00F60844">
      <w:pPr>
        <w:contextualSpacing/>
        <w:jc w:val="both"/>
        <w:rPr>
          <w:rFonts w:cstheme="minorHAnsi"/>
        </w:rPr>
      </w:pPr>
      <w:r w:rsidRPr="00A16C7E">
        <w:rPr>
          <w:rFonts w:cstheme="minorHAnsi"/>
        </w:rPr>
        <w:t>Les entreprises de 50 salariés et plus doivent être cou</w:t>
      </w:r>
      <w:r w:rsidRPr="00A16C7E">
        <w:rPr>
          <w:rFonts w:cstheme="minorHAnsi"/>
        </w:rPr>
        <w:softHyphen/>
        <w:t>vertes par un accord (conclu avec les syndicats) ou un plan d’action (mis en place par l’employeur) comportant des engagements précis et chiffrés en termes d’objectifs de progression en matière d’égalité professionnelle</w:t>
      </w:r>
      <w:r w:rsidR="009C1FA6" w:rsidRPr="00A16C7E">
        <w:rPr>
          <w:rStyle w:val="Appelnotedebasdep"/>
          <w:rFonts w:cstheme="minorHAnsi"/>
        </w:rPr>
        <w:footnoteReference w:id="1"/>
      </w:r>
      <w:r w:rsidRPr="00A16C7E">
        <w:rPr>
          <w:rFonts w:cstheme="minorHAnsi"/>
        </w:rPr>
        <w:t xml:space="preserve">. </w:t>
      </w:r>
    </w:p>
    <w:p w:rsidR="004E6E0C" w:rsidRPr="00A16C7E" w:rsidRDefault="004E6E0C" w:rsidP="00F60844">
      <w:pPr>
        <w:contextualSpacing/>
        <w:jc w:val="both"/>
        <w:rPr>
          <w:rFonts w:cstheme="minorHAnsi"/>
        </w:rPr>
      </w:pPr>
    </w:p>
    <w:p w:rsidR="004E6E0C" w:rsidRPr="00A16C7E" w:rsidRDefault="004E6E0C" w:rsidP="00F60844">
      <w:pPr>
        <w:autoSpaceDE w:val="0"/>
        <w:autoSpaceDN w:val="0"/>
        <w:adjustRightInd w:val="0"/>
        <w:spacing w:after="0" w:line="240" w:lineRule="auto"/>
        <w:jc w:val="both"/>
        <w:rPr>
          <w:rFonts w:cstheme="minorHAnsi"/>
        </w:rPr>
      </w:pPr>
      <w:r w:rsidRPr="00A16C7E">
        <w:rPr>
          <w:rFonts w:cstheme="minorHAnsi"/>
        </w:rPr>
        <w:t xml:space="preserve">Nous vous rappelons </w:t>
      </w:r>
      <w:r w:rsidR="00B95E83" w:rsidRPr="00A16C7E">
        <w:rPr>
          <w:rFonts w:cstheme="minorHAnsi"/>
        </w:rPr>
        <w:t>aussi que</w:t>
      </w:r>
      <w:r w:rsidRPr="00A16C7E">
        <w:rPr>
          <w:rFonts w:cstheme="minorHAnsi"/>
        </w:rPr>
        <w:t xml:space="preserve"> la</w:t>
      </w:r>
      <w:r w:rsidRPr="00A16C7E">
        <w:rPr>
          <w:rFonts w:cstheme="minorHAnsi"/>
        </w:rPr>
        <w:t xml:space="preserve"> négociation obligatoire sur le </w:t>
      </w:r>
      <w:r w:rsidRPr="00A16C7E">
        <w:rPr>
          <w:rFonts w:cstheme="minorHAnsi"/>
        </w:rPr>
        <w:t>thème de « l’</w:t>
      </w:r>
      <w:r w:rsidRPr="00A16C7E">
        <w:rPr>
          <w:rFonts w:cstheme="minorHAnsi"/>
        </w:rPr>
        <w:t xml:space="preserve">égalité professionnelle entre </w:t>
      </w:r>
      <w:r w:rsidRPr="00A16C7E">
        <w:rPr>
          <w:rFonts w:cstheme="minorHAnsi"/>
        </w:rPr>
        <w:t xml:space="preserve">les femmes </w:t>
      </w:r>
      <w:r w:rsidRPr="00A16C7E">
        <w:rPr>
          <w:rFonts w:cstheme="minorHAnsi"/>
        </w:rPr>
        <w:t xml:space="preserve">et les hommes » </w:t>
      </w:r>
      <w:r w:rsidR="00853D76" w:rsidRPr="00A16C7E">
        <w:rPr>
          <w:rFonts w:cstheme="minorHAnsi"/>
        </w:rPr>
        <w:t>doit avoir</w:t>
      </w:r>
      <w:r w:rsidRPr="00A16C7E">
        <w:rPr>
          <w:rFonts w:cstheme="minorHAnsi"/>
        </w:rPr>
        <w:t xml:space="preserve"> lieu tous les </w:t>
      </w:r>
      <w:r w:rsidRPr="00A16C7E">
        <w:rPr>
          <w:rFonts w:cstheme="minorHAnsi"/>
        </w:rPr>
        <w:t>ans dans les entr</w:t>
      </w:r>
      <w:r w:rsidRPr="00A16C7E">
        <w:rPr>
          <w:rFonts w:cstheme="minorHAnsi"/>
        </w:rPr>
        <w:t xml:space="preserve">eprises où sont constituées une </w:t>
      </w:r>
      <w:r w:rsidRPr="00A16C7E">
        <w:rPr>
          <w:rFonts w:cstheme="minorHAnsi"/>
        </w:rPr>
        <w:t>ou plusieurs sections syndicales d’</w:t>
      </w:r>
      <w:r w:rsidRPr="00A16C7E">
        <w:rPr>
          <w:rFonts w:cstheme="minorHAnsi"/>
        </w:rPr>
        <w:t xml:space="preserve">organisations </w:t>
      </w:r>
      <w:r w:rsidRPr="00A16C7E">
        <w:rPr>
          <w:rFonts w:cstheme="minorHAnsi"/>
        </w:rPr>
        <w:t>représentatives et o</w:t>
      </w:r>
      <w:r w:rsidRPr="00A16C7E">
        <w:rPr>
          <w:rFonts w:cstheme="minorHAnsi"/>
        </w:rPr>
        <w:t xml:space="preserve">ù sont désignés un ou plusieurs </w:t>
      </w:r>
      <w:r w:rsidRPr="00A16C7E">
        <w:rPr>
          <w:rFonts w:cstheme="minorHAnsi"/>
        </w:rPr>
        <w:t>délégués syndicaux</w:t>
      </w:r>
      <w:r w:rsidRPr="00A16C7E">
        <w:rPr>
          <w:rStyle w:val="Appelnotedebasdep"/>
          <w:rFonts w:cstheme="minorHAnsi"/>
        </w:rPr>
        <w:footnoteReference w:id="2"/>
      </w:r>
      <w:r w:rsidRPr="00A16C7E">
        <w:rPr>
          <w:rFonts w:cstheme="minorHAnsi"/>
        </w:rPr>
        <w:t xml:space="preserve">. </w:t>
      </w:r>
    </w:p>
    <w:p w:rsidR="004E6E0C" w:rsidRPr="00A16C7E" w:rsidRDefault="004E6E0C" w:rsidP="00F60844">
      <w:pPr>
        <w:contextualSpacing/>
        <w:jc w:val="both"/>
        <w:rPr>
          <w:rFonts w:cstheme="minorHAnsi"/>
        </w:rPr>
      </w:pPr>
    </w:p>
    <w:p w:rsidR="00740CCD" w:rsidRPr="00A16C7E" w:rsidRDefault="00740CCD" w:rsidP="00F60844">
      <w:pPr>
        <w:contextualSpacing/>
        <w:jc w:val="both"/>
        <w:rPr>
          <w:rFonts w:cstheme="minorHAnsi"/>
        </w:rPr>
      </w:pPr>
      <w:r w:rsidRPr="00A16C7E">
        <w:rPr>
          <w:rFonts w:cstheme="minorHAnsi"/>
        </w:rPr>
        <w:t xml:space="preserve">Toutes les entreprises de plus de 50 salariés sont aussi assujetties à l’obligation de </w:t>
      </w:r>
      <w:r w:rsidR="0079298E" w:rsidRPr="00A16C7E">
        <w:rPr>
          <w:rFonts w:cstheme="minorHAnsi"/>
        </w:rPr>
        <w:t>la publication annuelle de l’</w:t>
      </w:r>
      <w:r w:rsidRPr="00A16C7E">
        <w:rPr>
          <w:rFonts w:cstheme="minorHAnsi"/>
          <w:i/>
          <w:iCs/>
        </w:rPr>
        <w:t>« Index égalité Femmes-Hommes ».</w:t>
      </w:r>
    </w:p>
    <w:p w:rsidR="0079298E" w:rsidRPr="00A16C7E" w:rsidRDefault="0079298E" w:rsidP="00F60844">
      <w:pPr>
        <w:jc w:val="both"/>
        <w:rPr>
          <w:rFonts w:cstheme="minorHAnsi"/>
        </w:rPr>
      </w:pPr>
      <w:r w:rsidRPr="00A16C7E">
        <w:rPr>
          <w:rFonts w:cstheme="minorHAnsi"/>
        </w:rPr>
        <w:t>Concernant cet index,</w:t>
      </w:r>
      <w:r w:rsidR="00B95E83" w:rsidRPr="00A16C7E">
        <w:rPr>
          <w:rFonts w:cstheme="minorHAnsi"/>
        </w:rPr>
        <w:t xml:space="preserve"> l’obtention d’une « bonne note » </w:t>
      </w:r>
      <w:r w:rsidR="00B95E83" w:rsidRPr="00A16C7E">
        <w:rPr>
          <w:rFonts w:cstheme="minorHAnsi"/>
        </w:rPr>
        <w:t>à ce dernier</w:t>
      </w:r>
      <w:r w:rsidR="00B95E83" w:rsidRPr="00A16C7E">
        <w:rPr>
          <w:rFonts w:cstheme="minorHAnsi"/>
        </w:rPr>
        <w:t xml:space="preserve"> (plus de 75/100) ne dispense pas l’employeur des différentes obligations citées ci-dessus.</w:t>
      </w:r>
      <w:r w:rsidR="00F60844" w:rsidRPr="00A16C7E">
        <w:rPr>
          <w:rFonts w:cstheme="minorHAnsi"/>
        </w:rPr>
        <w:t xml:space="preserve"> Su</w:t>
      </w:r>
      <w:r w:rsidR="00B95E83" w:rsidRPr="00A16C7E">
        <w:rPr>
          <w:rFonts w:cstheme="minorHAnsi"/>
        </w:rPr>
        <w:t>r cet index, de nombreuses</w:t>
      </w:r>
      <w:r w:rsidRPr="00A16C7E">
        <w:rPr>
          <w:rFonts w:cstheme="minorHAnsi"/>
        </w:rPr>
        <w:t xml:space="preserve"> critiques ont</w:t>
      </w:r>
      <w:r w:rsidR="00B95E83" w:rsidRPr="00A16C7E">
        <w:rPr>
          <w:rFonts w:cstheme="minorHAnsi"/>
        </w:rPr>
        <w:t xml:space="preserve"> d’ailleurs</w:t>
      </w:r>
      <w:r w:rsidRPr="00A16C7E">
        <w:rPr>
          <w:rFonts w:cstheme="minorHAnsi"/>
        </w:rPr>
        <w:t xml:space="preserve"> </w:t>
      </w:r>
      <w:r w:rsidR="00B95E83" w:rsidRPr="00A16C7E">
        <w:rPr>
          <w:rFonts w:cstheme="minorHAnsi"/>
        </w:rPr>
        <w:t xml:space="preserve">déjà </w:t>
      </w:r>
      <w:r w:rsidRPr="00A16C7E">
        <w:rPr>
          <w:rFonts w:cstheme="minorHAnsi"/>
        </w:rPr>
        <w:t>été exprimées :</w:t>
      </w:r>
    </w:p>
    <w:p w:rsidR="0079298E" w:rsidRPr="00A16C7E" w:rsidRDefault="0079298E" w:rsidP="00F60844">
      <w:pPr>
        <w:pStyle w:val="Paragraphedeliste"/>
        <w:numPr>
          <w:ilvl w:val="0"/>
          <w:numId w:val="2"/>
        </w:numPr>
        <w:jc w:val="both"/>
        <w:rPr>
          <w:rFonts w:cstheme="minorHAnsi"/>
        </w:rPr>
      </w:pPr>
      <w:r w:rsidRPr="00A16C7E">
        <w:rPr>
          <w:rFonts w:cstheme="minorHAnsi"/>
        </w:rPr>
        <w:t>Un « seuil de tolérance » de 5 % pour les CSP et d</w:t>
      </w:r>
      <w:r w:rsidR="00B95E83" w:rsidRPr="00A16C7E">
        <w:rPr>
          <w:rFonts w:cstheme="minorHAnsi"/>
        </w:rPr>
        <w:t>e 2 % pour les coefficients est</w:t>
      </w:r>
      <w:r w:rsidRPr="00A16C7E">
        <w:rPr>
          <w:rFonts w:cstheme="minorHAnsi"/>
        </w:rPr>
        <w:t xml:space="preserve"> appliqué pour le calcul des écarts de rémunération dans le 1er indicateur. Concrètement, cela signifie que si entre les femmes et les hommes cadres il y </w:t>
      </w:r>
      <w:r w:rsidR="00B95E83" w:rsidRPr="00A16C7E">
        <w:rPr>
          <w:rFonts w:cstheme="minorHAnsi"/>
        </w:rPr>
        <w:t>a 10 % d’écart, on n’en retient</w:t>
      </w:r>
      <w:r w:rsidRPr="00A16C7E">
        <w:rPr>
          <w:rFonts w:cstheme="minorHAnsi"/>
        </w:rPr>
        <w:t xml:space="preserve"> que 5 % !</w:t>
      </w:r>
    </w:p>
    <w:p w:rsidR="00B95E83" w:rsidRPr="00A16C7E" w:rsidRDefault="0079298E" w:rsidP="00F60844">
      <w:pPr>
        <w:pStyle w:val="Paragraphedeliste"/>
        <w:numPr>
          <w:ilvl w:val="0"/>
          <w:numId w:val="2"/>
        </w:numPr>
        <w:autoSpaceDE w:val="0"/>
        <w:autoSpaceDN w:val="0"/>
        <w:adjustRightInd w:val="0"/>
        <w:spacing w:after="0"/>
        <w:jc w:val="both"/>
        <w:rPr>
          <w:rFonts w:cstheme="minorHAnsi"/>
        </w:rPr>
      </w:pPr>
      <w:r w:rsidRPr="00A16C7E">
        <w:rPr>
          <w:rFonts w:cstheme="minorHAnsi"/>
        </w:rPr>
        <w:t xml:space="preserve">Il suffit d’avoir 75/100 pour ne pas être sanctionné. Or, le barème retenu est très progressif et les 5 critères se compensent. </w:t>
      </w:r>
      <w:r w:rsidRPr="00A16C7E">
        <w:rPr>
          <w:rFonts w:cstheme="minorHAnsi"/>
          <w:bCs/>
        </w:rPr>
        <w:t>Il est donc possible de ne pas être sanctionné tout en ayant un écart de rémunération</w:t>
      </w:r>
      <w:r w:rsidRPr="00A16C7E">
        <w:rPr>
          <w:rFonts w:cstheme="minorHAnsi"/>
        </w:rPr>
        <w:t xml:space="preserve"> </w:t>
      </w:r>
      <w:r w:rsidRPr="00A16C7E">
        <w:rPr>
          <w:rFonts w:cstheme="minorHAnsi"/>
          <w:bCs/>
        </w:rPr>
        <w:t>« officiel » (une fois le seuil de tolérance retranché) de 15 % !</w:t>
      </w:r>
      <w:r w:rsidRPr="00A16C7E">
        <w:rPr>
          <w:rFonts w:cstheme="minorHAnsi"/>
          <w:b/>
          <w:bCs/>
        </w:rPr>
        <w:t xml:space="preserve"> </w:t>
      </w:r>
    </w:p>
    <w:p w:rsidR="0079298E" w:rsidRPr="00A16C7E" w:rsidRDefault="0079298E" w:rsidP="00F60844">
      <w:pPr>
        <w:pStyle w:val="Paragraphedeliste"/>
        <w:numPr>
          <w:ilvl w:val="0"/>
          <w:numId w:val="2"/>
        </w:numPr>
        <w:autoSpaceDE w:val="0"/>
        <w:autoSpaceDN w:val="0"/>
        <w:adjustRightInd w:val="0"/>
        <w:spacing w:after="0"/>
        <w:jc w:val="both"/>
        <w:rPr>
          <w:rFonts w:cstheme="minorHAnsi"/>
        </w:rPr>
      </w:pPr>
      <w:r w:rsidRPr="00A16C7E">
        <w:rPr>
          <w:rFonts w:cstheme="minorHAnsi"/>
        </w:rPr>
        <w:lastRenderedPageBreak/>
        <w:t xml:space="preserve">Les indicateurs 2 et 4 ne portent que sur la comparaison du pourcentage de femmes et d’hommes </w:t>
      </w:r>
      <w:proofErr w:type="spellStart"/>
      <w:r w:rsidRPr="00A16C7E">
        <w:rPr>
          <w:rFonts w:cstheme="minorHAnsi"/>
        </w:rPr>
        <w:t>augmenté.e.s</w:t>
      </w:r>
      <w:proofErr w:type="spellEnd"/>
      <w:r w:rsidRPr="00A16C7E">
        <w:rPr>
          <w:rFonts w:cstheme="minorHAnsi"/>
        </w:rPr>
        <w:t xml:space="preserve">, sans prendre en compte le montant de ces augmentations. Il </w:t>
      </w:r>
      <w:r w:rsidR="00385A5D" w:rsidRPr="00A16C7E">
        <w:rPr>
          <w:rFonts w:cstheme="minorHAnsi"/>
        </w:rPr>
        <w:t>est</w:t>
      </w:r>
      <w:r w:rsidRPr="00A16C7E">
        <w:rPr>
          <w:rFonts w:cstheme="minorHAnsi"/>
        </w:rPr>
        <w:t xml:space="preserve"> donc</w:t>
      </w:r>
      <w:r w:rsidR="00385A5D" w:rsidRPr="00A16C7E">
        <w:rPr>
          <w:rFonts w:cstheme="minorHAnsi"/>
        </w:rPr>
        <w:t xml:space="preserve"> très facile de les contourner.</w:t>
      </w:r>
    </w:p>
    <w:p w:rsidR="0079298E" w:rsidRPr="00A16C7E" w:rsidRDefault="0079298E" w:rsidP="00F60844">
      <w:pPr>
        <w:pStyle w:val="Paragraphedeliste"/>
        <w:numPr>
          <w:ilvl w:val="0"/>
          <w:numId w:val="2"/>
        </w:numPr>
        <w:autoSpaceDE w:val="0"/>
        <w:autoSpaceDN w:val="0"/>
        <w:adjustRightInd w:val="0"/>
        <w:spacing w:after="0"/>
        <w:jc w:val="both"/>
        <w:rPr>
          <w:rFonts w:cstheme="minorHAnsi"/>
        </w:rPr>
      </w:pPr>
      <w:r w:rsidRPr="00A16C7E">
        <w:rPr>
          <w:rFonts w:cstheme="minorHAnsi"/>
        </w:rPr>
        <w:t>Les modalités retenues font craindre que le barom</w:t>
      </w:r>
      <w:r w:rsidR="00385A5D" w:rsidRPr="00A16C7E">
        <w:rPr>
          <w:rFonts w:cstheme="minorHAnsi"/>
        </w:rPr>
        <w:t>ètre ne puisse pas s’appliquer</w:t>
      </w:r>
      <w:r w:rsidRPr="00A16C7E">
        <w:rPr>
          <w:rFonts w:cstheme="minorHAnsi"/>
        </w:rPr>
        <w:t xml:space="preserve"> dans le</w:t>
      </w:r>
      <w:r w:rsidR="00385A5D" w:rsidRPr="00A16C7E">
        <w:rPr>
          <w:rFonts w:cstheme="minorHAnsi"/>
        </w:rPr>
        <w:t xml:space="preserve"> cas où les écarts et panels</w:t>
      </w:r>
      <w:r w:rsidRPr="00A16C7E">
        <w:rPr>
          <w:rFonts w:cstheme="minorHAnsi"/>
        </w:rPr>
        <w:t xml:space="preserve"> seraient considérés comme « non représentatifs ».</w:t>
      </w:r>
    </w:p>
    <w:p w:rsidR="0079298E" w:rsidRPr="00A16C7E" w:rsidRDefault="0079298E" w:rsidP="00F60844">
      <w:pPr>
        <w:jc w:val="both"/>
        <w:rPr>
          <w:rFonts w:cstheme="minorHAnsi"/>
        </w:rPr>
      </w:pPr>
    </w:p>
    <w:p w:rsidR="0079298E" w:rsidRPr="00A16C7E" w:rsidRDefault="0079298E" w:rsidP="00F60844">
      <w:pPr>
        <w:pStyle w:val="NormalWeb"/>
        <w:jc w:val="both"/>
        <w:rPr>
          <w:rFonts w:asciiTheme="minorHAnsi" w:hAnsiTheme="minorHAnsi" w:cstheme="minorHAnsi"/>
          <w:sz w:val="22"/>
          <w:szCs w:val="22"/>
        </w:rPr>
      </w:pPr>
      <w:r w:rsidRPr="00A16C7E">
        <w:rPr>
          <w:rFonts w:asciiTheme="minorHAnsi" w:hAnsiTheme="minorHAnsi" w:cstheme="minorHAnsi"/>
          <w:sz w:val="22"/>
          <w:szCs w:val="22"/>
        </w:rPr>
        <w:t xml:space="preserve">Cet index a donc une portée limitée sur de nombreux aspects, et le plus souvent, a pour conséquence de masquer les écarts de rémunérations. </w:t>
      </w:r>
      <w:r w:rsidR="00F60844" w:rsidRPr="00A16C7E">
        <w:rPr>
          <w:rFonts w:asciiTheme="minorHAnsi" w:hAnsiTheme="minorHAnsi" w:cstheme="minorHAnsi"/>
          <w:sz w:val="22"/>
          <w:szCs w:val="22"/>
        </w:rPr>
        <w:t>Il</w:t>
      </w:r>
      <w:r w:rsidRPr="00A16C7E">
        <w:rPr>
          <w:rFonts w:asciiTheme="minorHAnsi" w:hAnsiTheme="minorHAnsi" w:cstheme="minorHAnsi"/>
          <w:sz w:val="22"/>
          <w:szCs w:val="22"/>
        </w:rPr>
        <w:t xml:space="preserve"> exclut les vraies causes structurelles des inégalités salariales (par exemple, le temps partiel est neutralisé). </w:t>
      </w:r>
    </w:p>
    <w:p w:rsidR="00E70E36" w:rsidRPr="00A16C7E" w:rsidRDefault="0079298E" w:rsidP="00F60844">
      <w:pPr>
        <w:pStyle w:val="NormalWeb"/>
        <w:jc w:val="both"/>
        <w:rPr>
          <w:rFonts w:asciiTheme="minorHAnsi" w:hAnsiTheme="minorHAnsi" w:cstheme="minorHAnsi"/>
          <w:sz w:val="22"/>
          <w:szCs w:val="22"/>
        </w:rPr>
      </w:pPr>
      <w:r w:rsidRPr="00A16C7E">
        <w:rPr>
          <w:rFonts w:asciiTheme="minorHAnsi" w:hAnsiTheme="minorHAnsi" w:cstheme="minorHAnsi"/>
          <w:sz w:val="22"/>
          <w:szCs w:val="22"/>
        </w:rPr>
        <w:t xml:space="preserve">Les résultats de l’index publiés chaque année posent d’ailleurs question : où sont passés les écarts salariaux qui rappelons−le sont toujours </w:t>
      </w:r>
      <w:r w:rsidR="00E70E36" w:rsidRPr="00A16C7E">
        <w:rPr>
          <w:rFonts w:asciiTheme="minorHAnsi" w:hAnsiTheme="minorHAnsi" w:cstheme="minorHAnsi"/>
          <w:sz w:val="22"/>
          <w:szCs w:val="22"/>
        </w:rPr>
        <w:t xml:space="preserve">en moyenne </w:t>
      </w:r>
      <w:r w:rsidRPr="00A16C7E">
        <w:rPr>
          <w:rFonts w:asciiTheme="minorHAnsi" w:hAnsiTheme="minorHAnsi" w:cstheme="minorHAnsi"/>
          <w:sz w:val="22"/>
          <w:szCs w:val="22"/>
        </w:rPr>
        <w:t xml:space="preserve">d’un quart en moins? </w:t>
      </w:r>
    </w:p>
    <w:p w:rsidR="0079298E" w:rsidRPr="00A16C7E" w:rsidRDefault="0079298E" w:rsidP="00F60844">
      <w:pPr>
        <w:pStyle w:val="NormalWeb"/>
        <w:jc w:val="both"/>
        <w:rPr>
          <w:rFonts w:asciiTheme="minorHAnsi" w:hAnsiTheme="minorHAnsi" w:cstheme="minorHAnsi"/>
          <w:sz w:val="22"/>
          <w:szCs w:val="22"/>
        </w:rPr>
      </w:pPr>
      <w:r w:rsidRPr="00A16C7E">
        <w:rPr>
          <w:rFonts w:asciiTheme="minorHAnsi" w:hAnsiTheme="minorHAnsi" w:cstheme="minorHAnsi"/>
          <w:sz w:val="22"/>
          <w:szCs w:val="22"/>
        </w:rPr>
        <w:t xml:space="preserve">Du fait de ces nombreux biais, cet index </w:t>
      </w:r>
      <w:r w:rsidR="00853D76" w:rsidRPr="00A16C7E">
        <w:rPr>
          <w:rFonts w:asciiTheme="minorHAnsi" w:hAnsiTheme="minorHAnsi" w:cstheme="minorHAnsi"/>
          <w:sz w:val="22"/>
          <w:szCs w:val="22"/>
        </w:rPr>
        <w:t xml:space="preserve">masque les discriminations salariales et </w:t>
      </w:r>
      <w:r w:rsidRPr="00A16C7E">
        <w:rPr>
          <w:rFonts w:asciiTheme="minorHAnsi" w:hAnsiTheme="minorHAnsi" w:cstheme="minorHAnsi"/>
          <w:sz w:val="22"/>
          <w:szCs w:val="22"/>
        </w:rPr>
        <w:t xml:space="preserve">n’est pas suffisant pour réduire les écarts salariaux et faire sauter paroi et plafond de verre. </w:t>
      </w:r>
    </w:p>
    <w:p w:rsidR="00551CE7" w:rsidRPr="00A16C7E" w:rsidRDefault="0079298E" w:rsidP="00F60844">
      <w:pPr>
        <w:pStyle w:val="NormalWeb"/>
        <w:jc w:val="both"/>
        <w:rPr>
          <w:rFonts w:asciiTheme="minorHAnsi" w:hAnsiTheme="minorHAnsi" w:cstheme="minorHAnsi"/>
          <w:sz w:val="22"/>
          <w:szCs w:val="22"/>
        </w:rPr>
      </w:pPr>
      <w:r w:rsidRPr="00A16C7E">
        <w:rPr>
          <w:rFonts w:asciiTheme="minorHAnsi" w:hAnsiTheme="minorHAnsi" w:cstheme="minorHAnsi"/>
          <w:sz w:val="22"/>
          <w:szCs w:val="22"/>
        </w:rPr>
        <w:t xml:space="preserve">La CGT réaffirme son attachement aux indicateurs « Clerc » mentionnés dans le rapport </w:t>
      </w:r>
      <w:proofErr w:type="spellStart"/>
      <w:r w:rsidRPr="00A16C7E">
        <w:rPr>
          <w:rFonts w:asciiTheme="minorHAnsi" w:hAnsiTheme="minorHAnsi" w:cstheme="minorHAnsi"/>
          <w:sz w:val="22"/>
          <w:szCs w:val="22"/>
        </w:rPr>
        <w:t>Sciberras</w:t>
      </w:r>
      <w:proofErr w:type="spellEnd"/>
      <w:r w:rsidRPr="00A16C7E">
        <w:rPr>
          <w:rFonts w:asciiTheme="minorHAnsi" w:hAnsiTheme="minorHAnsi" w:cstheme="minorHAnsi"/>
          <w:sz w:val="22"/>
          <w:szCs w:val="22"/>
        </w:rPr>
        <w:t xml:space="preserve"> pour que l’index puisse devenir un outil plus simple qui met en évidence les discriminations femmes hommes sur la carrière, au lieu de les masquer. </w:t>
      </w:r>
    </w:p>
    <w:p w:rsidR="0079298E" w:rsidRPr="00A16C7E" w:rsidRDefault="0079298E" w:rsidP="00F60844">
      <w:pPr>
        <w:pStyle w:val="NormalWeb"/>
        <w:jc w:val="both"/>
        <w:rPr>
          <w:rFonts w:asciiTheme="minorHAnsi" w:hAnsiTheme="minorHAnsi" w:cstheme="minorHAnsi"/>
          <w:sz w:val="22"/>
          <w:szCs w:val="22"/>
        </w:rPr>
      </w:pPr>
    </w:p>
    <w:p w:rsidR="0079298E" w:rsidRPr="00A16C7E" w:rsidRDefault="00390927" w:rsidP="00F60844">
      <w:pPr>
        <w:pStyle w:val="NormalWeb"/>
        <w:jc w:val="both"/>
        <w:rPr>
          <w:rFonts w:asciiTheme="minorHAnsi" w:hAnsiTheme="minorHAnsi" w:cstheme="minorHAnsi"/>
          <w:sz w:val="22"/>
          <w:szCs w:val="22"/>
        </w:rPr>
      </w:pPr>
      <w:r w:rsidRPr="00A16C7E">
        <w:rPr>
          <w:rFonts w:asciiTheme="minorHAnsi" w:hAnsiTheme="minorHAnsi" w:cstheme="minorHAnsi"/>
          <w:sz w:val="22"/>
          <w:szCs w:val="22"/>
        </w:rPr>
        <w:t>C’est pour l’ensemble de ces raisons qu’à l’ occasion du 8 mars 2021, nous vous sollicitons pour ouvrir les négociations sur l’égalité professionnelle entre les femmes et les hommes et plus particulièrement sur l’égalité salariale entre les femmes et les hommes.</w:t>
      </w:r>
      <w:r w:rsidR="00F60844" w:rsidRPr="00A16C7E">
        <w:rPr>
          <w:rFonts w:asciiTheme="minorHAnsi" w:hAnsiTheme="minorHAnsi" w:cstheme="minorHAnsi"/>
          <w:sz w:val="22"/>
          <w:szCs w:val="22"/>
        </w:rPr>
        <w:t xml:space="preserve"> Nous vous proposons en PJ de ce courrier un accord égalité professionnelle que nous avons rédigé. </w:t>
      </w:r>
    </w:p>
    <w:p w:rsidR="0079298E" w:rsidRPr="00A16C7E" w:rsidRDefault="0079298E" w:rsidP="00F60844">
      <w:pPr>
        <w:pStyle w:val="NormalWeb"/>
        <w:jc w:val="both"/>
        <w:rPr>
          <w:rFonts w:asciiTheme="minorHAnsi" w:hAnsiTheme="minorHAnsi" w:cstheme="minorHAnsi"/>
          <w:sz w:val="22"/>
          <w:szCs w:val="22"/>
        </w:rPr>
      </w:pPr>
    </w:p>
    <w:p w:rsidR="0079298E" w:rsidRPr="00A16C7E" w:rsidRDefault="00A16C7E" w:rsidP="00780C62">
      <w:pPr>
        <w:pStyle w:val="NormalWeb"/>
        <w:ind w:firstLine="708"/>
        <w:jc w:val="both"/>
        <w:rPr>
          <w:rFonts w:asciiTheme="minorHAnsi" w:hAnsiTheme="minorHAnsi" w:cstheme="minorHAnsi"/>
          <w:b/>
          <w:i/>
          <w:sz w:val="22"/>
          <w:szCs w:val="22"/>
        </w:rPr>
      </w:pPr>
      <w:r w:rsidRPr="00A16C7E">
        <w:rPr>
          <w:rFonts w:asciiTheme="minorHAnsi" w:hAnsiTheme="minorHAnsi" w:cstheme="minorHAnsi"/>
          <w:b/>
          <w:i/>
          <w:sz w:val="22"/>
          <w:szCs w:val="22"/>
        </w:rPr>
        <w:t>L</w:t>
      </w:r>
      <w:r w:rsidR="0012099D">
        <w:rPr>
          <w:rFonts w:asciiTheme="minorHAnsi" w:hAnsiTheme="minorHAnsi" w:cstheme="minorHAnsi"/>
          <w:b/>
          <w:i/>
          <w:sz w:val="22"/>
          <w:szCs w:val="22"/>
        </w:rPr>
        <w:t>a l</w:t>
      </w:r>
      <w:r w:rsidRPr="00A16C7E">
        <w:rPr>
          <w:rFonts w:asciiTheme="minorHAnsi" w:hAnsiTheme="minorHAnsi" w:cstheme="minorHAnsi"/>
          <w:b/>
          <w:i/>
          <w:sz w:val="22"/>
          <w:szCs w:val="22"/>
        </w:rPr>
        <w:t>utte contre les violences sexistes et sexuelles :</w:t>
      </w:r>
    </w:p>
    <w:p w:rsidR="00A16C7E" w:rsidRPr="00A16C7E" w:rsidRDefault="00A16C7E" w:rsidP="00F60844">
      <w:pPr>
        <w:pStyle w:val="NormalWeb"/>
        <w:jc w:val="both"/>
        <w:rPr>
          <w:rFonts w:asciiTheme="minorHAnsi" w:hAnsiTheme="minorHAnsi" w:cstheme="minorHAnsi"/>
          <w:sz w:val="22"/>
          <w:szCs w:val="22"/>
        </w:rPr>
      </w:pPr>
    </w:p>
    <w:p w:rsidR="00A16C7E" w:rsidRPr="00A16C7E" w:rsidRDefault="00780C62" w:rsidP="0025041A">
      <w:pPr>
        <w:pStyle w:val="NormalWeb"/>
        <w:jc w:val="both"/>
        <w:rPr>
          <w:rFonts w:asciiTheme="minorHAnsi" w:hAnsiTheme="minorHAnsi" w:cstheme="minorHAnsi"/>
          <w:sz w:val="22"/>
          <w:szCs w:val="22"/>
        </w:rPr>
      </w:pPr>
      <w:r>
        <w:rPr>
          <w:rFonts w:asciiTheme="minorHAnsi" w:hAnsiTheme="minorHAnsi" w:cstheme="minorHAnsi"/>
          <w:sz w:val="22"/>
          <w:szCs w:val="22"/>
        </w:rPr>
        <w:t>A</w:t>
      </w:r>
      <w:r w:rsidR="00F60844" w:rsidRPr="00A16C7E">
        <w:rPr>
          <w:rFonts w:asciiTheme="minorHAnsi" w:hAnsiTheme="minorHAnsi" w:cstheme="minorHAnsi"/>
          <w:sz w:val="22"/>
          <w:szCs w:val="22"/>
        </w:rPr>
        <w:t>u-delà de l’égalité salariale, l’égalité professionnelle entre les femmes et les hommes n’est possible qu’avec l’éradication des violences sexistes et sexuelles.</w:t>
      </w:r>
      <w:r w:rsidR="0025041A" w:rsidRPr="00A16C7E">
        <w:rPr>
          <w:rFonts w:asciiTheme="minorHAnsi" w:hAnsiTheme="minorHAnsi" w:cstheme="minorHAnsi"/>
          <w:sz w:val="22"/>
          <w:szCs w:val="22"/>
        </w:rPr>
        <w:t xml:space="preserve"> </w:t>
      </w:r>
    </w:p>
    <w:p w:rsidR="00A16C7E" w:rsidRPr="00A16C7E" w:rsidRDefault="00A16C7E" w:rsidP="0025041A">
      <w:pPr>
        <w:pStyle w:val="NormalWeb"/>
        <w:jc w:val="both"/>
        <w:rPr>
          <w:rFonts w:asciiTheme="minorHAnsi" w:hAnsiTheme="minorHAnsi" w:cstheme="minorHAnsi"/>
          <w:sz w:val="22"/>
          <w:szCs w:val="22"/>
        </w:rPr>
      </w:pPr>
    </w:p>
    <w:p w:rsidR="00A16C7E" w:rsidRPr="00A16C7E" w:rsidRDefault="00A16C7E" w:rsidP="0025041A">
      <w:pPr>
        <w:pStyle w:val="NormalWeb"/>
        <w:jc w:val="both"/>
        <w:rPr>
          <w:rFonts w:asciiTheme="minorHAnsi" w:hAnsiTheme="minorHAnsi" w:cstheme="minorHAnsi"/>
          <w:sz w:val="22"/>
          <w:szCs w:val="22"/>
        </w:rPr>
      </w:pPr>
      <w:r w:rsidRPr="00A16C7E">
        <w:rPr>
          <w:rFonts w:asciiTheme="minorHAnsi" w:hAnsiTheme="minorHAnsi" w:cstheme="minorHAnsi"/>
          <w:sz w:val="22"/>
          <w:szCs w:val="22"/>
        </w:rPr>
        <w:t>Pour rappel, il existe certaines obligations :</w:t>
      </w:r>
    </w:p>
    <w:p w:rsidR="00A16C7E" w:rsidRPr="00A16C7E" w:rsidRDefault="00A16C7E" w:rsidP="0025041A">
      <w:pPr>
        <w:pStyle w:val="NormalWeb"/>
        <w:jc w:val="both"/>
        <w:rPr>
          <w:rFonts w:asciiTheme="minorHAnsi" w:hAnsiTheme="minorHAnsi" w:cstheme="minorHAnsi"/>
          <w:sz w:val="22"/>
          <w:szCs w:val="22"/>
        </w:rPr>
      </w:pPr>
    </w:p>
    <w:p w:rsidR="0025041A" w:rsidRPr="00A16C7E" w:rsidRDefault="0025041A" w:rsidP="0025041A">
      <w:pPr>
        <w:pStyle w:val="NormalWeb"/>
        <w:jc w:val="both"/>
        <w:rPr>
          <w:rFonts w:asciiTheme="minorHAnsi" w:hAnsiTheme="minorHAnsi" w:cstheme="minorHAnsi"/>
          <w:sz w:val="22"/>
          <w:szCs w:val="22"/>
        </w:rPr>
      </w:pPr>
      <w:r w:rsidRPr="00A16C7E">
        <w:rPr>
          <w:rFonts w:asciiTheme="minorHAnsi" w:hAnsiTheme="minorHAnsi" w:cstheme="minorHAnsi"/>
          <w:sz w:val="22"/>
          <w:szCs w:val="22"/>
        </w:rPr>
        <w:t xml:space="preserve">L’employeur doit prévenir et lutter contre les violences sexistes ou sexuelles notamment en application de son obligation de sécurité physique et morale envers ses </w:t>
      </w:r>
      <w:proofErr w:type="spellStart"/>
      <w:r w:rsidRPr="00A16C7E">
        <w:rPr>
          <w:rFonts w:asciiTheme="minorHAnsi" w:hAnsiTheme="minorHAnsi" w:cstheme="minorHAnsi"/>
          <w:sz w:val="22"/>
          <w:szCs w:val="22"/>
        </w:rPr>
        <w:t>salarié</w:t>
      </w:r>
      <w:r w:rsidRPr="00A16C7E">
        <w:rPr>
          <w:rFonts w:asciiTheme="minorHAnsi" w:hAnsiTheme="minorHAnsi" w:cstheme="minorHAnsi"/>
          <w:sz w:val="22"/>
          <w:szCs w:val="22"/>
        </w:rPr>
        <w:t>.</w:t>
      </w:r>
      <w:r w:rsidRPr="00A16C7E">
        <w:rPr>
          <w:rFonts w:asciiTheme="minorHAnsi" w:hAnsiTheme="minorHAnsi" w:cstheme="minorHAnsi"/>
          <w:sz w:val="22"/>
          <w:szCs w:val="22"/>
        </w:rPr>
        <w:t>s</w:t>
      </w:r>
      <w:proofErr w:type="spellEnd"/>
      <w:r w:rsidRPr="00A16C7E">
        <w:rPr>
          <w:rStyle w:val="Appelnotedebasdep"/>
          <w:rFonts w:asciiTheme="minorHAnsi" w:hAnsiTheme="minorHAnsi" w:cstheme="minorHAnsi"/>
          <w:sz w:val="22"/>
          <w:szCs w:val="22"/>
        </w:rPr>
        <w:footnoteReference w:id="3"/>
      </w:r>
      <w:r w:rsidRPr="00A16C7E">
        <w:rPr>
          <w:rFonts w:asciiTheme="minorHAnsi" w:hAnsiTheme="minorHAnsi" w:cstheme="minorHAnsi"/>
          <w:sz w:val="22"/>
          <w:szCs w:val="22"/>
        </w:rPr>
        <w:t xml:space="preserve">. </w:t>
      </w:r>
    </w:p>
    <w:p w:rsidR="0025041A" w:rsidRPr="00A16C7E" w:rsidRDefault="0025041A" w:rsidP="00F60844">
      <w:pPr>
        <w:autoSpaceDE w:val="0"/>
        <w:autoSpaceDN w:val="0"/>
        <w:adjustRightInd w:val="0"/>
        <w:spacing w:after="0"/>
        <w:jc w:val="both"/>
        <w:rPr>
          <w:rFonts w:cstheme="minorHAnsi"/>
        </w:rPr>
      </w:pPr>
    </w:p>
    <w:p w:rsidR="0079298E" w:rsidRDefault="0025041A" w:rsidP="00F60844">
      <w:pPr>
        <w:autoSpaceDE w:val="0"/>
        <w:autoSpaceDN w:val="0"/>
        <w:adjustRightInd w:val="0"/>
        <w:spacing w:after="0"/>
        <w:jc w:val="both"/>
        <w:rPr>
          <w:rFonts w:cstheme="minorHAnsi"/>
          <w:color w:val="000000"/>
        </w:rPr>
      </w:pPr>
      <w:r w:rsidRPr="00A16C7E">
        <w:rPr>
          <w:rFonts w:cstheme="minorHAnsi"/>
        </w:rPr>
        <w:t>D</w:t>
      </w:r>
      <w:r w:rsidR="0079298E" w:rsidRPr="00A16C7E">
        <w:rPr>
          <w:rFonts w:cstheme="minorHAnsi"/>
        </w:rPr>
        <w:t>ans chaque entreprise où un CSE est mis en place</w:t>
      </w:r>
      <w:r w:rsidRPr="00A16C7E">
        <w:rPr>
          <w:rFonts w:cstheme="minorHAnsi"/>
        </w:rPr>
        <w:t>,</w:t>
      </w:r>
      <w:r w:rsidR="0079298E" w:rsidRPr="00A16C7E">
        <w:rPr>
          <w:rFonts w:cstheme="minorHAnsi"/>
        </w:rPr>
        <w:t xml:space="preserve"> des </w:t>
      </w:r>
      <w:proofErr w:type="spellStart"/>
      <w:r w:rsidR="0079298E" w:rsidRPr="00A16C7E">
        <w:rPr>
          <w:rFonts w:cstheme="minorHAnsi"/>
        </w:rPr>
        <w:t>référent.e.s</w:t>
      </w:r>
      <w:proofErr w:type="spellEnd"/>
      <w:r w:rsidR="0079298E" w:rsidRPr="00A16C7E">
        <w:rPr>
          <w:rFonts w:cstheme="minorHAnsi"/>
        </w:rPr>
        <w:t xml:space="preserve"> en matière de lutte contre le harcèlement sexuel et les agissements sexistes doivent être </w:t>
      </w:r>
      <w:proofErr w:type="spellStart"/>
      <w:r w:rsidR="0079298E" w:rsidRPr="00A16C7E">
        <w:rPr>
          <w:rFonts w:cstheme="minorHAnsi"/>
        </w:rPr>
        <w:t>désigné.e.s</w:t>
      </w:r>
      <w:proofErr w:type="spellEnd"/>
      <w:r w:rsidR="0079298E" w:rsidRPr="00A16C7E">
        <w:rPr>
          <w:rFonts w:cstheme="minorHAnsi"/>
        </w:rPr>
        <w:t xml:space="preserve"> au sein des instances représentatives du personnel</w:t>
      </w:r>
      <w:r w:rsidRPr="00A16C7E">
        <w:rPr>
          <w:rStyle w:val="Appelnotedebasdep"/>
          <w:rFonts w:cstheme="minorHAnsi"/>
        </w:rPr>
        <w:footnoteReference w:id="4"/>
      </w:r>
      <w:r w:rsidR="0079298E" w:rsidRPr="00A16C7E">
        <w:rPr>
          <w:rFonts w:cstheme="minorHAnsi"/>
        </w:rPr>
        <w:t>. De plus, d</w:t>
      </w:r>
      <w:r w:rsidR="0079298E" w:rsidRPr="00A16C7E">
        <w:rPr>
          <w:rFonts w:cstheme="minorHAnsi"/>
          <w:color w:val="000000"/>
        </w:rPr>
        <w:t xml:space="preserve">ans toute entreprise employant au moins 250 </w:t>
      </w:r>
      <w:proofErr w:type="spellStart"/>
      <w:r w:rsidR="0079298E" w:rsidRPr="00A16C7E">
        <w:rPr>
          <w:rFonts w:cstheme="minorHAnsi"/>
          <w:color w:val="000000"/>
        </w:rPr>
        <w:t>salarié·e·s</w:t>
      </w:r>
      <w:proofErr w:type="spellEnd"/>
      <w:r w:rsidR="0079298E" w:rsidRPr="00A16C7E">
        <w:rPr>
          <w:rFonts w:cstheme="minorHAnsi"/>
          <w:color w:val="000000"/>
        </w:rPr>
        <w:t xml:space="preserve">, l’employeur doit désigner </w:t>
      </w:r>
      <w:proofErr w:type="spellStart"/>
      <w:r w:rsidR="0079298E" w:rsidRPr="00A16C7E">
        <w:rPr>
          <w:rFonts w:cstheme="minorHAnsi"/>
          <w:color w:val="000000"/>
        </w:rPr>
        <w:t>un·e</w:t>
      </w:r>
      <w:proofErr w:type="spellEnd"/>
      <w:r w:rsidR="0079298E" w:rsidRPr="00A16C7E">
        <w:rPr>
          <w:rFonts w:cstheme="minorHAnsi"/>
          <w:color w:val="000000"/>
        </w:rPr>
        <w:t xml:space="preserve"> </w:t>
      </w:r>
      <w:proofErr w:type="spellStart"/>
      <w:r w:rsidR="0079298E" w:rsidRPr="00A16C7E">
        <w:rPr>
          <w:rFonts w:cstheme="minorHAnsi"/>
          <w:color w:val="000000"/>
        </w:rPr>
        <w:t>référent·e</w:t>
      </w:r>
      <w:proofErr w:type="spellEnd"/>
      <w:r w:rsidR="0079298E" w:rsidRPr="00A16C7E">
        <w:rPr>
          <w:rFonts w:cstheme="minorHAnsi"/>
          <w:color w:val="000000"/>
        </w:rPr>
        <w:t xml:space="preserve"> des ressources humaines </w:t>
      </w:r>
      <w:proofErr w:type="spellStart"/>
      <w:r w:rsidR="0079298E" w:rsidRPr="00A16C7E">
        <w:rPr>
          <w:rFonts w:cstheme="minorHAnsi"/>
          <w:color w:val="000000"/>
        </w:rPr>
        <w:t>chargé·e</w:t>
      </w:r>
      <w:proofErr w:type="spellEnd"/>
      <w:r w:rsidR="0079298E" w:rsidRPr="00A16C7E">
        <w:rPr>
          <w:rFonts w:cstheme="minorHAnsi"/>
          <w:color w:val="000000"/>
        </w:rPr>
        <w:t xml:space="preserve"> d’orienter, d’informer et d’accompagner les </w:t>
      </w:r>
      <w:proofErr w:type="spellStart"/>
      <w:r w:rsidR="0079298E" w:rsidRPr="00A16C7E">
        <w:rPr>
          <w:rFonts w:cstheme="minorHAnsi"/>
          <w:color w:val="000000"/>
        </w:rPr>
        <w:t>salarié·e·s</w:t>
      </w:r>
      <w:proofErr w:type="spellEnd"/>
      <w:r w:rsidR="0079298E" w:rsidRPr="00A16C7E">
        <w:rPr>
          <w:rFonts w:cstheme="minorHAnsi"/>
          <w:color w:val="000000"/>
        </w:rPr>
        <w:t xml:space="preserve"> en matière de lutte contre le harcèlement sexuel et les agissements sexistes</w:t>
      </w:r>
      <w:r w:rsidRPr="00A16C7E">
        <w:rPr>
          <w:rStyle w:val="Appelnotedebasdep"/>
          <w:rFonts w:cstheme="minorHAnsi"/>
          <w:color w:val="000000"/>
        </w:rPr>
        <w:footnoteReference w:id="5"/>
      </w:r>
      <w:r w:rsidR="0079298E" w:rsidRPr="00A16C7E">
        <w:rPr>
          <w:rFonts w:cstheme="minorHAnsi"/>
          <w:color w:val="000000"/>
        </w:rPr>
        <w:t>.</w:t>
      </w:r>
    </w:p>
    <w:p w:rsidR="0012099D" w:rsidRPr="00A16C7E" w:rsidRDefault="0012099D" w:rsidP="00F60844">
      <w:pPr>
        <w:autoSpaceDE w:val="0"/>
        <w:autoSpaceDN w:val="0"/>
        <w:adjustRightInd w:val="0"/>
        <w:spacing w:after="0"/>
        <w:jc w:val="both"/>
        <w:rPr>
          <w:rFonts w:cstheme="minorHAnsi"/>
          <w:color w:val="000000"/>
        </w:rPr>
      </w:pPr>
    </w:p>
    <w:p w:rsidR="0012099D" w:rsidRDefault="0079298E" w:rsidP="00F60844">
      <w:pPr>
        <w:autoSpaceDE w:val="0"/>
        <w:autoSpaceDN w:val="0"/>
        <w:adjustRightInd w:val="0"/>
        <w:spacing w:after="0"/>
        <w:jc w:val="both"/>
        <w:rPr>
          <w:rFonts w:cstheme="minorHAnsi"/>
          <w:color w:val="000000"/>
        </w:rPr>
      </w:pPr>
      <w:r w:rsidRPr="00A16C7E">
        <w:rPr>
          <w:rFonts w:cstheme="minorHAnsi"/>
          <w:color w:val="000000"/>
        </w:rPr>
        <w:t>L’ANI du 26 mars 2010 impose aussi aux employeurs d’élaborer une procédure interne de signalement et de traitement de faits de harcèlement sexuel.</w:t>
      </w:r>
    </w:p>
    <w:p w:rsidR="00780C62" w:rsidRPr="00A16C7E" w:rsidRDefault="00780C62" w:rsidP="00F60844">
      <w:pPr>
        <w:autoSpaceDE w:val="0"/>
        <w:autoSpaceDN w:val="0"/>
        <w:adjustRightInd w:val="0"/>
        <w:spacing w:after="0"/>
        <w:jc w:val="both"/>
        <w:rPr>
          <w:rFonts w:cstheme="minorHAnsi"/>
          <w:color w:val="000000"/>
        </w:rPr>
      </w:pPr>
    </w:p>
    <w:p w:rsidR="0079298E" w:rsidRPr="00A16C7E" w:rsidRDefault="0079298E" w:rsidP="00F60844">
      <w:pPr>
        <w:autoSpaceDE w:val="0"/>
        <w:autoSpaceDN w:val="0"/>
        <w:adjustRightInd w:val="0"/>
        <w:spacing w:after="0"/>
        <w:jc w:val="both"/>
        <w:rPr>
          <w:rFonts w:cstheme="minorHAnsi"/>
          <w:color w:val="000000"/>
        </w:rPr>
      </w:pPr>
      <w:r w:rsidRPr="00A16C7E">
        <w:rPr>
          <w:rFonts w:cstheme="minorHAnsi"/>
          <w:color w:val="000000"/>
        </w:rPr>
        <w:t>Enfin, l’employeur à une obligation de communication. Il a l’obligation de communiquer les informations suivantes :</w:t>
      </w:r>
    </w:p>
    <w:p w:rsidR="0079298E" w:rsidRPr="00A16C7E" w:rsidRDefault="0079298E" w:rsidP="00F60844">
      <w:pPr>
        <w:pStyle w:val="Paragraphedeliste"/>
        <w:numPr>
          <w:ilvl w:val="0"/>
          <w:numId w:val="3"/>
        </w:numPr>
        <w:autoSpaceDE w:val="0"/>
        <w:autoSpaceDN w:val="0"/>
        <w:adjustRightInd w:val="0"/>
        <w:spacing w:after="0"/>
        <w:jc w:val="both"/>
        <w:rPr>
          <w:rFonts w:cstheme="minorHAnsi"/>
          <w:color w:val="000000"/>
        </w:rPr>
      </w:pPr>
      <w:r w:rsidRPr="00A16C7E">
        <w:rPr>
          <w:rFonts w:cstheme="minorHAnsi"/>
          <w:color w:val="000000"/>
        </w:rPr>
        <w:t>La reprise de la définition pénale du harcèlement et des peines encourues ;</w:t>
      </w:r>
    </w:p>
    <w:p w:rsidR="0079298E" w:rsidRPr="00A16C7E" w:rsidRDefault="0079298E" w:rsidP="00F60844">
      <w:pPr>
        <w:pStyle w:val="Paragraphedeliste"/>
        <w:numPr>
          <w:ilvl w:val="0"/>
          <w:numId w:val="3"/>
        </w:numPr>
        <w:autoSpaceDE w:val="0"/>
        <w:autoSpaceDN w:val="0"/>
        <w:adjustRightInd w:val="0"/>
        <w:spacing w:after="0"/>
        <w:jc w:val="both"/>
        <w:rPr>
          <w:rFonts w:cstheme="minorHAnsi"/>
          <w:color w:val="000000"/>
        </w:rPr>
      </w:pPr>
      <w:r w:rsidRPr="00A16C7E">
        <w:rPr>
          <w:rFonts w:cstheme="minorHAnsi"/>
          <w:color w:val="000000"/>
        </w:rPr>
        <w:t>Les actions civiles et pénales ouvertes en matière de harcèlement sexuel ;</w:t>
      </w:r>
    </w:p>
    <w:p w:rsidR="0079298E" w:rsidRPr="00A16C7E" w:rsidRDefault="0079298E" w:rsidP="00F60844">
      <w:pPr>
        <w:pStyle w:val="Paragraphedeliste"/>
        <w:numPr>
          <w:ilvl w:val="0"/>
          <w:numId w:val="3"/>
        </w:numPr>
        <w:autoSpaceDE w:val="0"/>
        <w:autoSpaceDN w:val="0"/>
        <w:adjustRightInd w:val="0"/>
        <w:spacing w:after="0"/>
        <w:jc w:val="both"/>
        <w:rPr>
          <w:rFonts w:cstheme="minorHAnsi"/>
          <w:color w:val="000000"/>
        </w:rPr>
      </w:pPr>
      <w:r w:rsidRPr="00A16C7E">
        <w:rPr>
          <w:rFonts w:cstheme="minorHAnsi"/>
          <w:color w:val="000000"/>
        </w:rPr>
        <w:t>Les coordonnées des autorités et services compétents en matière de harcèlement sexuel :</w:t>
      </w:r>
    </w:p>
    <w:p w:rsidR="0079298E" w:rsidRPr="00A16C7E" w:rsidRDefault="0079298E" w:rsidP="00F60844">
      <w:pPr>
        <w:pStyle w:val="Paragraphedeliste"/>
        <w:numPr>
          <w:ilvl w:val="1"/>
          <w:numId w:val="3"/>
        </w:numPr>
        <w:autoSpaceDE w:val="0"/>
        <w:autoSpaceDN w:val="0"/>
        <w:adjustRightInd w:val="0"/>
        <w:spacing w:after="0"/>
        <w:jc w:val="both"/>
        <w:rPr>
          <w:rFonts w:cstheme="minorHAnsi"/>
          <w:color w:val="000000"/>
        </w:rPr>
      </w:pPr>
      <w:r w:rsidRPr="00A16C7E">
        <w:rPr>
          <w:rFonts w:cstheme="minorHAnsi"/>
          <w:color w:val="000000"/>
        </w:rPr>
        <w:lastRenderedPageBreak/>
        <w:t>la médecine du travail ou service de santé au travail,</w:t>
      </w:r>
    </w:p>
    <w:p w:rsidR="0079298E" w:rsidRPr="00A16C7E" w:rsidRDefault="0079298E" w:rsidP="00F60844">
      <w:pPr>
        <w:pStyle w:val="Paragraphedeliste"/>
        <w:numPr>
          <w:ilvl w:val="1"/>
          <w:numId w:val="3"/>
        </w:numPr>
        <w:autoSpaceDE w:val="0"/>
        <w:autoSpaceDN w:val="0"/>
        <w:adjustRightInd w:val="0"/>
        <w:spacing w:after="0"/>
        <w:jc w:val="both"/>
        <w:rPr>
          <w:rFonts w:cstheme="minorHAnsi"/>
          <w:color w:val="000000"/>
        </w:rPr>
      </w:pPr>
      <w:r w:rsidRPr="00A16C7E">
        <w:rPr>
          <w:rFonts w:cstheme="minorHAnsi"/>
          <w:color w:val="000000"/>
        </w:rPr>
        <w:t>l’inspection du travail,</w:t>
      </w:r>
    </w:p>
    <w:p w:rsidR="0079298E" w:rsidRPr="00A16C7E" w:rsidRDefault="0079298E" w:rsidP="00F60844">
      <w:pPr>
        <w:pStyle w:val="Paragraphedeliste"/>
        <w:numPr>
          <w:ilvl w:val="1"/>
          <w:numId w:val="3"/>
        </w:numPr>
        <w:autoSpaceDE w:val="0"/>
        <w:autoSpaceDN w:val="0"/>
        <w:adjustRightInd w:val="0"/>
        <w:spacing w:after="0"/>
        <w:jc w:val="both"/>
        <w:rPr>
          <w:rFonts w:cstheme="minorHAnsi"/>
          <w:color w:val="000000"/>
        </w:rPr>
      </w:pPr>
      <w:r w:rsidRPr="00A16C7E">
        <w:rPr>
          <w:rFonts w:cstheme="minorHAnsi"/>
          <w:color w:val="000000"/>
        </w:rPr>
        <w:t>le Défenseur des droits,</w:t>
      </w:r>
    </w:p>
    <w:p w:rsidR="0079298E" w:rsidRPr="00A16C7E" w:rsidRDefault="0079298E" w:rsidP="00F60844">
      <w:pPr>
        <w:pStyle w:val="Paragraphedeliste"/>
        <w:numPr>
          <w:ilvl w:val="1"/>
          <w:numId w:val="3"/>
        </w:numPr>
        <w:autoSpaceDE w:val="0"/>
        <w:autoSpaceDN w:val="0"/>
        <w:adjustRightInd w:val="0"/>
        <w:spacing w:after="0"/>
        <w:jc w:val="both"/>
        <w:rPr>
          <w:rFonts w:cstheme="minorHAnsi"/>
          <w:color w:val="000000"/>
        </w:rPr>
      </w:pPr>
      <w:proofErr w:type="spellStart"/>
      <w:r w:rsidRPr="00A16C7E">
        <w:rPr>
          <w:rFonts w:cstheme="minorHAnsi"/>
          <w:color w:val="000000"/>
        </w:rPr>
        <w:t>la</w:t>
      </w:r>
      <w:proofErr w:type="spellEnd"/>
      <w:r w:rsidRPr="00A16C7E">
        <w:rPr>
          <w:rFonts w:cstheme="minorHAnsi"/>
          <w:color w:val="000000"/>
        </w:rPr>
        <w:t xml:space="preserve"> ou le </w:t>
      </w:r>
      <w:proofErr w:type="spellStart"/>
      <w:r w:rsidRPr="00A16C7E">
        <w:rPr>
          <w:rFonts w:cstheme="minorHAnsi"/>
          <w:color w:val="000000"/>
        </w:rPr>
        <w:t>référent·e</w:t>
      </w:r>
      <w:proofErr w:type="spellEnd"/>
      <w:r w:rsidRPr="00A16C7E">
        <w:rPr>
          <w:rFonts w:cstheme="minorHAnsi"/>
          <w:color w:val="000000"/>
        </w:rPr>
        <w:t xml:space="preserve"> Ressources Humaines</w:t>
      </w:r>
    </w:p>
    <w:p w:rsidR="0079298E" w:rsidRPr="00A16C7E" w:rsidRDefault="0079298E" w:rsidP="00F60844">
      <w:pPr>
        <w:pStyle w:val="Paragraphedeliste"/>
        <w:numPr>
          <w:ilvl w:val="1"/>
          <w:numId w:val="3"/>
        </w:numPr>
        <w:autoSpaceDE w:val="0"/>
        <w:autoSpaceDN w:val="0"/>
        <w:adjustRightInd w:val="0"/>
        <w:spacing w:after="0"/>
        <w:jc w:val="both"/>
        <w:rPr>
          <w:rFonts w:cstheme="minorHAnsi"/>
          <w:color w:val="000000"/>
        </w:rPr>
      </w:pPr>
      <w:proofErr w:type="spellStart"/>
      <w:r w:rsidRPr="00A16C7E">
        <w:rPr>
          <w:rFonts w:cstheme="minorHAnsi"/>
          <w:color w:val="000000"/>
        </w:rPr>
        <w:t>la</w:t>
      </w:r>
      <w:proofErr w:type="spellEnd"/>
      <w:r w:rsidRPr="00A16C7E">
        <w:rPr>
          <w:rFonts w:cstheme="minorHAnsi"/>
          <w:color w:val="000000"/>
        </w:rPr>
        <w:t xml:space="preserve"> ou le </w:t>
      </w:r>
      <w:proofErr w:type="spellStart"/>
      <w:r w:rsidRPr="00A16C7E">
        <w:rPr>
          <w:rFonts w:cstheme="minorHAnsi"/>
          <w:color w:val="000000"/>
        </w:rPr>
        <w:t>référent·e</w:t>
      </w:r>
      <w:proofErr w:type="spellEnd"/>
      <w:r w:rsidRPr="00A16C7E">
        <w:rPr>
          <w:rFonts w:cstheme="minorHAnsi"/>
          <w:color w:val="000000"/>
        </w:rPr>
        <w:t xml:space="preserve"> en matière de lutte contre le harcèlement sexuel et les agissements sexistes du CSE.</w:t>
      </w:r>
      <w:r w:rsidRPr="00A16C7E">
        <w:rPr>
          <w:rStyle w:val="Appelnotedebasdep"/>
          <w:rFonts w:cstheme="minorHAnsi"/>
          <w:color w:val="000000"/>
        </w:rPr>
        <w:footnoteReference w:id="6"/>
      </w:r>
    </w:p>
    <w:p w:rsidR="0079298E" w:rsidRPr="00A16C7E" w:rsidRDefault="0079298E" w:rsidP="00F60844">
      <w:pPr>
        <w:autoSpaceDE w:val="0"/>
        <w:autoSpaceDN w:val="0"/>
        <w:adjustRightInd w:val="0"/>
        <w:spacing w:after="0"/>
        <w:jc w:val="both"/>
        <w:rPr>
          <w:rFonts w:cstheme="minorHAnsi"/>
        </w:rPr>
      </w:pPr>
    </w:p>
    <w:p w:rsidR="0012099D" w:rsidRPr="00A16C7E" w:rsidRDefault="0012099D" w:rsidP="0012099D">
      <w:pPr>
        <w:pStyle w:val="NormalWeb"/>
        <w:jc w:val="both"/>
        <w:rPr>
          <w:rFonts w:asciiTheme="minorHAnsi" w:hAnsiTheme="minorHAnsi" w:cstheme="minorHAnsi"/>
          <w:sz w:val="22"/>
          <w:szCs w:val="22"/>
        </w:rPr>
      </w:pPr>
      <w:r w:rsidRPr="00A16C7E">
        <w:rPr>
          <w:rFonts w:asciiTheme="minorHAnsi" w:hAnsiTheme="minorHAnsi" w:cstheme="minorHAnsi"/>
          <w:bCs/>
          <w:sz w:val="22"/>
          <w:szCs w:val="22"/>
        </w:rPr>
        <w:t>Le gouvernement s’est engag</w:t>
      </w:r>
      <w:r>
        <w:rPr>
          <w:rFonts w:asciiTheme="minorHAnsi" w:hAnsiTheme="minorHAnsi" w:cstheme="minorHAnsi"/>
          <w:bCs/>
          <w:sz w:val="22"/>
          <w:szCs w:val="22"/>
        </w:rPr>
        <w:t xml:space="preserve">é à </w:t>
      </w:r>
      <w:r w:rsidRPr="00A16C7E">
        <w:rPr>
          <w:rFonts w:asciiTheme="minorHAnsi" w:hAnsiTheme="minorHAnsi" w:cstheme="minorHAnsi"/>
          <w:bCs/>
          <w:sz w:val="22"/>
          <w:szCs w:val="22"/>
        </w:rPr>
        <w:t>ratifier l</w:t>
      </w:r>
      <w:r w:rsidRPr="00A16C7E">
        <w:rPr>
          <w:rFonts w:asciiTheme="minorHAnsi" w:hAnsiTheme="minorHAnsi" w:cstheme="minorHAnsi"/>
          <w:sz w:val="22"/>
          <w:szCs w:val="22"/>
        </w:rPr>
        <w:t>a convention 190 de l’Organisation Internationale du Travail sur le harcèlement et les violences au travail en 2021.</w:t>
      </w:r>
    </w:p>
    <w:p w:rsidR="0012099D" w:rsidRDefault="0012099D" w:rsidP="00A16C7E">
      <w:pPr>
        <w:pStyle w:val="NormalWeb"/>
        <w:jc w:val="both"/>
        <w:rPr>
          <w:rFonts w:asciiTheme="minorHAnsi" w:hAnsiTheme="minorHAnsi" w:cstheme="minorHAnsi"/>
          <w:b/>
          <w:color w:val="000000" w:themeColor="text1"/>
          <w:sz w:val="22"/>
          <w:szCs w:val="22"/>
        </w:rPr>
      </w:pPr>
    </w:p>
    <w:p w:rsidR="00A16C7E" w:rsidRPr="0012099D" w:rsidRDefault="00A16C7E" w:rsidP="00A16C7E">
      <w:pPr>
        <w:pStyle w:val="NormalWeb"/>
        <w:jc w:val="both"/>
        <w:rPr>
          <w:rFonts w:asciiTheme="minorHAnsi" w:hAnsiTheme="minorHAnsi" w:cstheme="minorHAnsi"/>
          <w:sz w:val="22"/>
          <w:szCs w:val="22"/>
        </w:rPr>
      </w:pPr>
      <w:r w:rsidRPr="0012099D">
        <w:rPr>
          <w:rFonts w:asciiTheme="minorHAnsi" w:hAnsiTheme="minorHAnsi" w:cstheme="minorHAnsi"/>
          <w:color w:val="000000" w:themeColor="text1"/>
          <w:sz w:val="22"/>
          <w:szCs w:val="22"/>
        </w:rPr>
        <w:t xml:space="preserve">Nous exigeons </w:t>
      </w:r>
      <w:r w:rsidR="0012099D" w:rsidRPr="0012099D">
        <w:rPr>
          <w:rFonts w:asciiTheme="minorHAnsi" w:hAnsiTheme="minorHAnsi" w:cstheme="minorHAnsi"/>
          <w:color w:val="000000" w:themeColor="text1"/>
          <w:sz w:val="22"/>
          <w:szCs w:val="22"/>
        </w:rPr>
        <w:t xml:space="preserve">ainsi </w:t>
      </w:r>
      <w:r w:rsidRPr="0012099D">
        <w:rPr>
          <w:rFonts w:asciiTheme="minorHAnsi" w:hAnsiTheme="minorHAnsi" w:cstheme="minorHAnsi"/>
          <w:color w:val="000000" w:themeColor="text1"/>
          <w:sz w:val="22"/>
          <w:szCs w:val="22"/>
        </w:rPr>
        <w:t xml:space="preserve">que les violences sexistes et sexuelles fassent l’objet d’un nouveau thème de négociation dans les accords et plan d’égalité. </w:t>
      </w:r>
      <w:r w:rsidRPr="0012099D">
        <w:rPr>
          <w:rFonts w:asciiTheme="minorHAnsi" w:hAnsiTheme="minorHAnsi" w:cstheme="minorHAnsi"/>
          <w:sz w:val="22"/>
          <w:szCs w:val="22"/>
        </w:rPr>
        <w:t xml:space="preserve">Il s’agit, notamment, et conformément à ce que prévoit la norme OIT, de : sécuriser le droit au travail des victimes de violences </w:t>
      </w:r>
      <w:proofErr w:type="spellStart"/>
      <w:r w:rsidRPr="0012099D">
        <w:rPr>
          <w:rFonts w:asciiTheme="minorHAnsi" w:hAnsiTheme="minorHAnsi" w:cstheme="minorHAnsi"/>
          <w:sz w:val="22"/>
          <w:szCs w:val="22"/>
        </w:rPr>
        <w:t>intra-familiales</w:t>
      </w:r>
      <w:proofErr w:type="spellEnd"/>
      <w:r w:rsidRPr="0012099D">
        <w:rPr>
          <w:rFonts w:asciiTheme="minorHAnsi" w:hAnsiTheme="minorHAnsi" w:cstheme="minorHAnsi"/>
          <w:sz w:val="22"/>
          <w:szCs w:val="22"/>
        </w:rPr>
        <w:t xml:space="preserve"> généraliser la prévention des violences sexistes et sexuelles, donner des moyens aux </w:t>
      </w:r>
      <w:proofErr w:type="spellStart"/>
      <w:r w:rsidRPr="0012099D">
        <w:rPr>
          <w:rFonts w:asciiTheme="minorHAnsi" w:hAnsiTheme="minorHAnsi" w:cstheme="minorHAnsi"/>
          <w:sz w:val="22"/>
          <w:szCs w:val="22"/>
        </w:rPr>
        <w:t>représentant.e.s</w:t>
      </w:r>
      <w:proofErr w:type="spellEnd"/>
      <w:r w:rsidRPr="0012099D">
        <w:rPr>
          <w:rFonts w:asciiTheme="minorHAnsi" w:hAnsiTheme="minorHAnsi" w:cstheme="minorHAnsi"/>
          <w:sz w:val="22"/>
          <w:szCs w:val="22"/>
        </w:rPr>
        <w:t xml:space="preserve"> du personnel pour accompagner les victimes.</w:t>
      </w:r>
    </w:p>
    <w:p w:rsidR="0079298E" w:rsidRPr="00A16C7E" w:rsidRDefault="0079298E" w:rsidP="00F60844">
      <w:pPr>
        <w:contextualSpacing/>
        <w:jc w:val="both"/>
        <w:rPr>
          <w:rFonts w:cstheme="minorHAnsi"/>
        </w:rPr>
      </w:pPr>
    </w:p>
    <w:p w:rsidR="0012099D" w:rsidRDefault="00A16C7E" w:rsidP="00A16C7E">
      <w:pPr>
        <w:spacing w:before="100" w:beforeAutospacing="1" w:after="100" w:afterAutospacing="1" w:line="240" w:lineRule="auto"/>
        <w:jc w:val="both"/>
        <w:rPr>
          <w:rFonts w:eastAsia="Times New Roman" w:cstheme="minorHAnsi"/>
          <w:lang w:eastAsia="fr-FR"/>
        </w:rPr>
      </w:pPr>
      <w:r w:rsidRPr="00A16C7E">
        <w:rPr>
          <w:rFonts w:eastAsia="Times New Roman" w:cstheme="minorHAnsi"/>
          <w:lang w:eastAsia="fr-FR"/>
        </w:rPr>
        <w:t>En France,</w:t>
      </w:r>
      <w:r w:rsidR="0012099D">
        <w:rPr>
          <w:rFonts w:eastAsia="Times New Roman" w:cstheme="minorHAnsi"/>
          <w:lang w:eastAsia="fr-FR"/>
        </w:rPr>
        <w:t xml:space="preserve"> </w:t>
      </w:r>
      <w:r w:rsidR="0012099D" w:rsidRPr="00A16C7E">
        <w:rPr>
          <w:rFonts w:eastAsia="Times New Roman" w:cstheme="minorHAnsi"/>
          <w:lang w:eastAsia="fr-FR"/>
        </w:rPr>
        <w:t xml:space="preserve">30% des salariées </w:t>
      </w:r>
      <w:hyperlink r:id="rId8" w:tgtFrame="_blank" w:history="1">
        <w:r w:rsidR="0012099D" w:rsidRPr="00A16C7E">
          <w:rPr>
            <w:rFonts w:eastAsia="Times New Roman" w:cstheme="minorHAnsi"/>
            <w:lang w:eastAsia="fr-FR"/>
          </w:rPr>
          <w:t>ont déjà été harcelées ou agressées sexuellement sur leur lieu de travail</w:t>
        </w:r>
      </w:hyperlink>
      <w:r w:rsidR="0012099D">
        <w:rPr>
          <w:rFonts w:eastAsia="Times New Roman" w:cstheme="minorHAnsi"/>
          <w:lang w:eastAsia="fr-FR"/>
        </w:rPr>
        <w:t xml:space="preserve"> et</w:t>
      </w:r>
      <w:r w:rsidRPr="00A16C7E">
        <w:rPr>
          <w:rFonts w:eastAsia="Times New Roman" w:cstheme="minorHAnsi"/>
          <w:lang w:eastAsia="fr-FR"/>
        </w:rPr>
        <w:t xml:space="preserve"> 70 % des victimes de violences au travail </w:t>
      </w:r>
      <w:hyperlink r:id="rId9" w:tgtFrame="_blank" w:history="1">
        <w:r w:rsidRPr="00A16C7E">
          <w:rPr>
            <w:rFonts w:eastAsia="Times New Roman" w:cstheme="minorHAnsi"/>
            <w:lang w:eastAsia="fr-FR"/>
          </w:rPr>
          <w:t>déclarent n’en avoir jamais parlé à leur employeur</w:t>
        </w:r>
      </w:hyperlink>
      <w:r w:rsidRPr="00A16C7E">
        <w:rPr>
          <w:rFonts w:eastAsia="Times New Roman" w:cstheme="minorHAnsi"/>
          <w:lang w:eastAsia="fr-FR"/>
        </w:rPr>
        <w:t xml:space="preserve">. </w:t>
      </w:r>
      <w:r w:rsidR="0012099D">
        <w:rPr>
          <w:rFonts w:eastAsia="Times New Roman" w:cstheme="minorHAnsi"/>
          <w:lang w:eastAsia="fr-FR"/>
        </w:rPr>
        <w:t xml:space="preserve">Quand </w:t>
      </w:r>
      <w:r w:rsidRPr="00A16C7E">
        <w:rPr>
          <w:rFonts w:eastAsia="Times New Roman" w:cstheme="minorHAnsi"/>
          <w:lang w:eastAsia="fr-FR"/>
        </w:rPr>
        <w:t xml:space="preserve">elles le font, 40 % estiment que la situation s’est réglée en leur défaveur, par une mobilité forcée voire un licenciement. </w:t>
      </w:r>
    </w:p>
    <w:p w:rsidR="00A16C7E" w:rsidRPr="00A16C7E" w:rsidRDefault="00A16C7E" w:rsidP="00A16C7E">
      <w:pPr>
        <w:spacing w:before="100" w:beforeAutospacing="1" w:after="100" w:afterAutospacing="1" w:line="240" w:lineRule="auto"/>
        <w:jc w:val="both"/>
        <w:rPr>
          <w:rFonts w:eastAsia="Times New Roman" w:cstheme="minorHAnsi"/>
          <w:lang w:eastAsia="fr-FR"/>
        </w:rPr>
      </w:pPr>
      <w:r w:rsidRPr="00A16C7E">
        <w:rPr>
          <w:rFonts w:eastAsia="Times New Roman" w:cstheme="minorHAnsi"/>
          <w:lang w:eastAsia="fr-FR"/>
        </w:rPr>
        <w:t xml:space="preserve">Dans la lignée de la convention adoptée à l’OIT, </w:t>
      </w:r>
      <w:r w:rsidR="0012099D">
        <w:rPr>
          <w:rFonts w:eastAsia="Times New Roman" w:cstheme="minorHAnsi"/>
          <w:lang w:eastAsia="fr-FR"/>
        </w:rPr>
        <w:t xml:space="preserve">les </w:t>
      </w:r>
      <w:r w:rsidR="00780C62">
        <w:rPr>
          <w:rFonts w:eastAsia="Times New Roman" w:cstheme="minorHAnsi"/>
          <w:lang w:eastAsia="fr-FR"/>
        </w:rPr>
        <w:t>entreprises</w:t>
      </w:r>
      <w:r w:rsidR="0012099D">
        <w:rPr>
          <w:rFonts w:eastAsia="Times New Roman" w:cstheme="minorHAnsi"/>
          <w:lang w:eastAsia="fr-FR"/>
        </w:rPr>
        <w:t xml:space="preserve"> doivent </w:t>
      </w:r>
      <w:r w:rsidRPr="00A16C7E">
        <w:rPr>
          <w:rFonts w:eastAsia="Times New Roman" w:cstheme="minorHAnsi"/>
          <w:lang w:eastAsia="fr-FR"/>
        </w:rPr>
        <w:t>sécuriser l’emploi et la carrière des victimes de violences, que celles-ci aient un lien avec le travail ou non, en mettant en place plusieurs mesures</w:t>
      </w:r>
      <w:r w:rsidR="0012099D">
        <w:rPr>
          <w:rFonts w:eastAsia="Times New Roman" w:cstheme="minorHAnsi"/>
          <w:lang w:eastAsia="fr-FR"/>
        </w:rPr>
        <w:t xml:space="preserve"> concrètes</w:t>
      </w:r>
      <w:r w:rsidRPr="00A16C7E">
        <w:rPr>
          <w:rFonts w:eastAsia="Times New Roman" w:cstheme="minorHAnsi"/>
          <w:lang w:eastAsia="fr-FR"/>
        </w:rPr>
        <w:t xml:space="preserve"> : le droit à des aménagements d’horaires, de poste, des congés payés, la possibilité d’une mobilité fonctionnelle ou géographique choisie, ainsi que l’accès à une prise en charge médico-sociale et psychologique des victimes sans frais. Pour garantir le droit au travail et le maintien en poste des femmes victimes de violences conjugales, il convient d’interdire leur licenciement comme c’est le cas pour les victimes de violences au travail.</w:t>
      </w:r>
    </w:p>
    <w:p w:rsidR="0079298E" w:rsidRPr="00780C62" w:rsidRDefault="00A16C7E" w:rsidP="00780C62">
      <w:pPr>
        <w:spacing w:before="100" w:beforeAutospacing="1" w:after="100" w:afterAutospacing="1" w:line="240" w:lineRule="auto"/>
        <w:jc w:val="both"/>
        <w:rPr>
          <w:rFonts w:eastAsia="Times New Roman" w:cstheme="minorHAnsi"/>
          <w:lang w:eastAsia="fr-FR"/>
        </w:rPr>
      </w:pPr>
      <w:r w:rsidRPr="00A16C7E">
        <w:rPr>
          <w:rFonts w:eastAsia="Times New Roman" w:cstheme="minorHAnsi"/>
          <w:lang w:eastAsia="fr-FR"/>
        </w:rPr>
        <w:t>La Convention de l’OIT pointe</w:t>
      </w:r>
      <w:r w:rsidR="0012099D">
        <w:rPr>
          <w:rFonts w:eastAsia="Times New Roman" w:cstheme="minorHAnsi"/>
          <w:lang w:eastAsia="fr-FR"/>
        </w:rPr>
        <w:t xml:space="preserve"> aussi</w:t>
      </w:r>
      <w:r w:rsidRPr="00A16C7E">
        <w:rPr>
          <w:rFonts w:eastAsia="Times New Roman" w:cstheme="minorHAnsi"/>
          <w:lang w:eastAsia="fr-FR"/>
        </w:rPr>
        <w:t xml:space="preserve"> la nécessité d’accorder une attention particulière aux facteurs de risques exposant à la violence, comme le travail isolé, de nuit, et aux personnes en situation de vulnérabilité. </w:t>
      </w:r>
      <w:r w:rsidR="0012099D">
        <w:rPr>
          <w:rFonts w:eastAsia="Times New Roman" w:cstheme="minorHAnsi"/>
          <w:lang w:eastAsia="fr-FR"/>
        </w:rPr>
        <w:t xml:space="preserve">Elle enjoint aussi à prendre des mesures </w:t>
      </w:r>
      <w:r w:rsidRPr="00A16C7E">
        <w:rPr>
          <w:rFonts w:eastAsia="Times New Roman" w:cstheme="minorHAnsi"/>
          <w:lang w:eastAsia="fr-FR"/>
        </w:rPr>
        <w:t xml:space="preserve">spécifiques pour protéger notamment les personnes </w:t>
      </w:r>
      <w:proofErr w:type="spellStart"/>
      <w:r w:rsidRPr="00A16C7E">
        <w:rPr>
          <w:rFonts w:eastAsia="Times New Roman" w:cstheme="minorHAnsi"/>
          <w:lang w:eastAsia="fr-FR"/>
        </w:rPr>
        <w:t>migrant·e·s</w:t>
      </w:r>
      <w:proofErr w:type="spellEnd"/>
      <w:r w:rsidRPr="00A16C7E">
        <w:rPr>
          <w:rFonts w:eastAsia="Times New Roman" w:cstheme="minorHAnsi"/>
          <w:lang w:eastAsia="fr-FR"/>
        </w:rPr>
        <w:t xml:space="preserve">, les personnes LGBTQI+ ainsi que les </w:t>
      </w:r>
      <w:proofErr w:type="spellStart"/>
      <w:r w:rsidRPr="00A16C7E">
        <w:rPr>
          <w:rFonts w:eastAsia="Times New Roman" w:cstheme="minorHAnsi"/>
          <w:lang w:eastAsia="fr-FR"/>
        </w:rPr>
        <w:t>travailleur·se·s</w:t>
      </w:r>
      <w:proofErr w:type="spellEnd"/>
      <w:r w:rsidRPr="00A16C7E">
        <w:rPr>
          <w:rFonts w:eastAsia="Times New Roman" w:cstheme="minorHAnsi"/>
          <w:lang w:eastAsia="fr-FR"/>
        </w:rPr>
        <w:t xml:space="preserve"> précaires</w:t>
      </w:r>
      <w:r w:rsidR="0012099D">
        <w:rPr>
          <w:rFonts w:eastAsia="Times New Roman" w:cstheme="minorHAnsi"/>
          <w:lang w:eastAsia="fr-FR"/>
        </w:rPr>
        <w:t>.</w:t>
      </w:r>
      <w:r w:rsidRPr="00A16C7E">
        <w:rPr>
          <w:rFonts w:eastAsia="Times New Roman" w:cstheme="minorHAnsi"/>
          <w:lang w:eastAsia="fr-FR"/>
        </w:rPr>
        <w:t xml:space="preserve"> </w:t>
      </w:r>
      <w:r w:rsidR="004312AA">
        <w:rPr>
          <w:rFonts w:eastAsia="Times New Roman" w:cstheme="minorHAnsi"/>
          <w:lang w:eastAsia="fr-FR"/>
        </w:rPr>
        <w:t xml:space="preserve">Vous trouverez en PJ de ce courrier un projet d’accord que nous avons rédigé portant sur </w:t>
      </w:r>
      <w:bookmarkStart w:id="0" w:name="_GoBack"/>
      <w:bookmarkEnd w:id="0"/>
      <w:r w:rsidR="004312AA">
        <w:rPr>
          <w:rFonts w:eastAsia="Times New Roman" w:cstheme="minorHAnsi"/>
          <w:lang w:eastAsia="fr-FR"/>
        </w:rPr>
        <w:t>ces sujets.</w:t>
      </w:r>
    </w:p>
    <w:p w:rsidR="00780C62" w:rsidRPr="00780C62" w:rsidRDefault="00780C62" w:rsidP="00F60844">
      <w:pPr>
        <w:shd w:val="clear" w:color="auto" w:fill="FFFFFF"/>
        <w:spacing w:before="280" w:after="280"/>
        <w:jc w:val="both"/>
        <w:rPr>
          <w:rFonts w:cstheme="minorHAnsi"/>
        </w:rPr>
      </w:pPr>
      <w:r w:rsidRPr="00A16C7E">
        <w:rPr>
          <w:rFonts w:eastAsia="Times New Roman" w:cstheme="minorHAnsi"/>
          <w:color w:val="000000"/>
          <w:lang w:eastAsia="fr-FR"/>
        </w:rPr>
        <w:t xml:space="preserve">Nous vous proposons que la négociation débute dans un délai de 15 jours maximum, et au moins huit jours à compter de la réception des documents prévus à l’article </w:t>
      </w:r>
      <w:r w:rsidRPr="00A16C7E">
        <w:rPr>
          <w:rFonts w:cstheme="minorHAnsi"/>
          <w:color w:val="000000"/>
        </w:rPr>
        <w:t>L. 2312-26</w:t>
      </w:r>
      <w:r>
        <w:rPr>
          <w:rFonts w:cstheme="minorHAnsi"/>
          <w:color w:val="000000"/>
        </w:rPr>
        <w:t xml:space="preserve"> du Code du travail. </w:t>
      </w:r>
    </w:p>
    <w:p w:rsidR="00780C62" w:rsidRDefault="00780C62" w:rsidP="00F60844">
      <w:pPr>
        <w:shd w:val="clear" w:color="auto" w:fill="FFFFFF"/>
        <w:spacing w:before="280" w:after="280"/>
        <w:jc w:val="both"/>
        <w:rPr>
          <w:rFonts w:eastAsia="Times New Roman" w:cstheme="minorHAnsi"/>
          <w:color w:val="000000"/>
          <w:lang w:eastAsia="fr-FR"/>
        </w:rPr>
      </w:pPr>
    </w:p>
    <w:p w:rsidR="0079298E" w:rsidRPr="00780C62" w:rsidRDefault="0012099D" w:rsidP="00F60844">
      <w:pPr>
        <w:shd w:val="clear" w:color="auto" w:fill="FFFFFF"/>
        <w:spacing w:before="280" w:after="280"/>
        <w:jc w:val="both"/>
        <w:rPr>
          <w:rFonts w:eastAsia="Times New Roman" w:cstheme="minorHAnsi"/>
          <w:color w:val="000000"/>
          <w:lang w:eastAsia="fr-FR"/>
        </w:rPr>
      </w:pPr>
      <w:r>
        <w:rPr>
          <w:rFonts w:eastAsia="Times New Roman" w:cstheme="minorHAnsi"/>
          <w:color w:val="000000"/>
          <w:lang w:eastAsia="fr-FR"/>
        </w:rPr>
        <w:t xml:space="preserve">Nous vous prions </w:t>
      </w:r>
      <w:r w:rsidR="0079298E" w:rsidRPr="00A16C7E">
        <w:rPr>
          <w:rFonts w:eastAsia="Times New Roman" w:cstheme="minorHAnsi"/>
          <w:color w:val="000000"/>
          <w:lang w:eastAsia="fr-FR"/>
        </w:rPr>
        <w:t xml:space="preserve">d’agréer, Madame, Monsieur, l’expression de </w:t>
      </w:r>
      <w:r>
        <w:rPr>
          <w:rFonts w:eastAsia="Times New Roman" w:cstheme="minorHAnsi"/>
          <w:color w:val="000000"/>
          <w:lang w:eastAsia="fr-FR"/>
        </w:rPr>
        <w:t>notre</w:t>
      </w:r>
      <w:r w:rsidR="0079298E" w:rsidRPr="00A16C7E">
        <w:rPr>
          <w:rFonts w:eastAsia="Times New Roman" w:cstheme="minorHAnsi"/>
          <w:color w:val="000000"/>
          <w:lang w:eastAsia="fr-FR"/>
        </w:rPr>
        <w:t xml:space="preserve"> considération distinguée.</w:t>
      </w:r>
    </w:p>
    <w:p w:rsidR="00780C62" w:rsidRDefault="00780C62" w:rsidP="00780C62">
      <w:pPr>
        <w:shd w:val="clear" w:color="auto" w:fill="FFFFFF"/>
        <w:jc w:val="both"/>
        <w:rPr>
          <w:rFonts w:eastAsia="Times New Roman" w:cstheme="minorHAnsi"/>
          <w:color w:val="000000"/>
          <w:lang w:eastAsia="fr-FR"/>
        </w:rPr>
      </w:pPr>
    </w:p>
    <w:p w:rsidR="0079298E" w:rsidRPr="00A16C7E" w:rsidRDefault="0079298E" w:rsidP="00780C62">
      <w:pPr>
        <w:shd w:val="clear" w:color="auto" w:fill="FFFFFF"/>
        <w:jc w:val="both"/>
        <w:rPr>
          <w:rFonts w:cstheme="minorHAnsi"/>
        </w:rPr>
      </w:pPr>
      <w:r w:rsidRPr="00A16C7E">
        <w:rPr>
          <w:rFonts w:eastAsia="Times New Roman" w:cstheme="minorHAnsi"/>
          <w:color w:val="000000"/>
          <w:lang w:eastAsia="fr-FR"/>
        </w:rPr>
        <w:t xml:space="preserve">Le </w:t>
      </w:r>
      <w:r w:rsidR="0012099D">
        <w:rPr>
          <w:rFonts w:eastAsia="Times New Roman" w:cstheme="minorHAnsi"/>
          <w:color w:val="000000"/>
          <w:lang w:eastAsia="fr-FR"/>
        </w:rPr>
        <w:t>xx/xx/</w:t>
      </w:r>
      <w:proofErr w:type="spellStart"/>
      <w:r w:rsidR="0012099D">
        <w:rPr>
          <w:rFonts w:eastAsia="Times New Roman" w:cstheme="minorHAnsi"/>
          <w:color w:val="000000"/>
          <w:lang w:eastAsia="fr-FR"/>
        </w:rPr>
        <w:t>xxxx</w:t>
      </w:r>
      <w:r w:rsidRPr="00A16C7E">
        <w:rPr>
          <w:rFonts w:eastAsia="Times New Roman" w:cstheme="minorHAnsi"/>
          <w:i/>
          <w:color w:val="000000"/>
          <w:lang w:eastAsia="fr-FR"/>
        </w:rPr>
        <w:t>Signature</w:t>
      </w:r>
      <w:proofErr w:type="spellEnd"/>
    </w:p>
    <w:p w:rsidR="0079298E" w:rsidRPr="00A16C7E" w:rsidRDefault="0079298E" w:rsidP="00F60844">
      <w:pPr>
        <w:jc w:val="both"/>
        <w:rPr>
          <w:rFonts w:cstheme="minorHAnsi"/>
        </w:rPr>
      </w:pPr>
    </w:p>
    <w:sectPr w:rsidR="0079298E" w:rsidRPr="00A16C7E" w:rsidSect="00780C62">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B5A" w:rsidRDefault="007B1B5A" w:rsidP="0079298E">
      <w:pPr>
        <w:spacing w:after="0" w:line="240" w:lineRule="auto"/>
      </w:pPr>
      <w:r>
        <w:separator/>
      </w:r>
    </w:p>
  </w:endnote>
  <w:endnote w:type="continuationSeparator" w:id="0">
    <w:p w:rsidR="007B1B5A" w:rsidRDefault="007B1B5A" w:rsidP="00792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LightC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1582003"/>
      <w:docPartObj>
        <w:docPartGallery w:val="Page Numbers (Bottom of Page)"/>
        <w:docPartUnique/>
      </w:docPartObj>
    </w:sdtPr>
    <w:sdtContent>
      <w:p w:rsidR="0012483F" w:rsidRDefault="0012483F">
        <w:pPr>
          <w:pStyle w:val="Pieddepage"/>
          <w:jc w:val="right"/>
        </w:pPr>
        <w:r>
          <w:fldChar w:fldCharType="begin"/>
        </w:r>
        <w:r>
          <w:instrText>PAGE   \* MERGEFORMAT</w:instrText>
        </w:r>
        <w:r>
          <w:fldChar w:fldCharType="separate"/>
        </w:r>
        <w:r w:rsidR="004312AA">
          <w:rPr>
            <w:noProof/>
          </w:rPr>
          <w:t>3</w:t>
        </w:r>
        <w:r>
          <w:fldChar w:fldCharType="end"/>
        </w:r>
      </w:p>
    </w:sdtContent>
  </w:sdt>
  <w:p w:rsidR="0012483F" w:rsidRDefault="0012483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B5A" w:rsidRDefault="007B1B5A" w:rsidP="0079298E">
      <w:pPr>
        <w:spacing w:after="0" w:line="240" w:lineRule="auto"/>
      </w:pPr>
      <w:r>
        <w:separator/>
      </w:r>
    </w:p>
  </w:footnote>
  <w:footnote w:type="continuationSeparator" w:id="0">
    <w:p w:rsidR="007B1B5A" w:rsidRDefault="007B1B5A" w:rsidP="0079298E">
      <w:pPr>
        <w:spacing w:after="0" w:line="240" w:lineRule="auto"/>
      </w:pPr>
      <w:r>
        <w:continuationSeparator/>
      </w:r>
    </w:p>
  </w:footnote>
  <w:footnote w:id="1">
    <w:p w:rsidR="009C1FA6" w:rsidRDefault="009C1FA6">
      <w:pPr>
        <w:pStyle w:val="Notedebasdepage"/>
      </w:pPr>
      <w:r>
        <w:rPr>
          <w:rStyle w:val="Appelnotedebasdep"/>
        </w:rPr>
        <w:footnoteRef/>
      </w:r>
      <w:r>
        <w:t xml:space="preserve"> </w:t>
      </w:r>
      <w:proofErr w:type="gramStart"/>
      <w:r w:rsidRPr="009C1FA6">
        <w:t>article</w:t>
      </w:r>
      <w:proofErr w:type="gramEnd"/>
      <w:r w:rsidRPr="009C1FA6">
        <w:t xml:space="preserve"> L. 2242-8 du code du travail</w:t>
      </w:r>
    </w:p>
  </w:footnote>
  <w:footnote w:id="2">
    <w:p w:rsidR="004E6E0C" w:rsidRPr="004E6E0C" w:rsidRDefault="004E6E0C" w:rsidP="004E6E0C">
      <w:pPr>
        <w:autoSpaceDE w:val="0"/>
        <w:autoSpaceDN w:val="0"/>
        <w:adjustRightInd w:val="0"/>
        <w:spacing w:after="0" w:line="240" w:lineRule="auto"/>
        <w:rPr>
          <w:rFonts w:ascii="Frutiger-LightCn" w:hAnsi="Frutiger-LightCn" w:cs="Frutiger-LightCn"/>
          <w:sz w:val="18"/>
          <w:szCs w:val="18"/>
        </w:rPr>
      </w:pPr>
      <w:r>
        <w:rPr>
          <w:rStyle w:val="Appelnotedebasdep"/>
        </w:rPr>
        <w:footnoteRef/>
      </w:r>
      <w:r>
        <w:t xml:space="preserve"> </w:t>
      </w:r>
      <w:r>
        <w:rPr>
          <w:rFonts w:ascii="Frutiger-LightCn" w:hAnsi="Frutiger-LightCn" w:cs="Frutiger-LightCn"/>
          <w:sz w:val="14"/>
          <w:szCs w:val="14"/>
        </w:rPr>
        <w:t xml:space="preserve">Article L. 2242-13 du Code du </w:t>
      </w:r>
      <w:proofErr w:type="gramStart"/>
      <w:r>
        <w:rPr>
          <w:rFonts w:ascii="Frutiger-LightCn" w:hAnsi="Frutiger-LightCn" w:cs="Frutiger-LightCn"/>
          <w:sz w:val="14"/>
          <w:szCs w:val="14"/>
        </w:rPr>
        <w:t>travail</w:t>
      </w:r>
      <w:r>
        <w:rPr>
          <w:rFonts w:ascii="Frutiger-LightCn" w:hAnsi="Frutiger-LightCn" w:cs="Frutiger-LightCn"/>
          <w:sz w:val="14"/>
          <w:szCs w:val="14"/>
        </w:rPr>
        <w:t xml:space="preserve"> ,</w:t>
      </w:r>
      <w:proofErr w:type="gramEnd"/>
      <w:r>
        <w:rPr>
          <w:rFonts w:ascii="Frutiger-LightCn" w:hAnsi="Frutiger-LightCn" w:cs="Frutiger-LightCn"/>
          <w:sz w:val="14"/>
          <w:szCs w:val="14"/>
        </w:rPr>
        <w:t xml:space="preserve"> et </w:t>
      </w:r>
      <w:r>
        <w:rPr>
          <w:rFonts w:ascii="Frutiger-LightCn" w:hAnsi="Frutiger-LightCn" w:cs="Frutiger-LightCn"/>
          <w:sz w:val="18"/>
          <w:szCs w:val="18"/>
        </w:rPr>
        <w:t>(sauf si un accord sur</w:t>
      </w:r>
      <w:r>
        <w:rPr>
          <w:rFonts w:ascii="Frutiger-LightCn" w:hAnsi="Frutiger-LightCn" w:cs="Frutiger-LightCn"/>
          <w:sz w:val="18"/>
          <w:szCs w:val="18"/>
        </w:rPr>
        <w:t xml:space="preserve"> </w:t>
      </w:r>
      <w:r>
        <w:rPr>
          <w:rFonts w:ascii="Frutiger-LightCn" w:hAnsi="Frutiger-LightCn" w:cs="Frutiger-LightCn"/>
          <w:sz w:val="18"/>
          <w:szCs w:val="18"/>
        </w:rPr>
        <w:t>la périodicité des négociation</w:t>
      </w:r>
      <w:r>
        <w:rPr>
          <w:rFonts w:ascii="Frutiger-LightCn" w:hAnsi="Frutiger-LightCn" w:cs="Frutiger-LightCn"/>
          <w:sz w:val="18"/>
          <w:szCs w:val="18"/>
        </w:rPr>
        <w:t xml:space="preserve">s est conclu et fixe </w:t>
      </w:r>
      <w:r>
        <w:rPr>
          <w:rFonts w:ascii="Frutiger-LightCn" w:hAnsi="Frutiger-LightCn" w:cs="Frutiger-LightCn"/>
          <w:sz w:val="18"/>
          <w:szCs w:val="18"/>
        </w:rPr>
        <w:t>une périodicité différente)</w:t>
      </w:r>
    </w:p>
  </w:footnote>
  <w:footnote w:id="3">
    <w:p w:rsidR="0025041A" w:rsidRDefault="0025041A">
      <w:pPr>
        <w:pStyle w:val="Notedebasdepage"/>
      </w:pPr>
      <w:r>
        <w:rPr>
          <w:rStyle w:val="Appelnotedebasdep"/>
        </w:rPr>
        <w:footnoteRef/>
      </w:r>
      <w:r>
        <w:t xml:space="preserve"> </w:t>
      </w:r>
      <w:r w:rsidRPr="0025041A">
        <w:t>Article L4121-1</w:t>
      </w:r>
      <w:r>
        <w:t> ; a</w:t>
      </w:r>
      <w:r w:rsidRPr="0025041A">
        <w:t>rticle L1153-5</w:t>
      </w:r>
      <w:r>
        <w:t> et ar</w:t>
      </w:r>
      <w:r w:rsidRPr="00E61A78">
        <w:rPr>
          <w:rFonts w:cstheme="minorHAnsi"/>
          <w:color w:val="000000"/>
        </w:rPr>
        <w:t>ticle L4121-2</w:t>
      </w:r>
      <w:r w:rsidRPr="0025041A">
        <w:t xml:space="preserve">  du Code du travail</w:t>
      </w:r>
    </w:p>
  </w:footnote>
  <w:footnote w:id="4">
    <w:p w:rsidR="0025041A" w:rsidRDefault="0025041A">
      <w:pPr>
        <w:pStyle w:val="Notedebasdepage"/>
      </w:pPr>
      <w:r>
        <w:rPr>
          <w:rStyle w:val="Appelnotedebasdep"/>
        </w:rPr>
        <w:footnoteRef/>
      </w:r>
      <w:r>
        <w:t xml:space="preserve"> </w:t>
      </w:r>
      <w:r w:rsidRPr="0025041A">
        <w:t>Article L. 2314-1 du Code du travail</w:t>
      </w:r>
    </w:p>
  </w:footnote>
  <w:footnote w:id="5">
    <w:p w:rsidR="0025041A" w:rsidRDefault="0025041A">
      <w:pPr>
        <w:pStyle w:val="Notedebasdepage"/>
      </w:pPr>
      <w:r>
        <w:rPr>
          <w:rStyle w:val="Appelnotedebasdep"/>
        </w:rPr>
        <w:footnoteRef/>
      </w:r>
      <w:r>
        <w:t xml:space="preserve"> </w:t>
      </w:r>
      <w:r w:rsidRPr="0025041A">
        <w:t>Article L. 1153-5-1 du Code du travail</w:t>
      </w:r>
    </w:p>
  </w:footnote>
  <w:footnote w:id="6">
    <w:p w:rsidR="0079298E" w:rsidRPr="00075DB4" w:rsidRDefault="0079298E" w:rsidP="0079298E">
      <w:pPr>
        <w:autoSpaceDE w:val="0"/>
        <w:autoSpaceDN w:val="0"/>
        <w:adjustRightInd w:val="0"/>
        <w:spacing w:after="0"/>
        <w:jc w:val="both"/>
        <w:rPr>
          <w:rFonts w:ascii="Frutiger-LightCn" w:hAnsi="Frutiger-LightCn" w:cs="Frutiger-LightCn"/>
          <w:sz w:val="14"/>
          <w:szCs w:val="14"/>
        </w:rPr>
      </w:pPr>
      <w:r>
        <w:rPr>
          <w:rStyle w:val="Appelnotedebasdep"/>
        </w:rPr>
        <w:footnoteRef/>
      </w:r>
      <w:r>
        <w:t xml:space="preserve"> </w:t>
      </w:r>
      <w:r w:rsidRPr="00075DB4">
        <w:rPr>
          <w:sz w:val="20"/>
          <w:szCs w:val="20"/>
        </w:rPr>
        <w:t xml:space="preserve">Article D. 1151-1 du Code du travail ; article L. 1153-5-1 du Code du travail dans toute entreprise employant au moins deux cent cinquante </w:t>
      </w:r>
      <w:proofErr w:type="spellStart"/>
      <w:r w:rsidRPr="00075DB4">
        <w:rPr>
          <w:sz w:val="20"/>
          <w:szCs w:val="20"/>
        </w:rPr>
        <w:t>salarié·e·s</w:t>
      </w:r>
      <w:proofErr w:type="spellEnd"/>
      <w:r w:rsidRPr="00075DB4">
        <w:rPr>
          <w:sz w:val="20"/>
          <w:szCs w:val="20"/>
        </w:rPr>
        <w:t> ; article L. 2314-1 du Code du travail.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40B50"/>
    <w:multiLevelType w:val="hybridMultilevel"/>
    <w:tmpl w:val="E810552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64EA3BC9"/>
    <w:multiLevelType w:val="hybridMultilevel"/>
    <w:tmpl w:val="02CA4F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2824350"/>
    <w:multiLevelType w:val="hybridMultilevel"/>
    <w:tmpl w:val="3D2C2A9C"/>
    <w:lvl w:ilvl="0" w:tplc="040C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C27"/>
    <w:rsid w:val="0012099D"/>
    <w:rsid w:val="0012483F"/>
    <w:rsid w:val="0025041A"/>
    <w:rsid w:val="00385A5D"/>
    <w:rsid w:val="00390927"/>
    <w:rsid w:val="004214DE"/>
    <w:rsid w:val="004312AA"/>
    <w:rsid w:val="00485C7A"/>
    <w:rsid w:val="004E6E0C"/>
    <w:rsid w:val="00551CE7"/>
    <w:rsid w:val="00740CCD"/>
    <w:rsid w:val="00780C62"/>
    <w:rsid w:val="0079298E"/>
    <w:rsid w:val="007B1B5A"/>
    <w:rsid w:val="00804211"/>
    <w:rsid w:val="00853D76"/>
    <w:rsid w:val="00854C27"/>
    <w:rsid w:val="009C1FA6"/>
    <w:rsid w:val="00A16C7E"/>
    <w:rsid w:val="00B95E83"/>
    <w:rsid w:val="00E70E36"/>
    <w:rsid w:val="00F222EB"/>
    <w:rsid w:val="00F608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A76F43-FBEF-434E-952B-8515DC57B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2E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51CE7"/>
    <w:pPr>
      <w:spacing w:after="0" w:line="240" w:lineRule="auto"/>
    </w:pPr>
    <w:rPr>
      <w:rFonts w:ascii="Times New Roman" w:eastAsia="Times New Roman" w:hAnsi="Times New Roman" w:cs="Times New Roman"/>
      <w:sz w:val="24"/>
      <w:szCs w:val="24"/>
      <w:lang w:eastAsia="fr-FR"/>
    </w:rPr>
  </w:style>
  <w:style w:type="character" w:styleId="Marquedecommentaire">
    <w:name w:val="annotation reference"/>
    <w:uiPriority w:val="99"/>
    <w:semiHidden/>
    <w:unhideWhenUsed/>
    <w:rsid w:val="00551CE7"/>
    <w:rPr>
      <w:sz w:val="16"/>
      <w:szCs w:val="16"/>
    </w:rPr>
  </w:style>
  <w:style w:type="paragraph" w:styleId="Commentaire">
    <w:name w:val="annotation text"/>
    <w:basedOn w:val="Normal"/>
    <w:link w:val="CommentaireCar"/>
    <w:uiPriority w:val="99"/>
    <w:semiHidden/>
    <w:unhideWhenUsed/>
    <w:rsid w:val="00551CE7"/>
    <w:pPr>
      <w:spacing w:line="240" w:lineRule="auto"/>
    </w:pPr>
    <w:rPr>
      <w:rFonts w:ascii="Calibri" w:eastAsia="Calibri" w:hAnsi="Calibri" w:cs="Times New Roman"/>
      <w:sz w:val="20"/>
      <w:szCs w:val="20"/>
    </w:rPr>
  </w:style>
  <w:style w:type="character" w:customStyle="1" w:styleId="CommentaireCar">
    <w:name w:val="Commentaire Car"/>
    <w:basedOn w:val="Policepardfaut"/>
    <w:link w:val="Commentaire"/>
    <w:uiPriority w:val="99"/>
    <w:semiHidden/>
    <w:rsid w:val="00551CE7"/>
    <w:rPr>
      <w:rFonts w:ascii="Calibri" w:eastAsia="Calibri" w:hAnsi="Calibri" w:cs="Times New Roman"/>
      <w:sz w:val="20"/>
      <w:szCs w:val="20"/>
    </w:rPr>
  </w:style>
  <w:style w:type="paragraph" w:styleId="Textedebulles">
    <w:name w:val="Balloon Text"/>
    <w:basedOn w:val="Normal"/>
    <w:link w:val="TextedebullesCar"/>
    <w:uiPriority w:val="99"/>
    <w:semiHidden/>
    <w:unhideWhenUsed/>
    <w:rsid w:val="00551CE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51CE7"/>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551CE7"/>
    <w:rPr>
      <w:rFonts w:asciiTheme="minorHAnsi" w:eastAsiaTheme="minorHAnsi" w:hAnsiTheme="minorHAnsi" w:cstheme="minorBidi"/>
      <w:b/>
      <w:bCs/>
    </w:rPr>
  </w:style>
  <w:style w:type="character" w:customStyle="1" w:styleId="ObjetducommentaireCar">
    <w:name w:val="Objet du commentaire Car"/>
    <w:basedOn w:val="CommentaireCar"/>
    <w:link w:val="Objetducommentaire"/>
    <w:uiPriority w:val="99"/>
    <w:semiHidden/>
    <w:rsid w:val="00551CE7"/>
    <w:rPr>
      <w:rFonts w:ascii="Calibri" w:eastAsia="Calibri" w:hAnsi="Calibri" w:cs="Times New Roman"/>
      <w:b/>
      <w:bCs/>
      <w:sz w:val="20"/>
      <w:szCs w:val="20"/>
    </w:rPr>
  </w:style>
  <w:style w:type="paragraph" w:styleId="Paragraphedeliste">
    <w:name w:val="List Paragraph"/>
    <w:basedOn w:val="Normal"/>
    <w:uiPriority w:val="34"/>
    <w:qFormat/>
    <w:rsid w:val="0079298E"/>
    <w:pPr>
      <w:spacing w:line="240" w:lineRule="auto"/>
      <w:ind w:left="720"/>
      <w:contextualSpacing/>
    </w:pPr>
  </w:style>
  <w:style w:type="paragraph" w:styleId="Notedebasdepage">
    <w:name w:val="footnote text"/>
    <w:basedOn w:val="Normal"/>
    <w:link w:val="NotedebasdepageCar"/>
    <w:uiPriority w:val="99"/>
    <w:semiHidden/>
    <w:unhideWhenUsed/>
    <w:rsid w:val="0079298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9298E"/>
    <w:rPr>
      <w:sz w:val="20"/>
      <w:szCs w:val="20"/>
    </w:rPr>
  </w:style>
  <w:style w:type="character" w:styleId="Appelnotedebasdep">
    <w:name w:val="footnote reference"/>
    <w:basedOn w:val="Policepardfaut"/>
    <w:uiPriority w:val="99"/>
    <w:semiHidden/>
    <w:unhideWhenUsed/>
    <w:rsid w:val="0079298E"/>
    <w:rPr>
      <w:vertAlign w:val="superscript"/>
    </w:rPr>
  </w:style>
  <w:style w:type="paragraph" w:styleId="En-tte">
    <w:name w:val="header"/>
    <w:basedOn w:val="Normal"/>
    <w:link w:val="En-tteCar"/>
    <w:uiPriority w:val="99"/>
    <w:unhideWhenUsed/>
    <w:rsid w:val="0012483F"/>
    <w:pPr>
      <w:tabs>
        <w:tab w:val="center" w:pos="4536"/>
        <w:tab w:val="right" w:pos="9072"/>
      </w:tabs>
      <w:spacing w:after="0" w:line="240" w:lineRule="auto"/>
    </w:pPr>
  </w:style>
  <w:style w:type="character" w:customStyle="1" w:styleId="En-tteCar">
    <w:name w:val="En-tête Car"/>
    <w:basedOn w:val="Policepardfaut"/>
    <w:link w:val="En-tte"/>
    <w:uiPriority w:val="99"/>
    <w:rsid w:val="0012483F"/>
  </w:style>
  <w:style w:type="paragraph" w:styleId="Pieddepage">
    <w:name w:val="footer"/>
    <w:basedOn w:val="Normal"/>
    <w:link w:val="PieddepageCar"/>
    <w:uiPriority w:val="99"/>
    <w:unhideWhenUsed/>
    <w:rsid w:val="001248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4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65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ean-jaures.org/nos-productions/deux-ans-apres-metoo-les-violences-sexistes-et-sexuelles-au-travail-en-euro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efenseurdesdroits.fr/sites/default/files/atoms/files/ddd_etu_20140301_harcelement_sexuel_syn-these.pdf" TargetMode="External"/></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5B9A6-0370-4CBF-87D7-69F7476C9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1356</Words>
  <Characters>7459</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HECQUET</dc:creator>
  <cp:keywords/>
  <dc:description/>
  <cp:lastModifiedBy>Camille HECQUET</cp:lastModifiedBy>
  <cp:revision>13</cp:revision>
  <dcterms:created xsi:type="dcterms:W3CDTF">2021-01-29T10:27:00Z</dcterms:created>
  <dcterms:modified xsi:type="dcterms:W3CDTF">2021-01-29T16:00:00Z</dcterms:modified>
</cp:coreProperties>
</file>