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A7" w:rsidRDefault="00F426A7" w:rsidP="00F426A7">
      <w:pPr>
        <w:pBdr>
          <w:top w:val="single" w:sz="4" w:space="1" w:color="auto"/>
          <w:left w:val="single" w:sz="4" w:space="4" w:color="auto"/>
          <w:bottom w:val="single" w:sz="4" w:space="1" w:color="auto"/>
          <w:right w:val="single" w:sz="4" w:space="4" w:color="auto"/>
        </w:pBdr>
        <w:shd w:val="clear" w:color="auto" w:fill="B6DDE8" w:themeFill="accent5" w:themeFillTint="66"/>
        <w:spacing w:before="100" w:beforeAutospacing="1" w:after="100" w:afterAutospacing="1" w:line="240" w:lineRule="auto"/>
        <w:jc w:val="center"/>
        <w:rPr>
          <w:rFonts w:ascii="Times New Roman" w:eastAsia="Times New Roman" w:hAnsi="Times New Roman" w:cs="Times New Roman"/>
          <w:b/>
          <w:bCs/>
          <w:color w:val="632423" w:themeColor="accent2" w:themeShade="80"/>
          <w:sz w:val="32"/>
          <w:szCs w:val="32"/>
          <w:lang w:eastAsia="fr-FR"/>
        </w:rPr>
      </w:pPr>
    </w:p>
    <w:p w:rsidR="00F426A7" w:rsidRDefault="00F426A7" w:rsidP="00F426A7">
      <w:pPr>
        <w:pBdr>
          <w:top w:val="single" w:sz="4" w:space="1" w:color="auto"/>
          <w:left w:val="single" w:sz="4" w:space="4" w:color="auto"/>
          <w:bottom w:val="single" w:sz="4" w:space="1" w:color="auto"/>
          <w:right w:val="single" w:sz="4" w:space="4" w:color="auto"/>
        </w:pBdr>
        <w:shd w:val="clear" w:color="auto" w:fill="B6DDE8" w:themeFill="accent5" w:themeFillTint="66"/>
        <w:spacing w:before="100" w:beforeAutospacing="1" w:after="100" w:afterAutospacing="1" w:line="240" w:lineRule="auto"/>
        <w:jc w:val="center"/>
        <w:rPr>
          <w:rFonts w:ascii="Times New Roman" w:eastAsia="Times New Roman" w:hAnsi="Times New Roman" w:cs="Times New Roman"/>
          <w:b/>
          <w:bCs/>
          <w:color w:val="632423" w:themeColor="accent2" w:themeShade="80"/>
          <w:sz w:val="32"/>
          <w:szCs w:val="32"/>
          <w:lang w:eastAsia="fr-FR"/>
        </w:rPr>
      </w:pPr>
      <w:r w:rsidRPr="00F426A7">
        <w:rPr>
          <w:rFonts w:ascii="Times New Roman" w:eastAsia="Times New Roman" w:hAnsi="Times New Roman" w:cs="Times New Roman"/>
          <w:b/>
          <w:bCs/>
          <w:color w:val="632423" w:themeColor="accent2" w:themeShade="80"/>
          <w:sz w:val="32"/>
          <w:szCs w:val="32"/>
          <w:lang w:eastAsia="fr-FR"/>
        </w:rPr>
        <w:t xml:space="preserve">Le dispositif </w:t>
      </w:r>
      <w:proofErr w:type="spellStart"/>
      <w:r w:rsidRPr="00F426A7">
        <w:rPr>
          <w:rFonts w:ascii="Times New Roman" w:eastAsia="Times New Roman" w:hAnsi="Times New Roman" w:cs="Times New Roman"/>
          <w:b/>
          <w:bCs/>
          <w:color w:val="632423" w:themeColor="accent2" w:themeShade="80"/>
          <w:sz w:val="32"/>
          <w:szCs w:val="32"/>
          <w:lang w:eastAsia="fr-FR"/>
        </w:rPr>
        <w:t>Duflot</w:t>
      </w:r>
      <w:proofErr w:type="spellEnd"/>
      <w:r w:rsidRPr="00F426A7">
        <w:rPr>
          <w:rFonts w:ascii="Times New Roman" w:eastAsia="Times New Roman" w:hAnsi="Times New Roman" w:cs="Times New Roman"/>
          <w:b/>
          <w:bCs/>
          <w:color w:val="632423" w:themeColor="accent2" w:themeShade="80"/>
          <w:sz w:val="32"/>
          <w:szCs w:val="32"/>
          <w:lang w:eastAsia="fr-FR"/>
        </w:rPr>
        <w:t xml:space="preserve"> s’aligne très largement sur son aîné le dispositif </w:t>
      </w:r>
      <w:proofErr w:type="spellStart"/>
      <w:r w:rsidRPr="00F426A7">
        <w:rPr>
          <w:rFonts w:ascii="Times New Roman" w:eastAsia="Times New Roman" w:hAnsi="Times New Roman" w:cs="Times New Roman"/>
          <w:b/>
          <w:bCs/>
          <w:color w:val="632423" w:themeColor="accent2" w:themeShade="80"/>
          <w:sz w:val="32"/>
          <w:szCs w:val="32"/>
          <w:lang w:eastAsia="fr-FR"/>
        </w:rPr>
        <w:t>Scellier</w:t>
      </w:r>
      <w:proofErr w:type="spellEnd"/>
      <w:r w:rsidRPr="00F426A7">
        <w:rPr>
          <w:rFonts w:ascii="Times New Roman" w:eastAsia="Times New Roman" w:hAnsi="Times New Roman" w:cs="Times New Roman"/>
          <w:b/>
          <w:bCs/>
          <w:color w:val="632423" w:themeColor="accent2" w:themeShade="80"/>
          <w:sz w:val="32"/>
          <w:szCs w:val="32"/>
          <w:lang w:eastAsia="fr-FR"/>
        </w:rPr>
        <w:t xml:space="preserve"> !</w:t>
      </w:r>
    </w:p>
    <w:p w:rsidR="00F426A7" w:rsidRDefault="00F426A7" w:rsidP="00F426A7">
      <w:pPr>
        <w:pBdr>
          <w:top w:val="single" w:sz="4" w:space="1" w:color="auto"/>
          <w:left w:val="single" w:sz="4" w:space="4" w:color="auto"/>
          <w:bottom w:val="single" w:sz="4" w:space="1" w:color="auto"/>
          <w:right w:val="single" w:sz="4" w:space="4" w:color="auto"/>
        </w:pBdr>
        <w:shd w:val="clear" w:color="auto" w:fill="B6DDE8" w:themeFill="accent5" w:themeFillTint="66"/>
        <w:spacing w:before="100" w:beforeAutospacing="1" w:after="100" w:afterAutospacing="1" w:line="240" w:lineRule="auto"/>
        <w:jc w:val="center"/>
        <w:rPr>
          <w:rFonts w:ascii="Times New Roman" w:eastAsia="Times New Roman" w:hAnsi="Times New Roman" w:cs="Times New Roman"/>
          <w:b/>
          <w:bCs/>
          <w:color w:val="632423" w:themeColor="accent2" w:themeShade="80"/>
          <w:sz w:val="32"/>
          <w:szCs w:val="32"/>
          <w:lang w:eastAsia="fr-FR"/>
        </w:rPr>
      </w:pPr>
    </w:p>
    <w:p w:rsidR="00F426A7" w:rsidRPr="00F426A7" w:rsidRDefault="00F426A7" w:rsidP="00F426A7">
      <w:pPr>
        <w:spacing w:before="100" w:beforeAutospacing="1" w:after="100" w:afterAutospacing="1" w:line="24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i/>
          <w:color w:val="404040" w:themeColor="text1" w:themeTint="BF"/>
          <w:sz w:val="24"/>
          <w:szCs w:val="24"/>
          <w:lang w:eastAsia="fr-FR"/>
        </w:rPr>
        <w:t xml:space="preserve">L’administration vient de donner des précisions en ce sens sur les conditions et modalités d’application de cet avantage fiscal. </w:t>
      </w:r>
    </w:p>
    <w:p w:rsidR="00F426A7" w:rsidRPr="00F426A7" w:rsidRDefault="00F426A7" w:rsidP="00F426A7">
      <w:pPr>
        <w:spacing w:before="100" w:beforeAutospacing="1" w:after="100" w:afterAutospacing="1" w:line="24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w:t>
      </w:r>
      <w:r w:rsidRPr="00F426A7">
        <w:rPr>
          <w:rFonts w:ascii="Times New Roman" w:eastAsia="Times New Roman" w:hAnsi="Times New Roman" w:cs="Times New Roman"/>
          <w:sz w:val="24"/>
          <w:szCs w:val="24"/>
          <w:lang w:eastAsia="fr-FR"/>
        </w:rPr>
        <w:t xml:space="preserve">Début 2013, le </w:t>
      </w:r>
      <w:proofErr w:type="spellStart"/>
      <w:r w:rsidRPr="00F426A7">
        <w:rPr>
          <w:rFonts w:ascii="Times New Roman" w:eastAsia="Times New Roman" w:hAnsi="Times New Roman" w:cs="Times New Roman"/>
          <w:sz w:val="24"/>
          <w:szCs w:val="24"/>
          <w:lang w:eastAsia="fr-FR"/>
        </w:rPr>
        <w:t>Scellier</w:t>
      </w:r>
      <w:proofErr w:type="spellEnd"/>
      <w:r w:rsidRPr="00F426A7">
        <w:rPr>
          <w:rFonts w:ascii="Times New Roman" w:eastAsia="Times New Roman" w:hAnsi="Times New Roman" w:cs="Times New Roman"/>
          <w:sz w:val="24"/>
          <w:szCs w:val="24"/>
          <w:lang w:eastAsia="fr-FR"/>
        </w:rPr>
        <w:t xml:space="preserve"> a laissé sa place au </w:t>
      </w:r>
      <w:proofErr w:type="spellStart"/>
      <w:r w:rsidRPr="00F426A7">
        <w:rPr>
          <w:rFonts w:ascii="Times New Roman" w:eastAsia="Times New Roman" w:hAnsi="Times New Roman" w:cs="Times New Roman"/>
          <w:sz w:val="24"/>
          <w:szCs w:val="24"/>
          <w:lang w:eastAsia="fr-FR"/>
        </w:rPr>
        <w:t>Duflot</w:t>
      </w:r>
      <w:proofErr w:type="spellEnd"/>
      <w:r w:rsidRPr="00F426A7">
        <w:rPr>
          <w:rFonts w:ascii="Times New Roman" w:eastAsia="Times New Roman" w:hAnsi="Times New Roman" w:cs="Times New Roman"/>
          <w:sz w:val="24"/>
          <w:szCs w:val="24"/>
          <w:lang w:eastAsia="fr-FR"/>
        </w:rPr>
        <w:t xml:space="preserve">, instauré par la loi de finances pour 2013. </w:t>
      </w:r>
    </w:p>
    <w:p w:rsidR="00F426A7" w:rsidRPr="00F426A7" w:rsidRDefault="00F426A7" w:rsidP="00F426A7">
      <w:pPr>
        <w:spacing w:before="100" w:beforeAutospacing="1" w:after="100" w:afterAutospacing="1" w:line="36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Différents points sur les conditions et les modalités d’application du dispositif n’avaient pas été précisés par la loi de finances, laissant la place à de nombreuses interrogations. L’administration fiscale comble ces vides cet été en publiant un commentaire d’ensemble du dispositif (BOI-IR-RICI-360 à 350-50 ; 30 juillet 2013) très proche du </w:t>
      </w:r>
      <w:proofErr w:type="spellStart"/>
      <w:r w:rsidRPr="00F426A7">
        <w:rPr>
          <w:rFonts w:ascii="Times New Roman" w:eastAsia="Times New Roman" w:hAnsi="Times New Roman" w:cs="Times New Roman"/>
          <w:sz w:val="24"/>
          <w:szCs w:val="24"/>
          <w:lang w:eastAsia="fr-FR"/>
        </w:rPr>
        <w:t>Scellier</w:t>
      </w:r>
      <w:proofErr w:type="spellEnd"/>
      <w:r w:rsidRPr="00F426A7">
        <w:rPr>
          <w:rFonts w:ascii="Times New Roman" w:eastAsia="Times New Roman" w:hAnsi="Times New Roman" w:cs="Times New Roman"/>
          <w:sz w:val="24"/>
          <w:szCs w:val="24"/>
          <w:lang w:eastAsia="fr-FR"/>
        </w:rPr>
        <w:t xml:space="preserve"> intermédiaire. </w:t>
      </w:r>
    </w:p>
    <w:tbl>
      <w:tblPr>
        <w:tblW w:w="0" w:type="auto"/>
        <w:tblInd w:w="-176" w:type="dxa"/>
        <w:shd w:val="clear" w:color="auto" w:fill="C0B9A6"/>
        <w:tblCellMar>
          <w:left w:w="0" w:type="dxa"/>
          <w:right w:w="0" w:type="dxa"/>
        </w:tblCellMar>
        <w:tblLook w:val="04A0"/>
      </w:tblPr>
      <w:tblGrid>
        <w:gridCol w:w="9464"/>
      </w:tblGrid>
      <w:tr w:rsidR="00F426A7" w:rsidRPr="00F426A7" w:rsidTr="00F426A7">
        <w:tc>
          <w:tcPr>
            <w:tcW w:w="9464" w:type="dxa"/>
            <w:tcBorders>
              <w:top w:val="single" w:sz="8" w:space="0" w:color="auto"/>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hideMark/>
          </w:tcPr>
          <w:p w:rsidR="00F426A7" w:rsidRPr="00F426A7" w:rsidRDefault="00F426A7" w:rsidP="00F426A7">
            <w:pPr>
              <w:spacing w:before="100" w:beforeAutospacing="1" w:after="100" w:afterAutospacing="1" w:line="36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sz w:val="24"/>
                <w:szCs w:val="24"/>
                <w:lang w:eastAsia="fr-FR"/>
              </w:rPr>
              <w:t xml:space="preserve">Prendre 5 minutes pour comprendre …. </w:t>
            </w:r>
          </w:p>
          <w:p w:rsidR="00F426A7" w:rsidRPr="00F426A7" w:rsidRDefault="00F426A7" w:rsidP="00F426A7">
            <w:pPr>
              <w:spacing w:before="100" w:beforeAutospacing="1" w:after="100" w:afterAutospacing="1" w:line="360" w:lineRule="auto"/>
              <w:jc w:val="center"/>
              <w:rPr>
                <w:rFonts w:ascii="Times New Roman" w:eastAsia="Times New Roman" w:hAnsi="Times New Roman" w:cs="Times New Roman"/>
                <w:color w:val="17365D" w:themeColor="text2" w:themeShade="BF"/>
                <w:sz w:val="32"/>
                <w:szCs w:val="32"/>
                <w:lang w:eastAsia="fr-FR"/>
              </w:rPr>
            </w:pPr>
            <w:r w:rsidRPr="00F426A7">
              <w:rPr>
                <w:rFonts w:ascii="Times New Roman" w:eastAsia="Times New Roman" w:hAnsi="Times New Roman" w:cs="Times New Roman"/>
                <w:b/>
                <w:bCs/>
                <w:color w:val="17365D" w:themeColor="text2" w:themeShade="BF"/>
                <w:sz w:val="32"/>
                <w:szCs w:val="32"/>
                <w:lang w:eastAsia="fr-FR"/>
              </w:rPr>
              <w:t>LE DUFLOT</w:t>
            </w:r>
          </w:p>
          <w:p w:rsidR="00F426A7" w:rsidRPr="00F426A7" w:rsidRDefault="00F426A7" w:rsidP="00F426A7">
            <w:pPr>
              <w:spacing w:before="100" w:beforeAutospacing="1" w:after="100" w:afterAutospacing="1" w:line="360" w:lineRule="auto"/>
              <w:jc w:val="both"/>
              <w:rPr>
                <w:rFonts w:ascii="Times New Roman" w:eastAsia="Times New Roman" w:hAnsi="Times New Roman" w:cs="Times New Roman"/>
                <w:i/>
                <w:sz w:val="24"/>
                <w:szCs w:val="24"/>
                <w:lang w:eastAsia="fr-FR"/>
              </w:rPr>
            </w:pPr>
            <w:r w:rsidRPr="00F426A7">
              <w:rPr>
                <w:rFonts w:ascii="Times New Roman" w:eastAsia="Times New Roman" w:hAnsi="Times New Roman" w:cs="Times New Roman"/>
                <w:i/>
                <w:sz w:val="24"/>
                <w:szCs w:val="24"/>
                <w:lang w:eastAsia="fr-FR"/>
              </w:rPr>
              <w:t>Le dispositif DUFLOT ouvre droit à une réduction d’impôt de 18% du prix de revient du bien étalé sur 9 ans.</w:t>
            </w:r>
          </w:p>
          <w:p w:rsidR="00F426A7" w:rsidRPr="00F426A7" w:rsidRDefault="00F426A7" w:rsidP="00F426A7">
            <w:pPr>
              <w:spacing w:before="100" w:beforeAutospacing="1" w:after="100" w:afterAutospacing="1" w:line="360" w:lineRule="auto"/>
              <w:ind w:hanging="360"/>
              <w:jc w:val="both"/>
              <w:rPr>
                <w:rFonts w:ascii="Times New Roman" w:eastAsia="Times New Roman" w:hAnsi="Times New Roman" w:cs="Times New Roman"/>
                <w:i/>
                <w:sz w:val="24"/>
                <w:szCs w:val="24"/>
                <w:lang w:eastAsia="fr-FR"/>
              </w:rPr>
            </w:pPr>
            <w:r w:rsidRPr="00F426A7">
              <w:rPr>
                <w:rFonts w:ascii="Times New Roman" w:eastAsia="Times New Roman" w:hAnsi="Times New Roman" w:cs="Times New Roman"/>
                <w:i/>
                <w:color w:val="1F497D"/>
                <w:sz w:val="24"/>
                <w:szCs w:val="24"/>
                <w:lang w:eastAsia="fr-FR"/>
              </w:rPr>
              <w:t xml:space="preserve">§  </w:t>
            </w:r>
            <w:r w:rsidRPr="00F426A7">
              <w:rPr>
                <w:rFonts w:ascii="Times New Roman" w:eastAsia="Times New Roman" w:hAnsi="Times New Roman" w:cs="Times New Roman"/>
                <w:i/>
                <w:sz w:val="24"/>
                <w:szCs w:val="24"/>
                <w:lang w:eastAsia="fr-FR"/>
              </w:rPr>
              <w:t xml:space="preserve">Il est possible d’acquérir, au titre d’une même année d’imposition, et pour un même contribuable, </w:t>
            </w:r>
            <w:r w:rsidRPr="00F426A7">
              <w:rPr>
                <w:rFonts w:ascii="Times New Roman" w:eastAsia="Times New Roman" w:hAnsi="Times New Roman" w:cs="Times New Roman"/>
                <w:b/>
                <w:bCs/>
                <w:i/>
                <w:sz w:val="24"/>
                <w:szCs w:val="24"/>
                <w:lang w:eastAsia="fr-FR"/>
              </w:rPr>
              <w:t>jusqu’à deux logements</w:t>
            </w:r>
            <w:r w:rsidRPr="00F426A7">
              <w:rPr>
                <w:rFonts w:ascii="Times New Roman" w:eastAsia="Times New Roman" w:hAnsi="Times New Roman" w:cs="Times New Roman"/>
                <w:i/>
                <w:sz w:val="24"/>
                <w:szCs w:val="24"/>
                <w:lang w:eastAsia="fr-FR"/>
              </w:rPr>
              <w:t xml:space="preserve"> ouvrant droit au dispositif </w:t>
            </w:r>
            <w:proofErr w:type="spellStart"/>
            <w:r w:rsidRPr="00F426A7">
              <w:rPr>
                <w:rFonts w:ascii="Times New Roman" w:eastAsia="Times New Roman" w:hAnsi="Times New Roman" w:cs="Times New Roman"/>
                <w:i/>
                <w:sz w:val="24"/>
                <w:szCs w:val="24"/>
                <w:lang w:eastAsia="fr-FR"/>
              </w:rPr>
              <w:t>Duflot</w:t>
            </w:r>
            <w:proofErr w:type="spellEnd"/>
            <w:r w:rsidRPr="00F426A7">
              <w:rPr>
                <w:rFonts w:ascii="Times New Roman" w:eastAsia="Times New Roman" w:hAnsi="Times New Roman" w:cs="Times New Roman"/>
                <w:i/>
                <w:sz w:val="24"/>
                <w:szCs w:val="24"/>
                <w:lang w:eastAsia="fr-FR"/>
              </w:rPr>
              <w:t> ;</w:t>
            </w:r>
          </w:p>
          <w:p w:rsidR="00F426A7" w:rsidRPr="00F426A7" w:rsidRDefault="00F426A7" w:rsidP="00F426A7">
            <w:pPr>
              <w:spacing w:before="100" w:beforeAutospacing="1" w:after="100" w:afterAutospacing="1" w:line="360" w:lineRule="auto"/>
              <w:ind w:hanging="360"/>
              <w:jc w:val="both"/>
              <w:rPr>
                <w:rFonts w:ascii="Times New Roman" w:eastAsia="Times New Roman" w:hAnsi="Times New Roman" w:cs="Times New Roman"/>
                <w:i/>
                <w:sz w:val="24"/>
                <w:szCs w:val="24"/>
                <w:lang w:eastAsia="fr-FR"/>
              </w:rPr>
            </w:pPr>
            <w:r w:rsidRPr="00F426A7">
              <w:rPr>
                <w:rFonts w:ascii="Times New Roman" w:eastAsia="Times New Roman" w:hAnsi="Times New Roman" w:cs="Times New Roman"/>
                <w:i/>
                <w:color w:val="1F497D"/>
                <w:sz w:val="24"/>
                <w:szCs w:val="24"/>
                <w:lang w:eastAsia="fr-FR"/>
              </w:rPr>
              <w:t xml:space="preserve">§  </w:t>
            </w:r>
            <w:r w:rsidRPr="00F426A7">
              <w:rPr>
                <w:rFonts w:ascii="Times New Roman" w:eastAsia="Times New Roman" w:hAnsi="Times New Roman" w:cs="Times New Roman"/>
                <w:i/>
                <w:sz w:val="24"/>
                <w:szCs w:val="24"/>
                <w:lang w:eastAsia="fr-FR"/>
              </w:rPr>
              <w:t xml:space="preserve">La réduction est calculée sur le prix de revient retenu dans la </w:t>
            </w:r>
            <w:r w:rsidRPr="00F426A7">
              <w:rPr>
                <w:rFonts w:ascii="Times New Roman" w:eastAsia="Times New Roman" w:hAnsi="Times New Roman" w:cs="Times New Roman"/>
                <w:b/>
                <w:bCs/>
                <w:i/>
                <w:sz w:val="24"/>
                <w:szCs w:val="24"/>
                <w:lang w:eastAsia="fr-FR"/>
              </w:rPr>
              <w:t>limite d’un plafond par mètre carré de surface habitable fixé à 5.500 €</w:t>
            </w:r>
            <w:r w:rsidRPr="00F426A7">
              <w:rPr>
                <w:rFonts w:ascii="Times New Roman" w:eastAsia="Times New Roman" w:hAnsi="Times New Roman" w:cs="Times New Roman"/>
                <w:i/>
                <w:sz w:val="24"/>
                <w:szCs w:val="24"/>
                <w:lang w:eastAsia="fr-FR"/>
              </w:rPr>
              <w:t xml:space="preserve"> (La notion de surface habitable est identique à celle du </w:t>
            </w:r>
            <w:proofErr w:type="spellStart"/>
            <w:r w:rsidRPr="00F426A7">
              <w:rPr>
                <w:rFonts w:ascii="Times New Roman" w:eastAsia="Times New Roman" w:hAnsi="Times New Roman" w:cs="Times New Roman"/>
                <w:i/>
                <w:sz w:val="24"/>
                <w:szCs w:val="24"/>
                <w:lang w:eastAsia="fr-FR"/>
              </w:rPr>
              <w:t>Scellier</w:t>
            </w:r>
            <w:proofErr w:type="spellEnd"/>
            <w:r w:rsidRPr="00F426A7">
              <w:rPr>
                <w:rFonts w:ascii="Times New Roman" w:eastAsia="Times New Roman" w:hAnsi="Times New Roman" w:cs="Times New Roman"/>
                <w:i/>
                <w:sz w:val="24"/>
                <w:szCs w:val="24"/>
                <w:lang w:eastAsia="fr-FR"/>
              </w:rPr>
              <w:t>) ;</w:t>
            </w:r>
          </w:p>
          <w:p w:rsidR="00F426A7" w:rsidRPr="00F426A7" w:rsidRDefault="00F426A7" w:rsidP="00F426A7">
            <w:pPr>
              <w:spacing w:before="100" w:beforeAutospacing="1" w:after="100" w:afterAutospacing="1" w:line="360" w:lineRule="auto"/>
              <w:ind w:hanging="360"/>
              <w:jc w:val="both"/>
              <w:rPr>
                <w:rFonts w:ascii="Times New Roman" w:eastAsia="Times New Roman" w:hAnsi="Times New Roman" w:cs="Times New Roman"/>
                <w:i/>
                <w:sz w:val="24"/>
                <w:szCs w:val="24"/>
                <w:lang w:eastAsia="fr-FR"/>
              </w:rPr>
            </w:pPr>
            <w:r w:rsidRPr="00F426A7">
              <w:rPr>
                <w:rFonts w:ascii="Times New Roman" w:eastAsia="Times New Roman" w:hAnsi="Times New Roman" w:cs="Times New Roman"/>
                <w:i/>
                <w:color w:val="1F497D"/>
                <w:sz w:val="24"/>
                <w:szCs w:val="24"/>
                <w:lang w:eastAsia="fr-FR"/>
              </w:rPr>
              <w:t xml:space="preserve">§  </w:t>
            </w:r>
            <w:r>
              <w:rPr>
                <w:rFonts w:ascii="Times New Roman" w:eastAsia="Times New Roman" w:hAnsi="Times New Roman" w:cs="Times New Roman"/>
                <w:i/>
                <w:color w:val="1F497D"/>
                <w:sz w:val="24"/>
                <w:szCs w:val="24"/>
                <w:lang w:eastAsia="fr-FR"/>
              </w:rPr>
              <w:t xml:space="preserve"> </w:t>
            </w:r>
            <w:r w:rsidRPr="00F426A7">
              <w:rPr>
                <w:rFonts w:ascii="Times New Roman" w:eastAsia="Times New Roman" w:hAnsi="Times New Roman" w:cs="Times New Roman"/>
                <w:b/>
                <w:bCs/>
                <w:i/>
                <w:sz w:val="24"/>
                <w:szCs w:val="24"/>
                <w:lang w:eastAsia="fr-FR"/>
              </w:rPr>
              <w:t>L’assiette de réduction d’impôt ne peut excéder globalement 300.000 € par an </w:t>
            </w:r>
            <w:r w:rsidRPr="00F426A7">
              <w:rPr>
                <w:rFonts w:ascii="Times New Roman" w:eastAsia="Times New Roman" w:hAnsi="Times New Roman" w:cs="Times New Roman"/>
                <w:i/>
                <w:sz w:val="24"/>
                <w:szCs w:val="24"/>
                <w:lang w:eastAsia="fr-FR"/>
              </w:rPr>
              <w:t>;</w:t>
            </w:r>
          </w:p>
          <w:p w:rsidR="00F426A7" w:rsidRPr="00F426A7" w:rsidRDefault="00F426A7" w:rsidP="00F426A7">
            <w:pPr>
              <w:spacing w:before="100" w:beforeAutospacing="1" w:after="100" w:afterAutospacing="1" w:line="360" w:lineRule="auto"/>
              <w:ind w:hanging="360"/>
              <w:jc w:val="both"/>
              <w:rPr>
                <w:rFonts w:ascii="Times New Roman" w:eastAsia="Times New Roman" w:hAnsi="Times New Roman" w:cs="Times New Roman"/>
                <w:i/>
                <w:sz w:val="24"/>
                <w:szCs w:val="24"/>
                <w:lang w:eastAsia="fr-FR"/>
              </w:rPr>
            </w:pPr>
            <w:r w:rsidRPr="00F426A7">
              <w:rPr>
                <w:rFonts w:ascii="Times New Roman" w:eastAsia="Times New Roman" w:hAnsi="Times New Roman" w:cs="Times New Roman"/>
                <w:i/>
                <w:color w:val="1F497D"/>
                <w:sz w:val="24"/>
                <w:szCs w:val="24"/>
                <w:lang w:eastAsia="fr-FR"/>
              </w:rPr>
              <w:t xml:space="preserve">§  </w:t>
            </w:r>
            <w:r w:rsidRPr="00F426A7">
              <w:rPr>
                <w:rFonts w:ascii="Times New Roman" w:eastAsia="Times New Roman" w:hAnsi="Times New Roman" w:cs="Times New Roman"/>
                <w:i/>
                <w:sz w:val="24"/>
                <w:szCs w:val="24"/>
                <w:lang w:eastAsia="fr-FR"/>
              </w:rPr>
              <w:t xml:space="preserve">La </w:t>
            </w:r>
            <w:r w:rsidRPr="00F426A7">
              <w:rPr>
                <w:rFonts w:ascii="Times New Roman" w:eastAsia="Times New Roman" w:hAnsi="Times New Roman" w:cs="Times New Roman"/>
                <w:b/>
                <w:bCs/>
                <w:i/>
                <w:sz w:val="24"/>
                <w:szCs w:val="24"/>
                <w:lang w:eastAsia="fr-FR"/>
              </w:rPr>
              <w:t>location doit prendre effet dans les 12 mois</w:t>
            </w:r>
            <w:r w:rsidRPr="00F426A7">
              <w:rPr>
                <w:rFonts w:ascii="Times New Roman" w:eastAsia="Times New Roman" w:hAnsi="Times New Roman" w:cs="Times New Roman"/>
                <w:i/>
                <w:sz w:val="24"/>
                <w:szCs w:val="24"/>
                <w:lang w:eastAsia="fr-FR"/>
              </w:rPr>
              <w:t xml:space="preserve"> qui suivent la date d’achèvement ou de l’acquisition ;</w:t>
            </w:r>
          </w:p>
          <w:p w:rsidR="00F426A7" w:rsidRPr="00F426A7" w:rsidRDefault="00F426A7" w:rsidP="00F426A7">
            <w:pPr>
              <w:spacing w:before="100" w:beforeAutospacing="1" w:after="100" w:afterAutospacing="1" w:line="360" w:lineRule="auto"/>
              <w:ind w:hanging="360"/>
              <w:jc w:val="both"/>
              <w:rPr>
                <w:rFonts w:ascii="Times New Roman" w:eastAsia="Times New Roman" w:hAnsi="Times New Roman" w:cs="Times New Roman"/>
                <w:sz w:val="24"/>
                <w:szCs w:val="24"/>
                <w:lang w:eastAsia="fr-FR"/>
              </w:rPr>
            </w:pPr>
            <w:r w:rsidRPr="00F426A7">
              <w:rPr>
                <w:rFonts w:ascii="Times New Roman" w:eastAsia="Times New Roman" w:hAnsi="Times New Roman" w:cs="Times New Roman"/>
                <w:i/>
                <w:color w:val="1F497D"/>
                <w:sz w:val="24"/>
                <w:szCs w:val="24"/>
                <w:lang w:eastAsia="fr-FR"/>
              </w:rPr>
              <w:t xml:space="preserve">§  </w:t>
            </w:r>
            <w:r w:rsidRPr="00F426A7">
              <w:rPr>
                <w:rFonts w:ascii="Times New Roman" w:eastAsia="Times New Roman" w:hAnsi="Times New Roman" w:cs="Times New Roman"/>
                <w:i/>
                <w:sz w:val="24"/>
                <w:szCs w:val="24"/>
                <w:lang w:eastAsia="fr-FR"/>
              </w:rPr>
              <w:t xml:space="preserve">La réduction d’impôt entre dans le </w:t>
            </w:r>
            <w:r w:rsidRPr="00F426A7">
              <w:rPr>
                <w:rFonts w:ascii="Times New Roman" w:eastAsia="Times New Roman" w:hAnsi="Times New Roman" w:cs="Times New Roman"/>
                <w:b/>
                <w:bCs/>
                <w:i/>
                <w:sz w:val="24"/>
                <w:szCs w:val="24"/>
                <w:lang w:eastAsia="fr-FR"/>
              </w:rPr>
              <w:t>plafond des niches fiscales ramené à 10.000 €</w:t>
            </w:r>
            <w:r w:rsidRPr="00F426A7">
              <w:rPr>
                <w:rFonts w:ascii="Times New Roman" w:eastAsia="Times New Roman" w:hAnsi="Times New Roman" w:cs="Times New Roman"/>
                <w:i/>
                <w:sz w:val="24"/>
                <w:szCs w:val="24"/>
                <w:lang w:eastAsia="fr-FR"/>
              </w:rPr>
              <w:t xml:space="preserve"> pour l’année 2013.</w:t>
            </w:r>
          </w:p>
        </w:tc>
      </w:tr>
    </w:tbl>
    <w:p w:rsidR="00F426A7" w:rsidRPr="00F426A7" w:rsidRDefault="00F426A7" w:rsidP="00F426A7">
      <w:pPr>
        <w:spacing w:before="100" w:beforeAutospacing="1" w:after="100" w:afterAutospacing="1" w:line="24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lastRenderedPageBreak/>
        <w:t> </w:t>
      </w:r>
    </w:p>
    <w:p w:rsidR="00F426A7" w:rsidRPr="00F426A7" w:rsidRDefault="00F426A7" w:rsidP="00F426A7">
      <w:pPr>
        <w:spacing w:before="100" w:beforeAutospacing="1" w:after="100" w:afterAutospacing="1" w:line="360" w:lineRule="auto"/>
        <w:rPr>
          <w:rFonts w:ascii="Times New Roman" w:eastAsia="Times New Roman" w:hAnsi="Times New Roman" w:cs="Times New Roman"/>
          <w:color w:val="943634" w:themeColor="accent2" w:themeShade="BF"/>
          <w:sz w:val="28"/>
          <w:szCs w:val="28"/>
          <w:u w:val="single"/>
          <w:lang w:eastAsia="fr-FR"/>
        </w:rPr>
      </w:pPr>
      <w:r w:rsidRPr="00F426A7">
        <w:rPr>
          <w:rFonts w:ascii="Times New Roman" w:eastAsia="Times New Roman" w:hAnsi="Times New Roman" w:cs="Times New Roman"/>
          <w:b/>
          <w:bCs/>
          <w:color w:val="943634" w:themeColor="accent2" w:themeShade="BF"/>
          <w:sz w:val="28"/>
          <w:szCs w:val="28"/>
          <w:u w:val="single"/>
          <w:lang w:eastAsia="fr-FR"/>
        </w:rPr>
        <w:t>Un investissement accessible à un plus grand nombre</w:t>
      </w:r>
    </w:p>
    <w:p w:rsidR="00F426A7" w:rsidRPr="00F426A7" w:rsidRDefault="00F426A7" w:rsidP="00F426A7">
      <w:pPr>
        <w:spacing w:before="100" w:beforeAutospacing="1" w:after="100" w:afterAutospacing="1" w:line="36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L’investissement immobilier </w:t>
      </w:r>
      <w:proofErr w:type="spellStart"/>
      <w:r w:rsidRPr="00F426A7">
        <w:rPr>
          <w:rFonts w:ascii="Times New Roman" w:eastAsia="Times New Roman" w:hAnsi="Times New Roman" w:cs="Times New Roman"/>
          <w:sz w:val="24"/>
          <w:szCs w:val="24"/>
          <w:lang w:eastAsia="fr-FR"/>
        </w:rPr>
        <w:t>Duflot</w:t>
      </w:r>
      <w:proofErr w:type="spellEnd"/>
      <w:r w:rsidRPr="00F426A7">
        <w:rPr>
          <w:rFonts w:ascii="Times New Roman" w:eastAsia="Times New Roman" w:hAnsi="Times New Roman" w:cs="Times New Roman"/>
          <w:sz w:val="24"/>
          <w:szCs w:val="24"/>
          <w:lang w:eastAsia="fr-FR"/>
        </w:rPr>
        <w:t xml:space="preserve"> est adapté à tous les contribuables quelle que soit la tranche marginale d’imposition et son effort d’épargne.</w:t>
      </w:r>
    </w:p>
    <w:tbl>
      <w:tblPr>
        <w:tblW w:w="0" w:type="auto"/>
        <w:tblCellMar>
          <w:left w:w="0" w:type="dxa"/>
          <w:right w:w="0" w:type="dxa"/>
        </w:tblCellMar>
        <w:tblLook w:val="04A0"/>
      </w:tblPr>
      <w:tblGrid>
        <w:gridCol w:w="1983"/>
        <w:gridCol w:w="1461"/>
        <w:gridCol w:w="1461"/>
        <w:gridCol w:w="1461"/>
        <w:gridCol w:w="1461"/>
        <w:gridCol w:w="1461"/>
      </w:tblGrid>
      <w:tr w:rsidR="00F426A7" w:rsidRPr="00F426A7" w:rsidTr="00F426A7">
        <w:tc>
          <w:tcPr>
            <w:tcW w:w="2260" w:type="dxa"/>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F426A7" w:rsidRPr="00F426A7" w:rsidRDefault="00F426A7" w:rsidP="00F426A7">
            <w:pPr>
              <w:spacing w:before="60" w:after="60"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Effort d’épargne</w:t>
            </w:r>
          </w:p>
        </w:tc>
        <w:tc>
          <w:tcPr>
            <w:tcW w:w="1842"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426A7" w:rsidRPr="00F426A7" w:rsidRDefault="00F426A7" w:rsidP="00F426A7">
            <w:pPr>
              <w:spacing w:before="60" w:after="60"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500 € / mois</w:t>
            </w:r>
          </w:p>
        </w:tc>
        <w:tc>
          <w:tcPr>
            <w:tcW w:w="1843"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426A7" w:rsidRPr="00F426A7" w:rsidRDefault="00F426A7" w:rsidP="00F426A7">
            <w:pPr>
              <w:spacing w:before="60" w:after="60"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600 € / mois</w:t>
            </w:r>
          </w:p>
        </w:tc>
        <w:tc>
          <w:tcPr>
            <w:tcW w:w="1843"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426A7" w:rsidRPr="00F426A7" w:rsidRDefault="00F426A7" w:rsidP="00F426A7">
            <w:pPr>
              <w:spacing w:before="60" w:after="60"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700 € / mois</w:t>
            </w:r>
          </w:p>
        </w:tc>
        <w:tc>
          <w:tcPr>
            <w:tcW w:w="1843"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426A7" w:rsidRPr="00F426A7" w:rsidRDefault="00F426A7" w:rsidP="00F426A7">
            <w:pPr>
              <w:spacing w:before="60" w:after="60"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800 € / mois</w:t>
            </w:r>
          </w:p>
        </w:tc>
        <w:tc>
          <w:tcPr>
            <w:tcW w:w="1843" w:type="dxa"/>
            <w:tcBorders>
              <w:top w:val="single" w:sz="8" w:space="0" w:color="auto"/>
              <w:left w:val="nil"/>
              <w:bottom w:val="single" w:sz="8" w:space="0" w:color="auto"/>
              <w:right w:val="single" w:sz="8" w:space="0" w:color="auto"/>
            </w:tcBorders>
            <w:shd w:val="clear" w:color="auto" w:fill="9BBB59"/>
            <w:tcMar>
              <w:top w:w="0" w:type="dxa"/>
              <w:left w:w="108" w:type="dxa"/>
              <w:bottom w:w="0" w:type="dxa"/>
              <w:right w:w="108" w:type="dxa"/>
            </w:tcMar>
            <w:vAlign w:val="center"/>
            <w:hideMark/>
          </w:tcPr>
          <w:p w:rsidR="00F426A7" w:rsidRPr="00F426A7" w:rsidRDefault="00F426A7" w:rsidP="00F426A7">
            <w:pPr>
              <w:spacing w:before="60" w:after="60"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900 € / mois</w:t>
            </w:r>
          </w:p>
        </w:tc>
      </w:tr>
      <w:tr w:rsidR="00F426A7" w:rsidRPr="00F426A7" w:rsidTr="00F426A7">
        <w:tc>
          <w:tcPr>
            <w:tcW w:w="2260" w:type="dxa"/>
            <w:tcBorders>
              <w:top w:val="nil"/>
              <w:left w:val="single" w:sz="8" w:space="0" w:color="auto"/>
              <w:bottom w:val="single" w:sz="8" w:space="0" w:color="auto"/>
              <w:right w:val="single" w:sz="8" w:space="0" w:color="auto"/>
            </w:tcBorders>
            <w:shd w:val="clear" w:color="auto" w:fill="C0B9A6"/>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Investissement </w:t>
            </w:r>
            <w:r w:rsidRPr="00F426A7">
              <w:rPr>
                <w:rFonts w:ascii="Times New Roman" w:eastAsia="Times New Roman" w:hAnsi="Times New Roman" w:cs="Times New Roman"/>
                <w:i/>
                <w:iCs/>
                <w:sz w:val="24"/>
                <w:szCs w:val="24"/>
                <w:lang w:eastAsia="fr-FR"/>
              </w:rPr>
              <w:t>(frais d’actes et de prêt inclus)</w:t>
            </w:r>
          </w:p>
        </w:tc>
        <w:tc>
          <w:tcPr>
            <w:tcW w:w="1842" w:type="dxa"/>
            <w:tcBorders>
              <w:top w:val="nil"/>
              <w:left w:val="nil"/>
              <w:bottom w:val="single" w:sz="8" w:space="0" w:color="auto"/>
              <w:right w:val="single" w:sz="8" w:space="0" w:color="auto"/>
            </w:tcBorders>
            <w:shd w:val="clear" w:color="auto" w:fill="C0B9A6"/>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150.000 € à 170.000 €</w:t>
            </w:r>
          </w:p>
        </w:tc>
        <w:tc>
          <w:tcPr>
            <w:tcW w:w="1843" w:type="dxa"/>
            <w:tcBorders>
              <w:top w:val="nil"/>
              <w:left w:val="nil"/>
              <w:bottom w:val="single" w:sz="8" w:space="0" w:color="auto"/>
              <w:right w:val="single" w:sz="8" w:space="0" w:color="auto"/>
            </w:tcBorders>
            <w:shd w:val="clear" w:color="auto" w:fill="C0B9A6"/>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180.000 € à 200.000 €</w:t>
            </w:r>
          </w:p>
        </w:tc>
        <w:tc>
          <w:tcPr>
            <w:tcW w:w="1843" w:type="dxa"/>
            <w:tcBorders>
              <w:top w:val="nil"/>
              <w:left w:val="nil"/>
              <w:bottom w:val="single" w:sz="8" w:space="0" w:color="auto"/>
              <w:right w:val="single" w:sz="8" w:space="0" w:color="auto"/>
            </w:tcBorders>
            <w:shd w:val="clear" w:color="auto" w:fill="C0B9A6"/>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220.000 € à 240.000 €</w:t>
            </w:r>
          </w:p>
        </w:tc>
        <w:tc>
          <w:tcPr>
            <w:tcW w:w="1843" w:type="dxa"/>
            <w:tcBorders>
              <w:top w:val="nil"/>
              <w:left w:val="nil"/>
              <w:bottom w:val="single" w:sz="8" w:space="0" w:color="auto"/>
              <w:right w:val="single" w:sz="8" w:space="0" w:color="auto"/>
            </w:tcBorders>
            <w:shd w:val="clear" w:color="auto" w:fill="C0B9A6"/>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250.000 € à 270.000 €</w:t>
            </w:r>
          </w:p>
        </w:tc>
        <w:tc>
          <w:tcPr>
            <w:tcW w:w="1843" w:type="dxa"/>
            <w:tcBorders>
              <w:top w:val="nil"/>
              <w:left w:val="nil"/>
              <w:bottom w:val="single" w:sz="8" w:space="0" w:color="auto"/>
              <w:right w:val="single" w:sz="8" w:space="0" w:color="auto"/>
            </w:tcBorders>
            <w:shd w:val="clear" w:color="auto" w:fill="C0B9A6"/>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290.000 € à 300.000 €</w:t>
            </w:r>
          </w:p>
        </w:tc>
      </w:tr>
      <w:tr w:rsidR="00F426A7" w:rsidRPr="00F426A7" w:rsidTr="00F426A7">
        <w:tc>
          <w:tcPr>
            <w:tcW w:w="2260" w:type="dxa"/>
            <w:tcBorders>
              <w:top w:val="nil"/>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Réduction d’IR pendant 9 ans</w:t>
            </w:r>
          </w:p>
        </w:tc>
        <w:tc>
          <w:tcPr>
            <w:tcW w:w="1842"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3.000 à 3.400 €</w:t>
            </w:r>
          </w:p>
        </w:tc>
        <w:tc>
          <w:tcPr>
            <w:tcW w:w="1843"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3.600 à 4.000 €</w:t>
            </w:r>
          </w:p>
        </w:tc>
        <w:tc>
          <w:tcPr>
            <w:tcW w:w="1843"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4.400 à 4.800 €</w:t>
            </w:r>
          </w:p>
        </w:tc>
        <w:tc>
          <w:tcPr>
            <w:tcW w:w="1843"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5.000 à 5.400 €</w:t>
            </w:r>
          </w:p>
        </w:tc>
        <w:tc>
          <w:tcPr>
            <w:tcW w:w="1843"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F426A7" w:rsidRPr="00F426A7" w:rsidRDefault="00F426A7" w:rsidP="00F426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FFFFFF"/>
                <w:sz w:val="24"/>
                <w:szCs w:val="24"/>
                <w:lang w:eastAsia="fr-FR"/>
              </w:rPr>
              <w:t>5.800 à 6.000 €</w:t>
            </w:r>
          </w:p>
        </w:tc>
      </w:tr>
    </w:tbl>
    <w:p w:rsidR="00F426A7" w:rsidRPr="00F426A7" w:rsidRDefault="00F426A7" w:rsidP="00F426A7">
      <w:pPr>
        <w:spacing w:before="100" w:beforeAutospacing="1" w:after="100" w:afterAutospacing="1" w:line="24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i/>
          <w:iCs/>
          <w:sz w:val="24"/>
          <w:szCs w:val="24"/>
          <w:lang w:eastAsia="fr-FR"/>
        </w:rPr>
        <w:t xml:space="preserve">Hypothèses retenues : Crédit amortissable sur 20 ans au taux de 3,25% (+ ADI 0,35%). Taux de rendement brut : de 3% à 4% par an selon le programme. </w:t>
      </w:r>
    </w:p>
    <w:p w:rsidR="00F426A7" w:rsidRPr="00F426A7" w:rsidRDefault="00F426A7" w:rsidP="00F426A7">
      <w:pPr>
        <w:spacing w:before="100" w:beforeAutospacing="1" w:after="100" w:afterAutospacing="1" w:line="24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i/>
          <w:iCs/>
          <w:sz w:val="24"/>
          <w:szCs w:val="24"/>
          <w:lang w:eastAsia="fr-FR"/>
        </w:rPr>
        <w:t>Charges locatives et impôts fonciers : 15% à 20% du loyer brut selon le programme. Revalorisation des loyers : 1,5% par an</w:t>
      </w:r>
    </w:p>
    <w:p w:rsidR="00F426A7" w:rsidRDefault="00F426A7" w:rsidP="00F426A7">
      <w:pPr>
        <w:spacing w:before="100" w:beforeAutospacing="1" w:after="100" w:afterAutospacing="1" w:line="36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w:t>
      </w:r>
    </w:p>
    <w:p w:rsidR="00F426A7" w:rsidRPr="00F426A7" w:rsidRDefault="00F426A7" w:rsidP="00F426A7">
      <w:pPr>
        <w:spacing w:before="100" w:beforeAutospacing="1" w:after="100" w:afterAutospacing="1" w:line="36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b/>
          <w:bCs/>
          <w:color w:val="943634" w:themeColor="accent2" w:themeShade="BF"/>
          <w:sz w:val="28"/>
          <w:szCs w:val="28"/>
          <w:u w:val="single"/>
          <w:lang w:eastAsia="fr-FR"/>
        </w:rPr>
        <w:t xml:space="preserve">Les précisions attendues </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sz w:val="24"/>
          <w:szCs w:val="24"/>
          <w:lang w:eastAsia="fr-FR"/>
        </w:rPr>
        <w:t xml:space="preserve">Le dispositif </w:t>
      </w:r>
      <w:proofErr w:type="spellStart"/>
      <w:r w:rsidRPr="00F426A7">
        <w:rPr>
          <w:rFonts w:ascii="Times New Roman" w:eastAsia="Times New Roman" w:hAnsi="Times New Roman" w:cs="Times New Roman"/>
          <w:sz w:val="24"/>
          <w:szCs w:val="24"/>
          <w:lang w:eastAsia="fr-FR"/>
        </w:rPr>
        <w:t>Duflot</w:t>
      </w:r>
      <w:proofErr w:type="spellEnd"/>
      <w:r w:rsidRPr="00F426A7">
        <w:rPr>
          <w:rFonts w:ascii="Times New Roman" w:eastAsia="Times New Roman" w:hAnsi="Times New Roman" w:cs="Times New Roman"/>
          <w:sz w:val="24"/>
          <w:szCs w:val="24"/>
          <w:lang w:eastAsia="fr-FR"/>
        </w:rPr>
        <w:t xml:space="preserve"> est applicable </w:t>
      </w:r>
      <w:r w:rsidRPr="00F426A7">
        <w:rPr>
          <w:rFonts w:ascii="Times New Roman" w:eastAsia="Times New Roman" w:hAnsi="Times New Roman" w:cs="Times New Roman"/>
          <w:b/>
          <w:bCs/>
          <w:color w:val="76923C" w:themeColor="accent3" w:themeShade="BF"/>
          <w:sz w:val="24"/>
          <w:szCs w:val="24"/>
          <w:lang w:eastAsia="fr-FR"/>
        </w:rPr>
        <w:t>aux contribuables personnes physiques fiscalement domiciliés en France</w:t>
      </w:r>
      <w:r w:rsidRPr="00F426A7">
        <w:rPr>
          <w:rFonts w:ascii="Times New Roman" w:eastAsia="Times New Roman" w:hAnsi="Times New Roman" w:cs="Times New Roman"/>
          <w:sz w:val="24"/>
          <w:szCs w:val="24"/>
          <w:lang w:eastAsia="fr-FR"/>
        </w:rPr>
        <w:t>. L’administration fiscale précise qu’il concerne également :</w:t>
      </w:r>
    </w:p>
    <w:p w:rsidR="00F426A7" w:rsidRPr="00F426A7" w:rsidRDefault="00F426A7" w:rsidP="00F426A7">
      <w:pPr>
        <w:spacing w:before="100" w:beforeAutospacing="1" w:after="100" w:afterAutospacing="1" w:line="360" w:lineRule="auto"/>
        <w:ind w:left="1775" w:hanging="357"/>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         </w:t>
      </w:r>
      <w:r w:rsidRPr="00F426A7">
        <w:rPr>
          <w:rFonts w:ascii="Times New Roman" w:eastAsia="Times New Roman" w:hAnsi="Times New Roman" w:cs="Times New Roman"/>
          <w:b/>
          <w:bCs/>
          <w:color w:val="76923C" w:themeColor="accent3" w:themeShade="BF"/>
          <w:sz w:val="24"/>
          <w:szCs w:val="24"/>
          <w:lang w:eastAsia="fr-FR"/>
        </w:rPr>
        <w:t>Les résidents monégasques</w:t>
      </w:r>
      <w:r w:rsidRPr="00F426A7">
        <w:rPr>
          <w:rFonts w:ascii="Times New Roman" w:eastAsia="Times New Roman" w:hAnsi="Times New Roman" w:cs="Times New Roman"/>
          <w:sz w:val="24"/>
          <w:szCs w:val="24"/>
          <w:lang w:eastAsia="fr-FR"/>
        </w:rPr>
        <w:t xml:space="preserve"> assujettis en France à l’impôt sur le revenu ;</w:t>
      </w:r>
    </w:p>
    <w:p w:rsidR="00F426A7" w:rsidRPr="00F426A7" w:rsidRDefault="00F426A7" w:rsidP="00F426A7">
      <w:pPr>
        <w:spacing w:before="100" w:beforeAutospacing="1" w:after="100" w:afterAutospacing="1" w:line="360" w:lineRule="auto"/>
        <w:ind w:left="1775" w:hanging="357"/>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         </w:t>
      </w:r>
      <w:r w:rsidRPr="00F426A7">
        <w:rPr>
          <w:rFonts w:ascii="Times New Roman" w:eastAsia="Times New Roman" w:hAnsi="Times New Roman" w:cs="Times New Roman"/>
          <w:b/>
          <w:bCs/>
          <w:color w:val="76923C" w:themeColor="accent3" w:themeShade="BF"/>
          <w:sz w:val="24"/>
          <w:szCs w:val="24"/>
          <w:lang w:eastAsia="fr-FR"/>
        </w:rPr>
        <w:t>Les agents de l’Etat</w:t>
      </w:r>
      <w:r w:rsidRPr="00F426A7">
        <w:rPr>
          <w:rFonts w:ascii="Times New Roman" w:eastAsia="Times New Roman" w:hAnsi="Times New Roman" w:cs="Times New Roman"/>
          <w:sz w:val="24"/>
          <w:szCs w:val="24"/>
          <w:lang w:eastAsia="fr-FR"/>
        </w:rPr>
        <w:t xml:space="preserve"> qui </w:t>
      </w:r>
      <w:proofErr w:type="gramStart"/>
      <w:r w:rsidRPr="00F426A7">
        <w:rPr>
          <w:rFonts w:ascii="Times New Roman" w:eastAsia="Times New Roman" w:hAnsi="Times New Roman" w:cs="Times New Roman"/>
          <w:sz w:val="24"/>
          <w:szCs w:val="24"/>
          <w:lang w:eastAsia="fr-FR"/>
        </w:rPr>
        <w:t>exercent</w:t>
      </w:r>
      <w:proofErr w:type="gramEnd"/>
      <w:r w:rsidRPr="00F426A7">
        <w:rPr>
          <w:rFonts w:ascii="Times New Roman" w:eastAsia="Times New Roman" w:hAnsi="Times New Roman" w:cs="Times New Roman"/>
          <w:sz w:val="24"/>
          <w:szCs w:val="24"/>
          <w:lang w:eastAsia="fr-FR"/>
        </w:rPr>
        <w:t xml:space="preserve"> leurs fonctions ou leurs missions dans un pays étranger et qui ne sont pas soumis dans ce pays à un impôt personnel sur l’ensemble des revenus ;</w:t>
      </w:r>
    </w:p>
    <w:p w:rsidR="00F426A7" w:rsidRPr="00F426A7" w:rsidRDefault="00F426A7" w:rsidP="00F426A7">
      <w:pPr>
        <w:spacing w:before="100" w:beforeAutospacing="1" w:after="100" w:afterAutospacing="1" w:line="360" w:lineRule="auto"/>
        <w:ind w:left="1775" w:hanging="357"/>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         </w:t>
      </w:r>
      <w:r w:rsidRPr="00F426A7">
        <w:rPr>
          <w:rFonts w:ascii="Times New Roman" w:eastAsia="Times New Roman" w:hAnsi="Times New Roman" w:cs="Times New Roman"/>
          <w:b/>
          <w:bCs/>
          <w:color w:val="76923C" w:themeColor="accent3" w:themeShade="BF"/>
          <w:sz w:val="24"/>
          <w:szCs w:val="24"/>
          <w:lang w:eastAsia="fr-FR"/>
        </w:rPr>
        <w:t xml:space="preserve">Les non-résidents </w:t>
      </w:r>
      <w:proofErr w:type="spellStart"/>
      <w:r w:rsidRPr="00F426A7">
        <w:rPr>
          <w:rFonts w:ascii="Times New Roman" w:eastAsia="Times New Roman" w:hAnsi="Times New Roman" w:cs="Times New Roman"/>
          <w:b/>
          <w:bCs/>
          <w:color w:val="76923C" w:themeColor="accent3" w:themeShade="BF"/>
          <w:sz w:val="24"/>
          <w:szCs w:val="24"/>
          <w:lang w:eastAsia="fr-FR"/>
        </w:rPr>
        <w:t>Schumaker</w:t>
      </w:r>
      <w:proofErr w:type="spellEnd"/>
      <w:r w:rsidRPr="00F426A7">
        <w:rPr>
          <w:rFonts w:ascii="Times New Roman" w:eastAsia="Times New Roman" w:hAnsi="Times New Roman" w:cs="Times New Roman"/>
          <w:sz w:val="24"/>
          <w:szCs w:val="24"/>
          <w:lang w:eastAsia="fr-FR"/>
        </w:rPr>
        <w:t xml:space="preserve"> (contribuables non résidents percevant de France l’essentiel de leurs revenus imposables au sens de la CJCE).</w:t>
      </w:r>
    </w:p>
    <w:p w:rsidR="00F426A7" w:rsidRPr="00F426A7" w:rsidRDefault="00F426A7" w:rsidP="00F426A7">
      <w:pPr>
        <w:spacing w:before="100" w:beforeAutospacing="1" w:after="100" w:afterAutospacing="1" w:line="360" w:lineRule="auto"/>
        <w:ind w:left="708"/>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xml:space="preserve">En revanche, les personnes fiscalement domiciliées hors de France et qui sont passibles de l’impôt sur le revenu à raison de leurs seuls revenus de source française ne peuvent pas bénéficier de la réduction d’impôt. </w:t>
      </w:r>
      <w:r w:rsidRPr="00F426A7">
        <w:rPr>
          <w:rFonts w:ascii="Times New Roman" w:eastAsia="Times New Roman" w:hAnsi="Times New Roman" w:cs="Times New Roman"/>
          <w:i/>
          <w:iCs/>
          <w:sz w:val="24"/>
          <w:szCs w:val="24"/>
          <w:lang w:eastAsia="fr-FR"/>
        </w:rPr>
        <w:t xml:space="preserve">Sont notamment exclus les résidents </w:t>
      </w:r>
      <w:r w:rsidRPr="00F426A7">
        <w:rPr>
          <w:rFonts w:ascii="Times New Roman" w:eastAsia="Times New Roman" w:hAnsi="Times New Roman" w:cs="Times New Roman"/>
          <w:i/>
          <w:iCs/>
          <w:sz w:val="24"/>
          <w:szCs w:val="24"/>
          <w:lang w:eastAsia="fr-FR"/>
        </w:rPr>
        <w:lastRenderedPageBreak/>
        <w:t>fiscaux de Polynésie française, des îles Wallis et Futuna, de Mayotte, de Saint-Martin, de Saint-Barthélemy et de Nouvelle-Calédonie</w:t>
      </w:r>
      <w:r w:rsidRPr="00F426A7">
        <w:rPr>
          <w:rFonts w:ascii="Times New Roman" w:eastAsia="Times New Roman" w:hAnsi="Times New Roman" w:cs="Times New Roman"/>
          <w:sz w:val="24"/>
          <w:szCs w:val="24"/>
          <w:lang w:eastAsia="fr-FR"/>
        </w:rPr>
        <w:t>. </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sz w:val="24"/>
          <w:szCs w:val="24"/>
          <w:lang w:eastAsia="fr-FR"/>
        </w:rPr>
        <w:t xml:space="preserve">Le </w:t>
      </w:r>
      <w:r w:rsidRPr="00F426A7">
        <w:rPr>
          <w:rFonts w:ascii="Times New Roman" w:eastAsia="Times New Roman" w:hAnsi="Times New Roman" w:cs="Times New Roman"/>
          <w:b/>
          <w:bCs/>
          <w:color w:val="76923C" w:themeColor="accent3" w:themeShade="BF"/>
          <w:sz w:val="24"/>
          <w:szCs w:val="24"/>
          <w:lang w:eastAsia="fr-FR"/>
        </w:rPr>
        <w:t>bénéfice de la réduction d’impôt est perdu pour les années de domiciliation à l’étranger</w:t>
      </w:r>
      <w:r w:rsidRPr="00F426A7">
        <w:rPr>
          <w:rFonts w:ascii="Times New Roman" w:eastAsia="Times New Roman" w:hAnsi="Times New Roman" w:cs="Times New Roman"/>
          <w:sz w:val="24"/>
          <w:szCs w:val="24"/>
          <w:lang w:eastAsia="fr-FR"/>
        </w:rPr>
        <w:t>. Le transfert du domicile à l’étranger ne remet pas en cause l’avantage obtenu jusqu’à la date de ce transfert. Néanmoins, pendant les périodes d’expatriation, la réduction ne peut plus être imputée et ne peut faire l’objet d’aucune imputation ultérieure, lors du retour en France par exemple.</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b/>
          <w:bCs/>
          <w:color w:val="76923C" w:themeColor="accent3" w:themeShade="BF"/>
          <w:sz w:val="24"/>
          <w:szCs w:val="24"/>
          <w:lang w:eastAsia="fr-FR"/>
        </w:rPr>
        <w:t>Les logements financés au moyen d’un prêt locatif social (PLS)</w:t>
      </w:r>
      <w:r w:rsidRPr="00F426A7">
        <w:rPr>
          <w:rFonts w:ascii="Times New Roman" w:eastAsia="Times New Roman" w:hAnsi="Times New Roman" w:cs="Times New Roman"/>
          <w:sz w:val="24"/>
          <w:szCs w:val="24"/>
          <w:lang w:eastAsia="fr-FR"/>
        </w:rPr>
        <w:t xml:space="preserve"> sont exclus du dispositif.</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b/>
          <w:bCs/>
          <w:color w:val="76923C" w:themeColor="accent3" w:themeShade="BF"/>
          <w:sz w:val="24"/>
          <w:szCs w:val="24"/>
          <w:lang w:eastAsia="fr-FR"/>
        </w:rPr>
        <w:t xml:space="preserve">Les modes de détention du bien sont également alignés sur le </w:t>
      </w:r>
      <w:proofErr w:type="spellStart"/>
      <w:r w:rsidRPr="00F426A7">
        <w:rPr>
          <w:rFonts w:ascii="Times New Roman" w:eastAsia="Times New Roman" w:hAnsi="Times New Roman" w:cs="Times New Roman"/>
          <w:b/>
          <w:bCs/>
          <w:color w:val="76923C" w:themeColor="accent3" w:themeShade="BF"/>
          <w:sz w:val="24"/>
          <w:szCs w:val="24"/>
          <w:lang w:eastAsia="fr-FR"/>
        </w:rPr>
        <w:t>Scellier</w:t>
      </w:r>
      <w:proofErr w:type="spellEnd"/>
      <w:r w:rsidRPr="00F426A7">
        <w:rPr>
          <w:rFonts w:ascii="Times New Roman" w:eastAsia="Times New Roman" w:hAnsi="Times New Roman" w:cs="Times New Roman"/>
          <w:color w:val="76923C" w:themeColor="accent3" w:themeShade="BF"/>
          <w:sz w:val="24"/>
          <w:szCs w:val="24"/>
          <w:lang w:eastAsia="fr-FR"/>
        </w:rPr>
        <w:t>.</w:t>
      </w:r>
    </w:p>
    <w:p w:rsidR="00F426A7" w:rsidRPr="00F426A7" w:rsidRDefault="00F426A7" w:rsidP="00F426A7">
      <w:pPr>
        <w:spacing w:before="100" w:beforeAutospacing="1" w:after="100" w:afterAutospacing="1" w:line="360" w:lineRule="auto"/>
        <w:ind w:left="1776"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Les revenus perçus doivent être imposés dans la catégorie des revenus fonciers. Sont donc exclus les immeubles acquis par une entreprise individuelle.</w:t>
      </w:r>
    </w:p>
    <w:p w:rsidR="00F426A7" w:rsidRPr="00F426A7" w:rsidRDefault="00F426A7" w:rsidP="00F426A7">
      <w:pPr>
        <w:spacing w:before="100" w:beforeAutospacing="1" w:after="100" w:afterAutospacing="1" w:line="360" w:lineRule="auto"/>
        <w:ind w:left="1776"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Le bien peut être acquis en couple ou en indivision.</w:t>
      </w:r>
    </w:p>
    <w:p w:rsidR="00F426A7" w:rsidRPr="00F426A7" w:rsidRDefault="00F426A7" w:rsidP="00F426A7">
      <w:pPr>
        <w:spacing w:before="100" w:beforeAutospacing="1" w:after="100" w:afterAutospacing="1" w:line="360" w:lineRule="auto"/>
        <w:ind w:left="1776"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La détention en démembrement de propriété fait obstacle à la réduction d’impôt.</w:t>
      </w:r>
    </w:p>
    <w:p w:rsidR="00F426A7" w:rsidRPr="00F426A7" w:rsidRDefault="00F426A7" w:rsidP="00F426A7">
      <w:pPr>
        <w:spacing w:before="100" w:beforeAutospacing="1" w:after="100" w:afterAutospacing="1" w:line="360" w:lineRule="auto"/>
        <w:ind w:left="1776"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sz w:val="24"/>
          <w:szCs w:val="24"/>
          <w:lang w:eastAsia="fr-FR"/>
        </w:rPr>
        <w:t>-          Les acquisitions par des SCI soumises à l’IR ouvrent droit à la réduction pour les associés imposés à l’impôt sur le revenu dans la catégorie des revenus fonciers et dont les parts ne sont pas démembrées.</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color w:val="76923C" w:themeColor="accent3" w:themeShade="BF"/>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sz w:val="24"/>
          <w:szCs w:val="24"/>
          <w:lang w:eastAsia="fr-FR"/>
        </w:rPr>
        <w:t xml:space="preserve">Le dispositif </w:t>
      </w:r>
      <w:proofErr w:type="spellStart"/>
      <w:r w:rsidRPr="00F426A7">
        <w:rPr>
          <w:rFonts w:ascii="Times New Roman" w:eastAsia="Times New Roman" w:hAnsi="Times New Roman" w:cs="Times New Roman"/>
          <w:sz w:val="24"/>
          <w:szCs w:val="24"/>
          <w:lang w:eastAsia="fr-FR"/>
        </w:rPr>
        <w:t>Duflot</w:t>
      </w:r>
      <w:proofErr w:type="spellEnd"/>
      <w:r w:rsidRPr="00F426A7">
        <w:rPr>
          <w:rFonts w:ascii="Times New Roman" w:eastAsia="Times New Roman" w:hAnsi="Times New Roman" w:cs="Times New Roman"/>
          <w:sz w:val="24"/>
          <w:szCs w:val="24"/>
          <w:lang w:eastAsia="fr-FR"/>
        </w:rPr>
        <w:t xml:space="preserve"> s’applique aux logements acquis entre 1</w:t>
      </w:r>
      <w:r w:rsidRPr="00F426A7">
        <w:rPr>
          <w:rFonts w:ascii="Times New Roman" w:eastAsia="Times New Roman" w:hAnsi="Times New Roman" w:cs="Times New Roman"/>
          <w:sz w:val="24"/>
          <w:szCs w:val="24"/>
          <w:vertAlign w:val="superscript"/>
          <w:lang w:eastAsia="fr-FR"/>
        </w:rPr>
        <w:t>er</w:t>
      </w:r>
      <w:r w:rsidRPr="00F426A7">
        <w:rPr>
          <w:rFonts w:ascii="Times New Roman" w:eastAsia="Times New Roman" w:hAnsi="Times New Roman" w:cs="Times New Roman"/>
          <w:sz w:val="24"/>
          <w:szCs w:val="24"/>
          <w:lang w:eastAsia="fr-FR"/>
        </w:rPr>
        <w:t xml:space="preserve"> janvier 2013 et le 31 décembre 2016. L’administration confirme que </w:t>
      </w:r>
      <w:r w:rsidRPr="00F426A7">
        <w:rPr>
          <w:rFonts w:ascii="Times New Roman" w:eastAsia="Times New Roman" w:hAnsi="Times New Roman" w:cs="Times New Roman"/>
          <w:b/>
          <w:bCs/>
          <w:color w:val="76923C" w:themeColor="accent3" w:themeShade="BF"/>
          <w:sz w:val="24"/>
          <w:szCs w:val="24"/>
          <w:lang w:eastAsia="fr-FR"/>
        </w:rPr>
        <w:t>la date d’acquisition s’entend de la signature de l’acte authentique d’achat</w:t>
      </w:r>
      <w:r w:rsidRPr="00F426A7">
        <w:rPr>
          <w:rFonts w:ascii="Times New Roman" w:eastAsia="Times New Roman" w:hAnsi="Times New Roman" w:cs="Times New Roman"/>
          <w:color w:val="76923C" w:themeColor="accent3" w:themeShade="BF"/>
          <w:sz w:val="24"/>
          <w:szCs w:val="24"/>
          <w:lang w:eastAsia="fr-FR"/>
        </w:rPr>
        <w:t>.</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sz w:val="24"/>
          <w:szCs w:val="24"/>
          <w:lang w:eastAsia="fr-FR"/>
        </w:rPr>
        <w:t xml:space="preserve">Les logements acquis en VEFA doivent être </w:t>
      </w:r>
      <w:r w:rsidRPr="00F426A7">
        <w:rPr>
          <w:rFonts w:ascii="Times New Roman" w:eastAsia="Times New Roman" w:hAnsi="Times New Roman" w:cs="Times New Roman"/>
          <w:b/>
          <w:bCs/>
          <w:color w:val="76923C" w:themeColor="accent3" w:themeShade="BF"/>
          <w:sz w:val="24"/>
          <w:szCs w:val="24"/>
          <w:lang w:eastAsia="fr-FR"/>
        </w:rPr>
        <w:t>achevés dans les 30 mois qui suivent la date de déclaration d’ouverture de chantier</w:t>
      </w:r>
      <w:r w:rsidRPr="00F426A7">
        <w:rPr>
          <w:rFonts w:ascii="Times New Roman" w:eastAsia="Times New Roman" w:hAnsi="Times New Roman" w:cs="Times New Roman"/>
          <w:sz w:val="24"/>
          <w:szCs w:val="24"/>
          <w:lang w:eastAsia="fr-FR"/>
        </w:rPr>
        <w:t>. La circonstance qu’une déclaration de chantier soit déposée pour une tranche de travaux et non pour la totalité ne fait pas éche</w:t>
      </w:r>
      <w:r>
        <w:rPr>
          <w:rFonts w:ascii="Times New Roman" w:eastAsia="Times New Roman" w:hAnsi="Times New Roman" w:cs="Times New Roman"/>
          <w:sz w:val="24"/>
          <w:szCs w:val="24"/>
          <w:lang w:eastAsia="fr-FR"/>
        </w:rPr>
        <w:t>c à l’application du dispositif.</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sz w:val="24"/>
          <w:szCs w:val="24"/>
          <w:lang w:eastAsia="fr-FR"/>
        </w:rPr>
        <w:t xml:space="preserve">Le </w:t>
      </w:r>
      <w:r w:rsidRPr="00F426A7">
        <w:rPr>
          <w:rFonts w:ascii="Times New Roman" w:eastAsia="Times New Roman" w:hAnsi="Times New Roman" w:cs="Times New Roman"/>
          <w:b/>
          <w:bCs/>
          <w:color w:val="76923C" w:themeColor="accent3" w:themeShade="BF"/>
          <w:sz w:val="24"/>
          <w:szCs w:val="24"/>
          <w:lang w:eastAsia="fr-FR"/>
        </w:rPr>
        <w:t>nombre de logements ouvrant droit à la réduction d’impôt</w:t>
      </w:r>
      <w:r w:rsidRPr="00F426A7">
        <w:rPr>
          <w:rFonts w:ascii="Times New Roman" w:eastAsia="Times New Roman" w:hAnsi="Times New Roman" w:cs="Times New Roman"/>
          <w:sz w:val="24"/>
          <w:szCs w:val="24"/>
          <w:lang w:eastAsia="fr-FR"/>
        </w:rPr>
        <w:t xml:space="preserve"> dans un même immeuble </w:t>
      </w:r>
      <w:r w:rsidRPr="00F426A7">
        <w:rPr>
          <w:rFonts w:ascii="Times New Roman" w:eastAsia="Times New Roman" w:hAnsi="Times New Roman" w:cs="Times New Roman"/>
          <w:b/>
          <w:bCs/>
          <w:color w:val="76923C" w:themeColor="accent3" w:themeShade="BF"/>
          <w:sz w:val="24"/>
          <w:szCs w:val="24"/>
          <w:lang w:eastAsia="fr-FR"/>
        </w:rPr>
        <w:t>est limité lorsque cet immeuble comporte au moins 5 logements</w:t>
      </w:r>
      <w:r w:rsidRPr="00F426A7">
        <w:rPr>
          <w:rFonts w:ascii="Times New Roman" w:eastAsia="Times New Roman" w:hAnsi="Times New Roman" w:cs="Times New Roman"/>
          <w:sz w:val="24"/>
          <w:szCs w:val="24"/>
          <w:lang w:eastAsia="fr-FR"/>
        </w:rPr>
        <w:t xml:space="preserve"> : le pourcentage de logements </w:t>
      </w:r>
      <w:r w:rsidRPr="00F426A7">
        <w:rPr>
          <w:rFonts w:ascii="Times New Roman" w:eastAsia="Times New Roman" w:hAnsi="Times New Roman" w:cs="Times New Roman"/>
          <w:sz w:val="24"/>
          <w:szCs w:val="24"/>
          <w:lang w:eastAsia="fr-FR"/>
        </w:rPr>
        <w:lastRenderedPageBreak/>
        <w:t>n’ouvrant pas droit à la réduction, qui ne peut être inférieur à 20%, sera fixé par un décret à paraître. Cette limitation s’appliquera aux immeubles faisant l’objet d’un permis de construire accordé à compter de la publication de ce décret.</w:t>
      </w:r>
    </w:p>
    <w:p w:rsidR="00F426A7" w:rsidRPr="00F426A7" w:rsidRDefault="00F426A7" w:rsidP="00F426A7">
      <w:pPr>
        <w:spacing w:before="100" w:beforeAutospacing="1" w:after="100" w:afterAutospacing="1" w:line="360" w:lineRule="auto"/>
        <w:ind w:hanging="360"/>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xml:space="preserve">§  </w:t>
      </w:r>
      <w:r w:rsidRPr="00F426A7">
        <w:rPr>
          <w:rFonts w:ascii="Times New Roman" w:eastAsia="Times New Roman" w:hAnsi="Times New Roman" w:cs="Times New Roman"/>
          <w:b/>
          <w:bCs/>
          <w:color w:val="76923C" w:themeColor="accent3" w:themeShade="BF"/>
          <w:sz w:val="24"/>
          <w:szCs w:val="24"/>
          <w:lang w:eastAsia="fr-FR"/>
        </w:rPr>
        <w:t>Le locataire ne doit pas être une personne appartenant au foyer fiscal</w:t>
      </w:r>
      <w:r w:rsidRPr="00F426A7">
        <w:rPr>
          <w:rFonts w:ascii="Times New Roman" w:eastAsia="Times New Roman" w:hAnsi="Times New Roman" w:cs="Times New Roman"/>
          <w:sz w:val="24"/>
          <w:szCs w:val="24"/>
          <w:lang w:eastAsia="fr-FR"/>
        </w:rPr>
        <w:t xml:space="preserve"> du propriétaire ou un de ses ascendants ou descendants pendant une durée minimale de 9 ans. Lorsque le logement est détenu par une SCI, le locataire ne doit pas être un associé, un membre du foyer fiscal ou un des ascendants ou descendants de l’un des associés. Lorsque le logement est détenu par une SCPI, le locataire ne doit pas être un associé de la SCPI ou un membre du foyer fiscal d’un associé (dans ce cas, l’exclusion ne concerne pas les ascendants ou les descendants des associés de la SCPI).</w:t>
      </w:r>
    </w:p>
    <w:p w:rsidR="00F426A7" w:rsidRPr="00F426A7" w:rsidRDefault="00F426A7" w:rsidP="00F426A7">
      <w:pPr>
        <w:spacing w:before="100" w:beforeAutospacing="1" w:after="100" w:afterAutospacing="1" w:line="240" w:lineRule="auto"/>
        <w:rPr>
          <w:rFonts w:ascii="Times New Roman" w:eastAsia="Times New Roman" w:hAnsi="Times New Roman" w:cs="Times New Roman"/>
          <w:sz w:val="24"/>
          <w:szCs w:val="24"/>
          <w:lang w:eastAsia="fr-FR"/>
        </w:rPr>
      </w:pPr>
      <w:r w:rsidRPr="00F426A7">
        <w:rPr>
          <w:rFonts w:ascii="Times New Roman" w:eastAsia="Times New Roman" w:hAnsi="Times New Roman" w:cs="Times New Roman"/>
          <w:color w:val="1F497D"/>
          <w:sz w:val="24"/>
          <w:szCs w:val="24"/>
          <w:lang w:eastAsia="fr-FR"/>
        </w:rPr>
        <w:t> </w:t>
      </w:r>
    </w:p>
    <w:p w:rsidR="002C6048" w:rsidRPr="00F426A7" w:rsidRDefault="002C6048">
      <w:pPr>
        <w:rPr>
          <w:rFonts w:ascii="Times New Roman" w:hAnsi="Times New Roman" w:cs="Times New Roman"/>
          <w:sz w:val="24"/>
          <w:szCs w:val="24"/>
        </w:rPr>
      </w:pPr>
    </w:p>
    <w:sectPr w:rsidR="002C6048" w:rsidRPr="00F426A7" w:rsidSect="002C6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6A7"/>
    <w:rsid w:val="002C6048"/>
    <w:rsid w:val="00F4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26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718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911</Words>
  <Characters>5011</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2013-08-30T08:43:00Z</dcterms:created>
  <dcterms:modified xsi:type="dcterms:W3CDTF">2013-08-30T08:51:00Z</dcterms:modified>
</cp:coreProperties>
</file>