
<file path=[Content_Types].xml><?xml version="1.0" encoding="utf-8"?>
<Types xmlns="http://schemas.openxmlformats.org/package/2006/content-types">
  <Override PartName="/_rels/.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4.jpeg" ContentType="image/jpeg"/>
  <Override PartName="/word/header1.xml" ContentType="application/vnd.openxmlformats-officedocument.wordprocessingml.header+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bookmarkStart w:id="0" w:name="_GoBack"/>
      <w:bookmarkEnd w:id="0"/>
      <w:r>
        <w:rPr>
          <w:sz w:val="28"/>
          <w:szCs w:val="28"/>
        </w:rPr>
        <w:t>Oggetto:</w:t>
      </w:r>
    </w:p>
    <w:p>
      <w:pPr>
        <w:pStyle w:val="style0"/>
      </w:pPr>
      <w:bookmarkStart w:id="1" w:name="_GoBack"/>
      <w:bookmarkStart w:id="2" w:name="_GoBack"/>
      <w:bookmarkEnd w:id="2"/>
      <w:r>
        <w:rPr>
          <w:b/>
        </w:rPr>
      </w:r>
    </w:p>
    <w:p>
      <w:pPr>
        <w:pStyle w:val="style0"/>
      </w:pPr>
      <w:r>
        <w:rPr>
          <w:b/>
        </w:rPr>
        <w:t>Comunicazione di carattere turistico: alla scoperta delle Grotte di San Giorgio Lucano</w:t>
      </w:r>
    </w:p>
    <w:p>
      <w:pPr>
        <w:pStyle w:val="style0"/>
      </w:pPr>
      <w:r>
        <w:rPr/>
      </w:r>
    </w:p>
    <w:p>
      <w:pPr>
        <w:pStyle w:val="style0"/>
      </w:pPr>
      <w:r>
        <w:rPr/>
        <w:drawing>
          <wp:anchor allowOverlap="1" behindDoc="1" distB="0" distL="0" distR="0" distT="0" layoutInCell="1" locked="0" relativeHeight="0" simplePos="0">
            <wp:simplePos x="0" y="0"/>
            <wp:positionH relativeFrom="column">
              <wp:posOffset>-329565</wp:posOffset>
            </wp:positionH>
            <wp:positionV relativeFrom="paragraph">
              <wp:posOffset>0</wp:posOffset>
            </wp:positionV>
            <wp:extent cx="6779260" cy="7735570"/>
            <wp:effectExtent b="0" l="0" r="0" t="0"/>
            <wp:wrapNone/>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6779260" cy="7735570"/>
                    </a:xfrm>
                    <a:prstGeom prst="rect">
                      <a:avLst/>
                    </a:prstGeom>
                    <a:noFill/>
                    <a:ln w="9525">
                      <a:noFill/>
                      <a:miter lim="800000"/>
                      <a:headEnd/>
                      <a:tailEnd/>
                    </a:ln>
                  </pic:spPr>
                </pic:pic>
              </a:graphicData>
            </a:graphic>
          </wp:anchor>
        </w:drawing>
      </w:r>
    </w:p>
    <w:p>
      <w:pPr>
        <w:pStyle w:val="style0"/>
        <w:ind w:hanging="0" w:left="4356" w:right="0"/>
        <w:jc w:val="both"/>
      </w:pPr>
      <w:r>
        <w:rPr>
          <w:rFonts w:ascii="Comic Sans MS" w:hAnsi="Comic Sans MS"/>
          <w:b/>
          <w:bCs/>
          <w:i w:val="false"/>
          <w:iCs w:val="false"/>
          <w:sz w:val="21"/>
          <w:szCs w:val="21"/>
        </w:rPr>
        <w:t>San Giorgio Lucano ha da poco inserito il suo consistente patrimonio ipogeo nel territorio del Parco Nazionale del Pollino. Trattasi di un autentico macroattrattore testimonianza di un mondo contadino che si è estinto sotto molti aspetti ma che ha saputo in ogni caso tramandare l’uso di tali manufatti fino ad oggi, sebbene riadattandoli ad esigenze moderne.</w:t>
      </w:r>
    </w:p>
    <w:p>
      <w:pPr>
        <w:pStyle w:val="style0"/>
        <w:jc w:val="right"/>
      </w:pPr>
      <w:r>
        <w:rPr>
          <w:rFonts w:ascii="Comic Sans MS" w:hAnsi="Comic Sans MS"/>
          <w:b/>
          <w:bCs/>
          <w:i w:val="false"/>
          <w:iCs w:val="false"/>
          <w:sz w:val="21"/>
          <w:szCs w:val="21"/>
        </w:rPr>
      </w:r>
    </w:p>
    <w:p>
      <w:pPr>
        <w:pStyle w:val="style0"/>
        <w:ind w:hanging="0" w:left="4344" w:right="0"/>
        <w:jc w:val="left"/>
      </w:pPr>
      <w:r>
        <w:rPr>
          <w:rFonts w:ascii="Comic Sans MS" w:hAnsi="Comic Sans MS"/>
          <w:b/>
          <w:bCs/>
          <w:i w:val="false"/>
          <w:iCs w:val="false"/>
          <w:sz w:val="21"/>
          <w:szCs w:val="21"/>
        </w:rPr>
        <w:t>Gli abitanti, continuano ad allevarvi animali di bassa corte, le utilizzano come cantina e luogo notturno di ritrovo.</w:t>
      </w:r>
    </w:p>
    <w:p>
      <w:pPr>
        <w:pStyle w:val="style0"/>
        <w:jc w:val="right"/>
      </w:pPr>
      <w:r>
        <w:rPr>
          <w:rFonts w:ascii="Comic Sans MS" w:hAnsi="Comic Sans MS"/>
          <w:b/>
          <w:bCs/>
          <w:i w:val="false"/>
          <w:iCs w:val="false"/>
          <w:sz w:val="21"/>
          <w:szCs w:val="21"/>
        </w:rPr>
      </w:r>
    </w:p>
    <w:p>
      <w:pPr>
        <w:pStyle w:val="style0"/>
        <w:ind w:hanging="0" w:left="4536" w:right="0"/>
        <w:jc w:val="both"/>
      </w:pPr>
      <w:r>
        <w:rPr>
          <w:rFonts w:ascii="Comic Sans MS" w:hAnsi="Comic Sans MS"/>
          <w:b/>
          <w:bCs/>
          <w:i w:val="false"/>
          <w:iCs w:val="false"/>
          <w:sz w:val="21"/>
          <w:szCs w:val="21"/>
        </w:rPr>
        <w:t>Il fascino dei luoghi è nell’insieme di grotte che costellano l’intero abitato e costituiscono paesaggi che si impongono. Si prestano i camminamenti bianchi ad escursioni e attività di trekking.</w:t>
      </w:r>
    </w:p>
    <w:p>
      <w:pPr>
        <w:pStyle w:val="style0"/>
        <w:jc w:val="right"/>
      </w:pPr>
      <w:r>
        <w:rPr>
          <w:rFonts w:ascii="Comic Sans MS" w:hAnsi="Comic Sans MS"/>
          <w:b/>
          <w:bCs/>
          <w:i w:val="false"/>
          <w:iCs w:val="false"/>
          <w:sz w:val="21"/>
          <w:szCs w:val="21"/>
        </w:rPr>
      </w:r>
    </w:p>
    <w:p>
      <w:pPr>
        <w:pStyle w:val="style0"/>
        <w:shd w:fill="FFFF00" w:val="clear"/>
        <w:ind w:hanging="0" w:left="4524" w:right="0"/>
        <w:jc w:val="both"/>
      </w:pPr>
      <w:r>
        <w:rPr>
          <w:rFonts w:ascii="Comic Sans MS" w:hAnsi="Comic Sans MS"/>
          <w:b/>
          <w:bCs/>
          <w:i w:val="false"/>
          <w:iCs w:val="false"/>
          <w:sz w:val="21"/>
          <w:szCs w:val="21"/>
        </w:rPr>
        <w:t>E’ in atto una riqualificazione dell’intero comprensorio e sono in programma una serie di iniziative allo scopo di partecipare il pubblico del divenire di tale patrimonio.</w:t>
      </w:r>
    </w:p>
    <w:p>
      <w:pPr>
        <w:pStyle w:val="style0"/>
        <w:jc w:val="both"/>
      </w:pPr>
      <w:r>
        <w:rPr>
          <w:rFonts w:ascii="Comic Sans MS" w:hAnsi="Comic Sans MS"/>
          <w:b/>
          <w:bCs/>
          <w:i w:val="false"/>
          <w:iCs w:val="false"/>
          <w:sz w:val="21"/>
          <w:szCs w:val="21"/>
        </w:rPr>
      </w:r>
    </w:p>
    <w:p>
      <w:pPr>
        <w:pStyle w:val="style0"/>
        <w:ind w:hanging="0" w:left="4536" w:right="0"/>
        <w:jc w:val="both"/>
      </w:pPr>
      <w:r>
        <w:rPr>
          <w:rFonts w:ascii="Comic Sans MS" w:hAnsi="Comic Sans MS"/>
          <w:b/>
          <w:bCs/>
          <w:i w:val="false"/>
          <w:iCs w:val="false"/>
          <w:sz w:val="21"/>
          <w:szCs w:val="21"/>
        </w:rPr>
        <w:t>Il visitatore avrà modo di assaporare una microcultura di grande interesse antropologico.</w:t>
      </w:r>
    </w:p>
    <w:p>
      <w:pPr>
        <w:pStyle w:val="style0"/>
        <w:jc w:val="both"/>
      </w:pPr>
      <w:r>
        <w:rPr>
          <w:rFonts w:ascii="Comic Sans MS" w:hAnsi="Comic Sans MS"/>
          <w:b/>
          <w:bCs/>
          <w:i w:val="false"/>
          <w:iCs w:val="false"/>
          <w:sz w:val="21"/>
          <w:szCs w:val="21"/>
        </w:rPr>
      </w:r>
    </w:p>
    <w:p>
      <w:pPr>
        <w:pStyle w:val="style0"/>
        <w:ind w:hanging="0" w:left="4536" w:right="0"/>
        <w:jc w:val="both"/>
      </w:pPr>
      <w:r>
        <w:rPr>
          <w:rFonts w:ascii="Comic Sans MS" w:hAnsi="Comic Sans MS"/>
          <w:b/>
          <w:bCs/>
          <w:i w:val="false"/>
          <w:iCs w:val="false"/>
          <w:sz w:val="21"/>
          <w:szCs w:val="21"/>
        </w:rPr>
        <w:t xml:space="preserve">Se foste interessati a veicolare il pubblico verso questa affascinante meta, possiamo programmare un piano di visite che tenga conto degli eventi e in ogni caso di percorsi guidati ricchi di informazione. </w:t>
      </w:r>
    </w:p>
    <w:p>
      <w:pPr>
        <w:pStyle w:val="style0"/>
        <w:jc w:val="right"/>
      </w:pPr>
      <w:r>
        <w:rPr>
          <w:rFonts w:ascii="Comic Sans MS" w:hAnsi="Comic Sans MS"/>
          <w:b/>
          <w:bCs/>
          <w:i w:val="false"/>
          <w:iCs w:val="false"/>
          <w:sz w:val="21"/>
          <w:szCs w:val="21"/>
        </w:rPr>
      </w:r>
    </w:p>
    <w:p>
      <w:pPr>
        <w:pStyle w:val="style0"/>
        <w:ind w:hanging="0" w:left="4536" w:right="0"/>
        <w:jc w:val="both"/>
      </w:pPr>
      <w:r>
        <w:rPr>
          <w:rFonts w:ascii="Comic Sans MS" w:hAnsi="Comic Sans MS"/>
          <w:b/>
          <w:bCs/>
          <w:i w:val="false"/>
          <w:iCs w:val="false"/>
          <w:sz w:val="21"/>
          <w:szCs w:val="21"/>
        </w:rPr>
        <w:t>Fin da oggi in vista dello scadere del bando provinciale “in bus 2013”, saremmo grati se ci inseriste tra le proposte di itinerario turistico.</w:t>
      </w:r>
    </w:p>
    <w:p>
      <w:pPr>
        <w:pStyle w:val="style0"/>
        <w:jc w:val="right"/>
      </w:pPr>
      <w:r>
        <w:rPr>
          <w:rFonts w:ascii="Comic Sans MS" w:hAnsi="Comic Sans MS"/>
          <w:b/>
          <w:bCs/>
          <w:i w:val="false"/>
          <w:iCs w:val="false"/>
        </w:rPr>
      </w:r>
    </w:p>
    <w:p>
      <w:pPr>
        <w:pStyle w:val="style0"/>
      </w:pPr>
      <w:r>
        <w:rPr>
          <w:rFonts w:ascii="Comic Sans MS" w:hAnsi="Comic Sans MS"/>
          <w:b/>
          <w:bCs/>
          <w:i w:val="false"/>
          <w:iCs w:val="false"/>
        </w:rPr>
        <w:t xml:space="preserve">Per contatti: </w:t>
      </w:r>
      <w:hyperlink r:id="rId3">
        <w:r>
          <w:rPr>
            <w:rStyle w:val="style16"/>
            <w:rFonts w:ascii="Comic Sans MS" w:hAnsi="Comic Sans MS"/>
            <w:b/>
            <w:bCs/>
            <w:i w:val="false"/>
            <w:iCs w:val="false"/>
          </w:rPr>
          <w:t>pietro.valicenti@fastwebnet.it</w:t>
        </w:r>
      </w:hyperlink>
    </w:p>
    <w:p>
      <w:pPr>
        <w:pStyle w:val="style0"/>
      </w:pPr>
      <w:r>
        <w:rPr>
          <w:rFonts w:ascii="Comic Sans MS" w:hAnsi="Comic Sans MS"/>
          <w:b/>
          <w:bCs/>
          <w:i w:val="false"/>
          <w:iCs w:val="false"/>
        </w:rPr>
        <w:t>Tel 335.8173578</w:t>
      </w:r>
    </w:p>
    <w:sectPr>
      <w:headerReference r:id="rId4" w:type="default"/>
      <w:type w:val="nextPage"/>
      <w:pgSz w:h="16838" w:w="11906"/>
      <w:pgMar w:bottom="1134" w:footer="0" w:gutter="0" w:header="1417" w:left="1134" w:right="1134" w:top="2577"/>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Cambria">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style0"/>
      <w:autoSpaceDE w:val="false"/>
      <w:jc w:val="center"/>
    </w:pPr>
    <w:r>
      <w:rPr>
        <w:rFonts w:ascii="Garamond-Bold" w:cs="Garamond-Bold" w:eastAsia="Garamond-Bold" w:hAnsi="Garamond-Bold"/>
        <w:b/>
        <w:bCs/>
        <w:color w:val="981507"/>
        <w:sz w:val="20"/>
        <w:szCs w:val="20"/>
      </w:rPr>
      <w:t>A</w:t>
    </w:r>
    <w:r>
      <w:rPr>
        <w:rFonts w:ascii="Garamond-Bold" w:cs="Garamond-Bold" w:eastAsia="Garamond-Bold" w:hAnsi="Garamond-Bold"/>
        <w:b/>
        <w:bCs/>
        <w:color w:val="981507"/>
        <w:sz w:val="16"/>
        <w:szCs w:val="16"/>
      </w:rPr>
      <w:t>SS</w:t>
    </w:r>
    <w:r>
      <w:rPr>
        <w:rFonts w:ascii="Garamond-Bold" w:cs="Garamond-Bold" w:eastAsia="Garamond-Bold" w:hAnsi="Garamond-Bold"/>
        <w:b/>
        <w:bCs/>
        <w:color w:val="981507"/>
        <w:sz w:val="20"/>
        <w:szCs w:val="20"/>
      </w:rPr>
      <w:t>. C</w:t>
    </w:r>
    <w:r>
      <w:rPr>
        <w:rFonts w:ascii="Garamond-Bold" w:cs="Garamond-Bold" w:eastAsia="Garamond-Bold" w:hAnsi="Garamond-Bold"/>
        <w:b/>
        <w:bCs/>
        <w:color w:val="981507"/>
        <w:sz w:val="16"/>
        <w:szCs w:val="16"/>
      </w:rPr>
      <w:t>ULT</w:t>
    </w:r>
    <w:r>
      <w:rPr>
        <w:rFonts w:ascii="Garamond-Bold" w:cs="Garamond-Bold" w:eastAsia="Garamond-Bold" w:hAnsi="Garamond-Bold"/>
        <w:b/>
        <w:bCs/>
        <w:color w:val="981507"/>
        <w:sz w:val="20"/>
        <w:szCs w:val="20"/>
      </w:rPr>
      <w:t>. MILLE E UNA GROTTA A SAN GIORGIO LUCANO</w:t>
    </w:r>
  </w:p>
  <w:p>
    <w:pPr>
      <w:pStyle w:val="style0"/>
      <w:autoSpaceDE w:val="false"/>
      <w:jc w:val="center"/>
    </w:pPr>
    <w:r>
      <w:rPr>
        <w:rFonts w:ascii="Garamond-Bold" w:cs="Garamond-Bold" w:eastAsia="Garamond-Bold" w:hAnsi="Garamond-Bold"/>
        <w:b/>
        <w:bCs/>
        <w:color w:val="981507"/>
        <w:sz w:val="20"/>
        <w:szCs w:val="20"/>
      </w:rPr>
      <w:t>V</w:t>
    </w:r>
    <w:r>
      <w:rPr>
        <w:rFonts w:ascii="Garamond-Bold" w:cs="Garamond-Bold" w:eastAsia="Garamond-Bold" w:hAnsi="Garamond-Bold"/>
        <w:b/>
        <w:bCs/>
        <w:color w:val="981507"/>
        <w:sz w:val="16"/>
        <w:szCs w:val="16"/>
      </w:rPr>
      <w:t xml:space="preserve">IA </w:t>
    </w:r>
    <w:r>
      <w:rPr>
        <w:rFonts w:ascii="Garamond-Bold" w:cs="Garamond-Bold" w:eastAsia="Garamond-Bold" w:hAnsi="Garamond-Bold"/>
        <w:b/>
        <w:bCs/>
        <w:color w:val="981507"/>
        <w:sz w:val="20"/>
        <w:szCs w:val="20"/>
      </w:rPr>
      <w:t>F. D</w:t>
    </w:r>
    <w:r>
      <w:rPr>
        <w:rFonts w:ascii="Garamond-Bold" w:cs="Garamond-Bold" w:eastAsia="Garamond-Bold" w:hAnsi="Garamond-Bold"/>
        <w:b/>
        <w:bCs/>
        <w:color w:val="981507"/>
        <w:sz w:val="16"/>
        <w:szCs w:val="16"/>
      </w:rPr>
      <w:t xml:space="preserve">E </w:t>
    </w:r>
    <w:r>
      <w:rPr>
        <w:rFonts w:ascii="Garamond-Bold" w:cs="Garamond-Bold" w:eastAsia="Garamond-Bold" w:hAnsi="Garamond-Bold"/>
        <w:b/>
        <w:bCs/>
        <w:color w:val="981507"/>
        <w:sz w:val="20"/>
        <w:szCs w:val="20"/>
      </w:rPr>
      <w:t>P</w:t>
    </w:r>
    <w:r>
      <w:rPr>
        <w:rFonts w:ascii="Garamond-Bold" w:cs="Garamond-Bold" w:eastAsia="Garamond-Bold" w:hAnsi="Garamond-Bold"/>
        <w:b/>
        <w:bCs/>
        <w:color w:val="981507"/>
        <w:sz w:val="16"/>
        <w:szCs w:val="16"/>
      </w:rPr>
      <w:t xml:space="preserve">INEDO </w:t>
    </w:r>
    <w:r>
      <w:rPr>
        <w:rFonts w:ascii="Garamond-Bold" w:cs="Garamond-Bold" w:eastAsia="Garamond-Bold" w:hAnsi="Garamond-Bold"/>
        <w:b/>
        <w:bCs/>
        <w:color w:val="981507"/>
        <w:sz w:val="20"/>
        <w:szCs w:val="20"/>
      </w:rPr>
      <w:t xml:space="preserve">74 </w:t>
    </w:r>
    <w:r>
      <w:rPr>
        <w:rFonts w:ascii="Garamond-Bold" w:cs="Garamond-Bold" w:eastAsia="Garamond-Bold" w:hAnsi="Garamond-Bold"/>
        <w:b/>
        <w:bCs/>
        <w:color w:val="981507"/>
        <w:sz w:val="20"/>
        <w:szCs w:val="20"/>
      </w:rPr>
      <w:t xml:space="preserve">- </w:t>
    </w:r>
    <w:r>
      <w:rPr>
        <w:rFonts w:ascii="Garamond-Bold" w:cs="Garamond-Bold" w:eastAsia="Garamond-Bold" w:hAnsi="Garamond-Bold"/>
        <w:b/>
        <w:bCs/>
        <w:color w:val="981507"/>
        <w:sz w:val="20"/>
        <w:szCs w:val="20"/>
      </w:rPr>
      <w:t>75027 S. G</w:t>
    </w:r>
    <w:r>
      <w:rPr>
        <w:rFonts w:ascii="Garamond-Bold" w:cs="Garamond-Bold" w:eastAsia="Garamond-Bold" w:hAnsi="Garamond-Bold"/>
        <w:b/>
        <w:bCs/>
        <w:color w:val="981507"/>
        <w:sz w:val="16"/>
        <w:szCs w:val="16"/>
      </w:rPr>
      <w:t xml:space="preserve">IORGIO </w:t>
    </w:r>
    <w:r>
      <w:rPr>
        <w:rFonts w:ascii="Garamond-Bold" w:cs="Garamond-Bold" w:eastAsia="Garamond-Bold" w:hAnsi="Garamond-Bold"/>
        <w:b/>
        <w:bCs/>
        <w:color w:val="981507"/>
        <w:sz w:val="20"/>
        <w:szCs w:val="20"/>
      </w:rPr>
      <w:t>L</w:t>
    </w:r>
    <w:r>
      <w:rPr>
        <w:rFonts w:ascii="Garamond-Bold" w:cs="Garamond-Bold" w:eastAsia="Garamond-Bold" w:hAnsi="Garamond-Bold"/>
        <w:b/>
        <w:bCs/>
        <w:color w:val="981507"/>
        <w:sz w:val="16"/>
        <w:szCs w:val="16"/>
      </w:rPr>
      <w:t>UCANO</w:t>
    </w:r>
  </w:p>
  <w:p>
    <w:pPr>
      <w:pStyle w:val="style0"/>
      <w:autoSpaceDE w:val="false"/>
      <w:jc w:val="center"/>
    </w:pPr>
    <w:r>
      <w:rPr>
        <w:rFonts w:ascii="Garamond-Bold" w:cs="Garamond-Bold" w:eastAsia="Garamond-Bold" w:hAnsi="Garamond-Bold"/>
        <w:b/>
        <w:bCs/>
        <w:color w:val="981507"/>
        <w:sz w:val="16"/>
        <w:szCs w:val="16"/>
      </w:rPr>
      <w:t>1001grotta@gmail.com – http://1001grotta.overblog.com</w:t>
    </w:r>
  </w:p>
  <w:p>
    <w:pPr>
      <w:pStyle w:val="style0"/>
      <w:autoSpaceDE w:val="false"/>
      <w:jc w:val="center"/>
    </w:pPr>
    <w:r>
      <w:rPr>
        <w:rFonts w:ascii="Garamond-Bold" w:cs="Garamond-Bold" w:eastAsia="Garamond-Bold" w:hAnsi="Garamond-Bold"/>
        <w:b/>
        <w:bCs/>
        <w:color w:val="981507"/>
        <w:sz w:val="20"/>
        <w:szCs w:val="20"/>
      </w:rPr>
      <w:t>C.F. 90021270773</w:t>
    </w:r>
  </w:p>
</w:hdr>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w:style w:styleId="style0" w:type="paragraph">
    <w:name w:val="Standard"/>
    <w:next w:val="style0"/>
    <w:pPr>
      <w:widowControl/>
      <w:tabs/>
      <w:suppressAutoHyphens w:val="true"/>
    </w:pPr>
    <w:rPr>
      <w:rFonts w:ascii="Cambria" w:cs="" w:eastAsia="SimSun" w:hAnsi="Cambria"/>
      <w:color w:val="auto"/>
      <w:sz w:val="24"/>
      <w:szCs w:val="24"/>
      <w:lang w:bidi="ar-SA" w:eastAsia="it-IT" w:val="it-IT"/>
    </w:rPr>
  </w:style>
  <w:style w:styleId="style15" w:type="character">
    <w:name w:val="Default Paragraph Font"/>
    <w:next w:val="style15"/>
    <w:rPr/>
  </w:style>
  <w:style w:styleId="style16" w:type="character">
    <w:name w:val="Lien Internet"/>
    <w:basedOn w:val="style15"/>
    <w:next w:val="style16"/>
    <w:rPr>
      <w:color w:val="0000FF"/>
      <w:u w:val="single"/>
      <w:lang w:bidi="fr-FR" w:eastAsia="fr-FR" w:val="fr-FR"/>
    </w:rPr>
  </w:style>
  <w:style w:styleId="style17" w:type="paragraph">
    <w:name w:val="Titre"/>
    <w:basedOn w:val="style0"/>
    <w:next w:val="style18"/>
    <w:pPr>
      <w:keepNext/>
      <w:spacing w:after="120" w:before="240"/>
      <w:contextualSpacing w:val="false"/>
    </w:pPr>
    <w:rPr>
      <w:rFonts w:ascii="Arial" w:cs="Mangal" w:eastAsia="Microsoft YaHei" w:hAnsi="Arial"/>
      <w:sz w:val="28"/>
      <w:szCs w:val="28"/>
    </w:rPr>
  </w:style>
  <w:style w:styleId="style18" w:type="paragraph">
    <w:name w:val="Corps de texte"/>
    <w:basedOn w:val="style0"/>
    <w:next w:val="style18"/>
    <w:pPr>
      <w:spacing w:after="120" w:before="0"/>
      <w:contextualSpacing w:val="false"/>
    </w:pPr>
    <w:rPr/>
  </w:style>
  <w:style w:styleId="style19" w:type="paragraph">
    <w:name w:val="Liste"/>
    <w:basedOn w:val="style18"/>
    <w:next w:val="style19"/>
    <w:pPr/>
    <w:rPr>
      <w:rFonts w:cs="Mangal"/>
    </w:rPr>
  </w:style>
  <w:style w:styleId="style20" w:type="paragraph">
    <w:name w:val="Légende"/>
    <w:basedOn w:val="style0"/>
    <w:next w:val="style20"/>
    <w:pPr>
      <w:suppressLineNumbers/>
      <w:spacing w:after="120" w:before="120"/>
      <w:contextualSpacing w:val="false"/>
    </w:pPr>
    <w:rPr>
      <w:rFonts w:cs="Mangal"/>
      <w:i/>
      <w:iCs/>
      <w:sz w:val="24"/>
      <w:szCs w:val="24"/>
    </w:rPr>
  </w:style>
  <w:style w:styleId="style21" w:type="paragraph">
    <w:name w:val="Index"/>
    <w:basedOn w:val="style0"/>
    <w:next w:val="style21"/>
    <w:pPr>
      <w:suppressLineNumbers/>
    </w:pPr>
    <w:rPr>
      <w:rFonts w:cs="Mangal"/>
    </w:rPr>
  </w:style>
  <w:style w:styleId="style22" w:type="paragraph">
    <w:name w:val="En-tête"/>
    <w:basedOn w:val="style0"/>
    <w:next w:val="style22"/>
    <w:pPr>
      <w:suppressLineNumbers/>
      <w:tabs>
        <w:tab w:leader="none" w:pos="4819" w:val="center"/>
        <w:tab w:leader="none" w:pos="9638" w:val="right"/>
      </w:tabs>
    </w:pPr>
    <w:rPr/>
  </w:style>
  <w:style w:styleId="style23" w:type="paragraph">
    <w:name w:val="Contenu du cadre"/>
    <w:basedOn w:val="style18"/>
    <w:next w:val="style23"/>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4.jpeg"/><Relationship Id="rId3" Type="http://schemas.openxmlformats.org/officeDocument/2006/relationships/hyperlink" Target="mailto:pietro.valicenti@fastwebnet.it" TargetMode="External"/><Relationship Id="rId4" Type="http://schemas.openxmlformats.org/officeDocument/2006/relationships/header" Target="header1.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0</TotalTime>
  <Application>LibreOffice/3.6$Windows_x86 LibreOffice_project/2ef5aff-a6fb0ff-166bdff-cf087ad-0f1389</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2013-06-15T06:13:00.00Z</dcterms:created>
  <dc:creator>Pietro Valicenti</dc:creator>
  <cp:lastModifiedBy>Pietro Valicenti</cp:lastModifiedBy>
  <dcterms:modified xsi:type="dcterms:W3CDTF">2013-06-15T06:13:00.00Z</dcterms:modified>
  <cp:revision>2</cp:revision>
</cp:coreProperties>
</file>