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Ascii"/>
          <w:b/>
          <w:bCs/>
          <w:i w:val="0"/>
          <w:iCs w:val="0"/>
          <w:sz w:val="28"/>
          <w:szCs w:val="28"/>
          <w:lang w:val="fr-FR"/>
        </w:rPr>
      </w:pPr>
      <w:r>
        <w:rPr>
          <w:rFonts w:hint="default" w:asciiTheme="minorAscii"/>
          <w:b/>
          <w:bCs/>
          <w:i w:val="0"/>
          <w:iCs w:val="0"/>
          <w:sz w:val="28"/>
          <w:szCs w:val="28"/>
          <w:lang w:val="fr-FR"/>
        </w:rPr>
        <w:t>Leiçoun 2 : Re-counfinamen...</w:t>
      </w:r>
    </w:p>
    <w:p>
      <w:pPr>
        <w:rPr>
          <w:rFonts w:hint="default" w:asciiTheme="minorAscii"/>
          <w:i w:val="0"/>
          <w:iCs w:val="0"/>
          <w:sz w:val="24"/>
          <w:szCs w:val="24"/>
          <w:lang w:val="fr-FR"/>
        </w:rPr>
      </w:pPr>
    </w:p>
    <w:p>
      <w:pPr>
        <w:rPr>
          <w:rFonts w:hint="default" w:asciiTheme="minorAscii"/>
          <w:i/>
          <w:iCs/>
          <w:sz w:val="24"/>
          <w:szCs w:val="24"/>
          <w:lang w:val="fr-FR"/>
        </w:rPr>
      </w:pPr>
      <w:r>
        <w:rPr>
          <w:rFonts w:hint="default" w:asciiTheme="minorAscii"/>
          <w:i w:val="0"/>
          <w:iCs w:val="0"/>
          <w:sz w:val="24"/>
          <w:szCs w:val="24"/>
          <w:lang w:val="fr-FR"/>
        </w:rPr>
        <w:t>Anen mai parla dóu couvide... Mai èi pas rèn de s’alarga sus aquéli draio</w:t>
      </w:r>
      <w:r>
        <w:rPr>
          <w:rStyle w:val="4"/>
          <w:rFonts w:hint="default" w:asciiTheme="minorAscii"/>
          <w:i w:val="0"/>
          <w:iCs w:val="0"/>
          <w:sz w:val="24"/>
          <w:szCs w:val="24"/>
          <w:lang w:val="fr-FR"/>
        </w:rPr>
        <w:footnoteReference w:id="0"/>
      </w:r>
      <w:r>
        <w:rPr>
          <w:rFonts w:hint="default" w:asciiTheme="minorAscii"/>
          <w:i w:val="0"/>
          <w:iCs w:val="0"/>
          <w:sz w:val="24"/>
          <w:szCs w:val="24"/>
          <w:lang w:val="fr-FR"/>
        </w:rPr>
        <w:t>... Sèmblo que sian quasimen revengu à la fin dóu siècle dès-e-nòu, au moumen de l’Afaire Dreyfus, que lou païs èro coumpletamen divisa, li famiho coupado en dous, quau afourtissènt</w:t>
      </w:r>
      <w:r>
        <w:rPr>
          <w:rStyle w:val="4"/>
          <w:rFonts w:hint="default" w:asciiTheme="minorAscii"/>
          <w:i w:val="0"/>
          <w:iCs w:val="0"/>
          <w:sz w:val="24"/>
          <w:szCs w:val="24"/>
          <w:lang w:val="fr-FR"/>
        </w:rPr>
        <w:footnoteReference w:id="1"/>
      </w:r>
      <w:r>
        <w:rPr>
          <w:rFonts w:hint="default" w:asciiTheme="minorAscii"/>
          <w:i w:val="0"/>
          <w:iCs w:val="0"/>
          <w:sz w:val="24"/>
          <w:szCs w:val="24"/>
          <w:lang w:val="fr-FR"/>
        </w:rPr>
        <w:t xml:space="preserve"> que Dreyfus èro un traite e que s’ameritavo sa coundanacioun au bagno, quau n’en fasènt uno vitimo de l’antisemitisme de l’Armado... </w:t>
      </w:r>
      <w:r>
        <w:rPr>
          <w:rFonts w:hint="default" w:asciiTheme="minorAscii"/>
          <w:i w:val="0"/>
          <w:iCs w:val="0"/>
          <w:sz w:val="24"/>
          <w:szCs w:val="24"/>
          <w:lang w:val="fr-FR"/>
        </w:rPr>
        <w:br w:type="textWrapping"/>
      </w:r>
      <w:r>
        <w:rPr>
          <w:rFonts w:hint="default" w:asciiTheme="minorAscii"/>
          <w:i w:val="0"/>
          <w:iCs w:val="0"/>
          <w:sz w:val="24"/>
          <w:szCs w:val="24"/>
          <w:lang w:val="fr-FR"/>
        </w:rPr>
        <w:t>E se vesié alor dins li journau un dessin</w:t>
      </w:r>
      <w:r>
        <w:rPr>
          <w:rStyle w:val="4"/>
          <w:rFonts w:hint="default" w:asciiTheme="minorAscii"/>
          <w:i w:val="0"/>
          <w:iCs w:val="0"/>
          <w:sz w:val="24"/>
          <w:szCs w:val="24"/>
          <w:lang w:val="fr-FR"/>
        </w:rPr>
        <w:footnoteReference w:id="2"/>
      </w:r>
      <w:r>
        <w:rPr>
          <w:rFonts w:hint="default" w:asciiTheme="minorAscii"/>
          <w:i w:val="0"/>
          <w:iCs w:val="0"/>
          <w:sz w:val="24"/>
          <w:szCs w:val="24"/>
          <w:lang w:val="fr-FR"/>
        </w:rPr>
        <w:t xml:space="preserve"> emé la taulo dóu dina touto en varai, sieto esclapado, service de taulo tout esparpaia, e manjaire en trin de se batre, emé, dessouto, aquéli mot : «Ils en ont parlé !». E vo, n’avien parla e lou fiò s’èro empura</w:t>
      </w:r>
      <w:r>
        <w:rPr>
          <w:rStyle w:val="4"/>
          <w:rFonts w:hint="default" w:asciiTheme="minorAscii"/>
          <w:i w:val="0"/>
          <w:iCs w:val="0"/>
          <w:sz w:val="24"/>
          <w:szCs w:val="24"/>
          <w:lang w:val="fr-FR"/>
        </w:rPr>
        <w:footnoteReference w:id="3"/>
      </w:r>
      <w:r>
        <w:rPr>
          <w:rFonts w:hint="default" w:asciiTheme="minorAscii"/>
          <w:i w:val="0"/>
          <w:iCs w:val="0"/>
          <w:sz w:val="24"/>
          <w:szCs w:val="24"/>
          <w:lang w:val="fr-FR"/>
        </w:rPr>
        <w:t xml:space="preserve"> tout soulet e li garrouio èron vengudo verinouso</w:t>
      </w:r>
      <w:r>
        <w:rPr>
          <w:rStyle w:val="4"/>
          <w:rFonts w:hint="default" w:asciiTheme="minorAscii"/>
          <w:i w:val="0"/>
          <w:iCs w:val="0"/>
          <w:sz w:val="24"/>
          <w:szCs w:val="24"/>
          <w:lang w:val="fr-FR"/>
        </w:rPr>
        <w:footnoteReference w:id="4"/>
      </w:r>
      <w:r>
        <w:rPr>
          <w:rFonts w:hint="default" w:asciiTheme="minorAscii"/>
          <w:i w:val="0"/>
          <w:iCs w:val="0"/>
          <w:sz w:val="24"/>
          <w:szCs w:val="24"/>
          <w:lang w:val="fr-FR"/>
        </w:rPr>
        <w:t>...</w:t>
      </w:r>
      <w:r>
        <w:rPr>
          <w:rFonts w:hint="default" w:asciiTheme="minorAscii"/>
          <w:i w:val="0"/>
          <w:iCs w:val="0"/>
          <w:sz w:val="24"/>
          <w:szCs w:val="24"/>
          <w:lang w:val="fr-FR"/>
        </w:rPr>
        <w:br w:type="textWrapping"/>
      </w:r>
      <w:r>
        <w:rPr>
          <w:rFonts w:hint="default" w:asciiTheme="minorAscii"/>
          <w:i w:val="0"/>
          <w:iCs w:val="0"/>
          <w:sz w:val="24"/>
          <w:szCs w:val="24"/>
          <w:lang w:val="fr-FR"/>
        </w:rPr>
        <w:t>E bè lou couvide, es un pau la memo causo : tóuti n’en parlon, chascun dis la siéuno, res èi segur de rèn, e au bout dóu comte, chascun fenis pèr escala sus sa figuiero</w:t>
      </w:r>
      <w:r>
        <w:rPr>
          <w:rStyle w:val="4"/>
          <w:rFonts w:hint="default" w:asciiTheme="minorAscii"/>
          <w:i w:val="0"/>
          <w:iCs w:val="0"/>
          <w:sz w:val="24"/>
          <w:szCs w:val="24"/>
          <w:lang w:val="fr-FR"/>
        </w:rPr>
        <w:footnoteReference w:id="5"/>
      </w:r>
      <w:r>
        <w:rPr>
          <w:rFonts w:hint="default" w:asciiTheme="minorAscii"/>
          <w:i w:val="0"/>
          <w:iCs w:val="0"/>
          <w:sz w:val="24"/>
          <w:szCs w:val="24"/>
          <w:lang w:val="fr-FR"/>
        </w:rPr>
        <w:t>, pèr trata l’autre de tóuti li noum, rena, boufa, crida, fougna</w:t>
      </w:r>
      <w:r>
        <w:rPr>
          <w:rStyle w:val="4"/>
          <w:rFonts w:hint="default" w:asciiTheme="minorAscii"/>
          <w:i w:val="0"/>
          <w:iCs w:val="0"/>
          <w:sz w:val="24"/>
          <w:szCs w:val="24"/>
          <w:lang w:val="fr-FR"/>
        </w:rPr>
        <w:footnoteReference w:id="6"/>
      </w:r>
      <w:r>
        <w:rPr>
          <w:rFonts w:hint="default" w:asciiTheme="minorAscii"/>
          <w:i w:val="0"/>
          <w:iCs w:val="0"/>
          <w:sz w:val="24"/>
          <w:szCs w:val="24"/>
          <w:lang w:val="fr-FR"/>
        </w:rPr>
        <w:t xml:space="preserve"> e, coume disié Mistral à prepaus di «rouge» e di «blanc», </w:t>
      </w:r>
      <w:r>
        <w:rPr>
          <w:rFonts w:hint="default" w:asciiTheme="minorAscii"/>
          <w:i/>
          <w:iCs/>
          <w:sz w:val="24"/>
          <w:szCs w:val="24"/>
          <w:lang w:val="fr-FR"/>
        </w:rPr>
        <w:t>pèr de chaucholo qu’apounchavon pas un fus</w:t>
      </w:r>
      <w:r>
        <w:rPr>
          <w:rStyle w:val="4"/>
          <w:rFonts w:hint="default" w:asciiTheme="minorAscii"/>
          <w:i/>
          <w:iCs/>
          <w:sz w:val="24"/>
          <w:szCs w:val="24"/>
          <w:lang w:val="fr-FR"/>
        </w:rPr>
        <w:footnoteReference w:id="7"/>
      </w:r>
      <w:r>
        <w:rPr>
          <w:rFonts w:hint="default" w:asciiTheme="minorAscii"/>
          <w:i/>
          <w:iCs/>
          <w:sz w:val="24"/>
          <w:szCs w:val="24"/>
          <w:lang w:val="fr-FR"/>
        </w:rPr>
        <w:t>, se sarien manja lou fège</w:t>
      </w:r>
      <w:r>
        <w:rPr>
          <w:rStyle w:val="4"/>
          <w:rFonts w:hint="default" w:asciiTheme="minorAscii"/>
          <w:i/>
          <w:iCs/>
          <w:sz w:val="24"/>
          <w:szCs w:val="24"/>
          <w:lang w:val="fr-FR"/>
        </w:rPr>
        <w:footnoteReference w:id="8"/>
      </w:r>
      <w:r>
        <w:rPr>
          <w:rFonts w:hint="default" w:asciiTheme="minorAscii"/>
          <w:i/>
          <w:iCs/>
          <w:sz w:val="24"/>
          <w:szCs w:val="24"/>
          <w:lang w:val="fr-FR"/>
        </w:rPr>
        <w:t>»...</w:t>
      </w:r>
    </w:p>
    <w:p>
      <w:pPr>
        <w:rPr>
          <w:rFonts w:hint="default" w:asciiTheme="minorAscii"/>
          <w:i w:val="0"/>
          <w:iCs w:val="0"/>
          <w:sz w:val="24"/>
          <w:szCs w:val="24"/>
          <w:lang w:val="fr-FR"/>
        </w:rPr>
      </w:pPr>
      <w:r>
        <w:rPr>
          <w:rFonts w:hint="default" w:asciiTheme="minorAscii"/>
          <w:i w:val="0"/>
          <w:iCs w:val="0"/>
          <w:sz w:val="24"/>
          <w:szCs w:val="24"/>
          <w:lang w:val="fr-FR"/>
        </w:rPr>
        <w:t>Aussi, pichot, ié vau ana plan, vau prendre mi precaucioun... Vau redire encaro un cop, avans d’ataca, que siéu segur de rèn, qu’ai ges de lume particulié sus aquel afaire, que me siéu jamai fa trop vièi</w:t>
      </w:r>
      <w:r>
        <w:rPr>
          <w:rStyle w:val="4"/>
          <w:rFonts w:hint="default" w:asciiTheme="minorAscii"/>
          <w:i w:val="0"/>
          <w:iCs w:val="0"/>
          <w:sz w:val="24"/>
          <w:szCs w:val="24"/>
          <w:lang w:val="fr-FR"/>
        </w:rPr>
        <w:footnoteReference w:id="9"/>
      </w:r>
      <w:r>
        <w:rPr>
          <w:rFonts w:hint="default" w:asciiTheme="minorAscii"/>
          <w:i w:val="0"/>
          <w:iCs w:val="0"/>
          <w:sz w:val="24"/>
          <w:szCs w:val="24"/>
          <w:lang w:val="fr-FR"/>
        </w:rPr>
        <w:t xml:space="preserve"> sus li virus en generau e sus lou couvide en particulié e que siéu tout lèst de renega</w:t>
      </w:r>
      <w:r>
        <w:rPr>
          <w:rStyle w:val="4"/>
          <w:rFonts w:hint="default" w:asciiTheme="minorAscii"/>
          <w:i w:val="0"/>
          <w:iCs w:val="0"/>
          <w:sz w:val="24"/>
          <w:szCs w:val="24"/>
          <w:lang w:val="fr-FR"/>
        </w:rPr>
        <w:footnoteReference w:id="10"/>
      </w:r>
      <w:r>
        <w:rPr>
          <w:rFonts w:hint="default" w:asciiTheme="minorAscii"/>
          <w:i w:val="0"/>
          <w:iCs w:val="0"/>
          <w:sz w:val="24"/>
          <w:szCs w:val="24"/>
          <w:lang w:val="fr-FR"/>
        </w:rPr>
        <w:t xml:space="preserve"> deman ço que vau dire vuei se quaucun me fai la provo (e sara belèu pas trop dificile) que siéu ana trop vite e qu’ai cauca en foro</w:t>
      </w:r>
      <w:r>
        <w:rPr>
          <w:rStyle w:val="4"/>
          <w:rFonts w:hint="default" w:asciiTheme="minorAscii"/>
          <w:i w:val="0"/>
          <w:iCs w:val="0"/>
          <w:sz w:val="24"/>
          <w:szCs w:val="24"/>
          <w:lang w:val="fr-FR"/>
        </w:rPr>
        <w:footnoteReference w:id="11"/>
      </w:r>
      <w:r>
        <w:rPr>
          <w:rFonts w:hint="default" w:asciiTheme="minorAscii"/>
          <w:i w:val="0"/>
          <w:iCs w:val="0"/>
          <w:sz w:val="24"/>
          <w:szCs w:val="24"/>
          <w:lang w:val="fr-FR"/>
        </w:rPr>
        <w:t>...</w:t>
      </w:r>
      <w:r>
        <w:rPr>
          <w:rFonts w:hint="default" w:asciiTheme="minorAscii"/>
          <w:i w:val="0"/>
          <w:iCs w:val="0"/>
          <w:sz w:val="24"/>
          <w:szCs w:val="24"/>
          <w:lang w:val="fr-FR"/>
        </w:rPr>
        <w:br w:type="textWrapping"/>
      </w:r>
      <w:r>
        <w:rPr>
          <w:rFonts w:hint="default" w:asciiTheme="minorAscii"/>
          <w:i w:val="0"/>
          <w:iCs w:val="0"/>
          <w:sz w:val="24"/>
          <w:szCs w:val="24"/>
          <w:lang w:val="fr-FR"/>
        </w:rPr>
        <w:t>M’anas dire, proubable, e aurés belèu pas tort, que s’es ansin fariéu miés de pausa l’estilò, de barra ma bouco e d’ana m’espaceja sus mi draio o regarda la televisioun... Vo, mai, justamen, à la televisioun parlon que d’acò, e proumena sus li draio èi quasimen interdi !</w:t>
      </w:r>
    </w:p>
    <w:p>
      <w:pPr>
        <w:rPr>
          <w:rFonts w:hint="default" w:asciiTheme="minorAscii"/>
          <w:i w:val="0"/>
          <w:iCs w:val="0"/>
          <w:sz w:val="24"/>
          <w:szCs w:val="24"/>
          <w:lang w:val="fr-FR"/>
        </w:rPr>
      </w:pPr>
      <w:r>
        <w:rPr>
          <w:rFonts w:hint="default" w:asciiTheme="minorAscii"/>
          <w:i w:val="0"/>
          <w:iCs w:val="0"/>
          <w:sz w:val="24"/>
          <w:szCs w:val="24"/>
          <w:lang w:val="fr-FR"/>
        </w:rPr>
        <w:t>E pièi, se fau tout dire, lis ami, parla d’acò èi subretout l’óucasioun de parla la lengo e de manteni de liame</w:t>
      </w:r>
      <w:r>
        <w:rPr>
          <w:rStyle w:val="4"/>
          <w:rFonts w:hint="default" w:asciiTheme="minorAscii"/>
          <w:i w:val="0"/>
          <w:iCs w:val="0"/>
          <w:sz w:val="24"/>
          <w:szCs w:val="24"/>
          <w:lang w:val="fr-FR"/>
        </w:rPr>
        <w:footnoteReference w:id="12"/>
      </w:r>
      <w:r>
        <w:rPr>
          <w:rFonts w:hint="default" w:asciiTheme="minorAscii"/>
          <w:i w:val="0"/>
          <w:iCs w:val="0"/>
          <w:sz w:val="24"/>
          <w:szCs w:val="24"/>
          <w:lang w:val="fr-FR"/>
        </w:rPr>
        <w:t>, ço que li sabentas ié dison: la founcioun fatico dóu lengage</w:t>
      </w:r>
      <w:r>
        <w:rPr>
          <w:rStyle w:val="4"/>
          <w:rFonts w:hint="default" w:asciiTheme="minorAscii"/>
          <w:i w:val="0"/>
          <w:iCs w:val="0"/>
          <w:sz w:val="24"/>
          <w:szCs w:val="24"/>
          <w:lang w:val="fr-FR"/>
        </w:rPr>
        <w:footnoteReference w:id="13"/>
      </w:r>
      <w:r>
        <w:rPr>
          <w:rFonts w:hint="default" w:asciiTheme="minorAscii"/>
          <w:i w:val="0"/>
          <w:iCs w:val="0"/>
          <w:sz w:val="24"/>
          <w:szCs w:val="24"/>
          <w:lang w:val="fr-FR"/>
        </w:rPr>
        <w:t>...</w:t>
      </w:r>
    </w:p>
    <w:p>
      <w:pPr>
        <w:rPr>
          <w:rFonts w:hint="default" w:asciiTheme="minorAscii"/>
          <w:i w:val="0"/>
          <w:iCs w:val="0"/>
          <w:sz w:val="24"/>
          <w:szCs w:val="24"/>
          <w:lang w:val="fr-FR"/>
        </w:rPr>
      </w:pPr>
      <w:r>
        <w:rPr>
          <w:rFonts w:hint="default" w:asciiTheme="minorAscii"/>
          <w:i w:val="0"/>
          <w:iCs w:val="0"/>
          <w:sz w:val="24"/>
          <w:szCs w:val="24"/>
          <w:lang w:val="fr-FR"/>
        </w:rPr>
        <w:t>Mai, justamen, siéu en trin de m’avisa qu’ai belèu fa proun long pèr vuei e que, lou couvide, n’en parlarai deman o après-deman, qu’ansin aurai, e aurés, lou tèms de chifra</w:t>
      </w:r>
      <w:r>
        <w:rPr>
          <w:rStyle w:val="4"/>
          <w:rFonts w:hint="default" w:asciiTheme="minorAscii"/>
          <w:i w:val="0"/>
          <w:iCs w:val="0"/>
          <w:sz w:val="24"/>
          <w:szCs w:val="24"/>
          <w:lang w:val="fr-FR"/>
        </w:rPr>
        <w:footnoteReference w:id="14"/>
      </w:r>
      <w:r>
        <w:rPr>
          <w:rFonts w:hint="default" w:asciiTheme="minorAscii"/>
          <w:i w:val="0"/>
          <w:iCs w:val="0"/>
          <w:sz w:val="24"/>
          <w:szCs w:val="24"/>
          <w:lang w:val="fr-FR"/>
        </w:rPr>
        <w:t xml:space="preserve"> enca ‘n pau avans de parla : lengo mudo, se dis, èi jamai estado batudo</w:t>
      </w:r>
      <w:r>
        <w:rPr>
          <w:rStyle w:val="4"/>
          <w:rFonts w:hint="default" w:asciiTheme="minorAscii"/>
          <w:i w:val="0"/>
          <w:iCs w:val="0"/>
          <w:sz w:val="24"/>
          <w:szCs w:val="24"/>
          <w:lang w:val="fr-FR"/>
        </w:rPr>
        <w:footnoteReference w:id="15"/>
      </w:r>
      <w:r>
        <w:rPr>
          <w:rFonts w:hint="default" w:asciiTheme="minorAscii"/>
          <w:i w:val="0"/>
          <w:iCs w:val="0"/>
          <w:sz w:val="24"/>
          <w:szCs w:val="24"/>
          <w:lang w:val="fr-FR"/>
        </w:rPr>
        <w:t>!</w:t>
      </w:r>
    </w:p>
    <w:p>
      <w:pPr>
        <w:rPr>
          <w:rFonts w:hint="default" w:asciiTheme="minorAscii"/>
          <w:i w:val="0"/>
          <w:iCs w:val="0"/>
          <w:sz w:val="24"/>
          <w:szCs w:val="24"/>
          <w:lang w:val="fr-FR"/>
        </w:rPr>
      </w:pPr>
      <w:r>
        <w:rPr>
          <w:rFonts w:hint="default" w:asciiTheme="minorAscii"/>
          <w:i w:val="0"/>
          <w:iCs w:val="0"/>
          <w:sz w:val="24"/>
          <w:szCs w:val="24"/>
          <w:lang w:val="fr-FR"/>
        </w:rPr>
        <w:t xml:space="preserve">Ah ! quand meme, uno pichoto devinaio (e aquelo, la trouvarés pas dins lou </w:t>
      </w:r>
      <w:r>
        <w:rPr>
          <w:rFonts w:hint="default" w:asciiTheme="minorAscii"/>
          <w:i/>
          <w:iCs/>
          <w:sz w:val="24"/>
          <w:szCs w:val="24"/>
          <w:lang w:val="fr-FR"/>
        </w:rPr>
        <w:t>Tresor</w:t>
      </w:r>
      <w:r>
        <w:rPr>
          <w:rFonts w:hint="default" w:asciiTheme="minorAscii"/>
          <w:i w:val="0"/>
          <w:iCs w:val="0"/>
          <w:sz w:val="24"/>
          <w:szCs w:val="24"/>
          <w:lang w:val="fr-FR"/>
        </w:rPr>
        <w:t xml:space="preserve"> de Mistral) : Qu’es acò : uno pichoto galo roujo que fai lou mounde tant ferouge</w:t>
      </w:r>
      <w:r>
        <w:rPr>
          <w:rStyle w:val="4"/>
          <w:rFonts w:hint="default" w:asciiTheme="minorAscii"/>
          <w:i w:val="0"/>
          <w:iCs w:val="0"/>
          <w:sz w:val="24"/>
          <w:szCs w:val="24"/>
          <w:lang w:val="fr-FR"/>
        </w:rPr>
        <w:footnoteReference w:id="16"/>
      </w:r>
      <w:r>
        <w:rPr>
          <w:rFonts w:hint="default" w:asciiTheme="minorAscii"/>
          <w:i w:val="0"/>
          <w:iCs w:val="0"/>
          <w:sz w:val="24"/>
          <w:szCs w:val="24"/>
          <w:lang w:val="fr-FR"/>
        </w:rPr>
        <w:t xml:space="preserve">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rFonts w:hint="default"/>
          <w:lang w:val="fr-FR"/>
        </w:rPr>
      </w:pPr>
      <w:r>
        <w:rPr>
          <w:rStyle w:val="4"/>
        </w:rPr>
        <w:footnoteRef/>
      </w:r>
      <w:r>
        <w:t xml:space="preserve"> </w:t>
      </w:r>
      <w:r>
        <w:rPr>
          <w:rFonts w:hint="default"/>
          <w:lang w:val="fr-FR"/>
        </w:rPr>
        <w:t>De s’engager sur ces sujets...</w:t>
      </w:r>
    </w:p>
  </w:footnote>
  <w:footnote w:id="1">
    <w:p>
      <w:pPr>
        <w:pStyle w:val="2"/>
        <w:snapToGrid w:val="0"/>
        <w:rPr>
          <w:rFonts w:hint="default"/>
          <w:lang w:val="fr-FR"/>
        </w:rPr>
      </w:pPr>
      <w:r>
        <w:rPr>
          <w:rStyle w:val="4"/>
        </w:rPr>
        <w:footnoteRef/>
      </w:r>
      <w:r>
        <w:t xml:space="preserve"> </w:t>
      </w:r>
      <w:r>
        <w:rPr>
          <w:rFonts w:hint="default"/>
          <w:lang w:val="fr-FR"/>
        </w:rPr>
        <w:t>Affirmant.</w:t>
      </w:r>
    </w:p>
  </w:footnote>
  <w:footnote w:id="2">
    <w:p>
      <w:pPr>
        <w:pStyle w:val="2"/>
        <w:snapToGrid w:val="0"/>
        <w:rPr>
          <w:rFonts w:hint="default"/>
          <w:lang w:val="fr-FR"/>
        </w:rPr>
      </w:pPr>
      <w:r>
        <w:rPr>
          <w:rStyle w:val="4"/>
        </w:rPr>
        <w:footnoteRef/>
      </w:r>
      <w:r>
        <w:t xml:space="preserve"> </w:t>
      </w:r>
      <w:r>
        <w:rPr>
          <w:rFonts w:hint="default"/>
          <w:lang w:val="fr-FR"/>
        </w:rPr>
        <w:t>Lou dessin èro d’un caricaturisto famous à l’epoco : Caran d’Ache (1858-1909)</w:t>
      </w:r>
    </w:p>
  </w:footnote>
  <w:footnote w:id="3">
    <w:p>
      <w:pPr>
        <w:pStyle w:val="2"/>
        <w:snapToGrid w:val="0"/>
        <w:rPr>
          <w:rFonts w:hint="default"/>
          <w:lang w:val="fr-FR"/>
        </w:rPr>
      </w:pPr>
      <w:r>
        <w:rPr>
          <w:rStyle w:val="4"/>
        </w:rPr>
        <w:footnoteRef/>
      </w:r>
      <w:r>
        <w:t xml:space="preserve"> </w:t>
      </w:r>
      <w:r>
        <w:rPr>
          <w:rFonts w:hint="default"/>
          <w:lang w:val="fr-FR"/>
        </w:rPr>
        <w:t>Le feu s’était attisé.</w:t>
      </w:r>
    </w:p>
  </w:footnote>
  <w:footnote w:id="4">
    <w:p>
      <w:pPr>
        <w:pStyle w:val="2"/>
        <w:snapToGrid w:val="0"/>
        <w:rPr>
          <w:rFonts w:hint="default"/>
          <w:lang w:val="fr-FR"/>
        </w:rPr>
      </w:pPr>
      <w:r>
        <w:rPr>
          <w:rStyle w:val="4"/>
        </w:rPr>
        <w:footnoteRef/>
      </w:r>
      <w:r>
        <w:t xml:space="preserve"> </w:t>
      </w:r>
      <w:r>
        <w:rPr>
          <w:rFonts w:hint="default"/>
          <w:lang w:val="fr-FR"/>
        </w:rPr>
        <w:t>Virulentes.</w:t>
      </w:r>
    </w:p>
  </w:footnote>
  <w:footnote w:id="5">
    <w:p>
      <w:pPr>
        <w:pStyle w:val="2"/>
        <w:snapToGrid w:val="0"/>
        <w:rPr>
          <w:rFonts w:hint="default"/>
          <w:lang w:val="fr-FR"/>
        </w:rPr>
      </w:pPr>
      <w:r>
        <w:rPr>
          <w:rStyle w:val="4"/>
        </w:rPr>
        <w:footnoteRef/>
      </w:r>
      <w:r>
        <w:t xml:space="preserve"> </w:t>
      </w:r>
      <w:r>
        <w:rPr>
          <w:rFonts w:hint="default"/>
          <w:lang w:val="fr-FR"/>
        </w:rPr>
        <w:t xml:space="preserve">Mot à mot = monter sur son figuier = s’énerver, </w:t>
      </w:r>
    </w:p>
  </w:footnote>
  <w:footnote w:id="6">
    <w:p>
      <w:pPr>
        <w:pStyle w:val="2"/>
        <w:snapToGrid w:val="0"/>
        <w:rPr>
          <w:rFonts w:hint="default"/>
          <w:lang w:val="fr-FR"/>
        </w:rPr>
      </w:pPr>
      <w:r>
        <w:rPr>
          <w:rStyle w:val="4"/>
        </w:rPr>
        <w:footnoteRef/>
      </w:r>
      <w:r>
        <w:t xml:space="preserve"> </w:t>
      </w:r>
      <w:r>
        <w:rPr>
          <w:rFonts w:hint="default"/>
          <w:lang w:val="fr-FR"/>
        </w:rPr>
        <w:t>Bouder.</w:t>
      </w:r>
    </w:p>
  </w:footnote>
  <w:footnote w:id="7">
    <w:p>
      <w:pPr>
        <w:pStyle w:val="2"/>
        <w:snapToGrid w:val="0"/>
        <w:rPr>
          <w:rFonts w:hint="default"/>
          <w:lang w:val="fr-FR"/>
        </w:rPr>
      </w:pPr>
      <w:r>
        <w:rPr>
          <w:rStyle w:val="4"/>
        </w:rPr>
        <w:footnoteRef/>
      </w:r>
      <w:r>
        <w:t xml:space="preserve"> </w:t>
      </w:r>
      <w:r>
        <w:rPr>
          <w:rFonts w:hint="default"/>
          <w:lang w:val="fr-FR"/>
        </w:rPr>
        <w:t>Acò apouncho pas un fus = Cela n’est d’aucune utilité.</w:t>
      </w:r>
    </w:p>
  </w:footnote>
  <w:footnote w:id="8">
    <w:p>
      <w:pPr>
        <w:pStyle w:val="2"/>
        <w:snapToGrid w:val="0"/>
        <w:rPr>
          <w:rFonts w:hint="default"/>
          <w:lang w:val="fr-FR"/>
        </w:rPr>
      </w:pPr>
      <w:r>
        <w:rPr>
          <w:rStyle w:val="4"/>
        </w:rPr>
        <w:footnoteRef/>
      </w:r>
      <w:r>
        <w:rPr>
          <w:rFonts w:hint="default"/>
          <w:lang w:val="fr-FR"/>
        </w:rPr>
        <w:t xml:space="preserve"> Mistral, </w:t>
      </w:r>
      <w:r>
        <w:rPr>
          <w:rFonts w:hint="default"/>
          <w:i/>
          <w:iCs/>
          <w:lang w:val="fr-FR"/>
        </w:rPr>
        <w:t>Memòri e Raconte</w:t>
      </w:r>
      <w:r>
        <w:rPr>
          <w:rFonts w:hint="default"/>
          <w:i w:val="0"/>
          <w:iCs w:val="0"/>
          <w:lang w:val="fr-FR"/>
        </w:rPr>
        <w:t>, ch IX.</w:t>
      </w:r>
      <w:r>
        <w:t xml:space="preserve"> </w:t>
      </w:r>
      <w:r>
        <w:rPr>
          <w:rFonts w:hint="default"/>
          <w:lang w:val="fr-FR"/>
        </w:rPr>
        <w:t>Se manja lou fege = Se manger le foie...</w:t>
      </w:r>
    </w:p>
  </w:footnote>
  <w:footnote w:id="9">
    <w:p>
      <w:pPr>
        <w:pStyle w:val="2"/>
        <w:snapToGrid w:val="0"/>
        <w:rPr>
          <w:rFonts w:hint="default"/>
          <w:lang w:val="fr-FR"/>
        </w:rPr>
      </w:pPr>
      <w:r>
        <w:rPr>
          <w:rStyle w:val="4"/>
        </w:rPr>
        <w:footnoteRef/>
      </w:r>
      <w:r>
        <w:t xml:space="preserve"> </w:t>
      </w:r>
      <w:r>
        <w:rPr>
          <w:rFonts w:hint="default"/>
          <w:lang w:val="fr-FR"/>
        </w:rPr>
        <w:t>Se faire viei sus quaucarèn = Se faire vieux sur quelque chose = étudier, se renseigner.</w:t>
      </w:r>
    </w:p>
  </w:footnote>
  <w:footnote w:id="10">
    <w:p>
      <w:pPr>
        <w:pStyle w:val="2"/>
        <w:snapToGrid w:val="0"/>
        <w:rPr>
          <w:rFonts w:hint="default"/>
          <w:lang w:val="fr-FR"/>
        </w:rPr>
      </w:pPr>
      <w:r>
        <w:rPr>
          <w:rStyle w:val="4"/>
        </w:rPr>
        <w:footnoteRef/>
      </w:r>
      <w:r>
        <w:t xml:space="preserve"> </w:t>
      </w:r>
      <w:r>
        <w:rPr>
          <w:rFonts w:hint="default"/>
          <w:lang w:val="fr-FR"/>
        </w:rPr>
        <w:t>Renier.</w:t>
      </w:r>
    </w:p>
  </w:footnote>
  <w:footnote w:id="11">
    <w:p>
      <w:pPr>
        <w:pStyle w:val="2"/>
        <w:snapToGrid w:val="0"/>
        <w:rPr>
          <w:rFonts w:hint="default"/>
          <w:lang w:val="fr-FR"/>
        </w:rPr>
      </w:pPr>
      <w:r>
        <w:rPr>
          <w:rStyle w:val="4"/>
        </w:rPr>
        <w:footnoteRef/>
      </w:r>
      <w:r>
        <w:t xml:space="preserve"> </w:t>
      </w:r>
      <w:r>
        <w:rPr>
          <w:rFonts w:hint="default"/>
          <w:lang w:val="fr-FR"/>
        </w:rPr>
        <w:t>Fouler en dehors = Dire ou faire n’importe quoi... Cauca, c’était fouler le blé avec les chevaux pour séparer le grain de la paille.</w:t>
      </w:r>
    </w:p>
  </w:footnote>
  <w:footnote w:id="12">
    <w:p>
      <w:pPr>
        <w:pStyle w:val="2"/>
        <w:snapToGrid w:val="0"/>
        <w:rPr>
          <w:rFonts w:hint="default"/>
          <w:lang w:val="fr-FR"/>
        </w:rPr>
      </w:pPr>
      <w:r>
        <w:rPr>
          <w:rStyle w:val="4"/>
        </w:rPr>
        <w:footnoteRef/>
      </w:r>
      <w:r>
        <w:t xml:space="preserve"> </w:t>
      </w:r>
      <w:r>
        <w:rPr>
          <w:rFonts w:hint="default"/>
          <w:lang w:val="fr-FR"/>
        </w:rPr>
        <w:t>Maintenir du lien.</w:t>
      </w:r>
    </w:p>
  </w:footnote>
  <w:footnote w:id="13">
    <w:p>
      <w:pPr>
        <w:pStyle w:val="2"/>
        <w:snapToGrid w:val="0"/>
        <w:rPr>
          <w:rFonts w:hint="default"/>
          <w:lang w:val="fr-FR"/>
        </w:rPr>
      </w:pPr>
      <w:r>
        <w:rPr>
          <w:rStyle w:val="4"/>
        </w:rPr>
        <w:footnoteRef/>
      </w:r>
      <w:r>
        <w:t xml:space="preserve"> </w:t>
      </w:r>
      <w:r>
        <w:rPr>
          <w:rFonts w:hint="default"/>
          <w:lang w:val="fr-FR"/>
        </w:rPr>
        <w:t>La fonction phatique = parler non pas pour dire quelque chose, pour communiquer, mais pour établir ou maintenir un lien entre les locuteurs.</w:t>
      </w:r>
    </w:p>
  </w:footnote>
  <w:footnote w:id="14">
    <w:p>
      <w:pPr>
        <w:pStyle w:val="2"/>
        <w:snapToGrid w:val="0"/>
        <w:rPr>
          <w:rFonts w:hint="default"/>
          <w:lang w:val="fr-FR"/>
        </w:rPr>
      </w:pPr>
      <w:r>
        <w:rPr>
          <w:rStyle w:val="4"/>
        </w:rPr>
        <w:footnoteRef/>
      </w:r>
      <w:r>
        <w:t xml:space="preserve"> </w:t>
      </w:r>
      <w:r>
        <w:rPr>
          <w:rFonts w:hint="default"/>
          <w:lang w:val="fr-FR"/>
        </w:rPr>
        <w:t>Réfléchir.</w:t>
      </w:r>
    </w:p>
  </w:footnote>
  <w:footnote w:id="15">
    <w:p>
      <w:pPr>
        <w:pStyle w:val="2"/>
        <w:snapToGrid w:val="0"/>
        <w:rPr>
          <w:rFonts w:hint="default"/>
          <w:lang w:val="fr-FR"/>
        </w:rPr>
      </w:pPr>
      <w:r>
        <w:rPr>
          <w:rStyle w:val="4"/>
        </w:rPr>
        <w:footnoteRef/>
      </w:r>
      <w:r>
        <w:t xml:space="preserve"> </w:t>
      </w:r>
      <w:r>
        <w:rPr>
          <w:rFonts w:hint="default"/>
          <w:lang w:val="fr-FR"/>
        </w:rPr>
        <w:t>Langue muette n’a jamais été battue = Tourner sept fois sa langue dans sa bouche...</w:t>
      </w:r>
    </w:p>
  </w:footnote>
  <w:footnote w:id="16">
    <w:p>
      <w:pPr>
        <w:pStyle w:val="2"/>
        <w:snapToGrid w:val="0"/>
        <w:rPr>
          <w:rFonts w:hint="default"/>
          <w:lang w:val="fr-FR"/>
        </w:rPr>
      </w:pPr>
      <w:r>
        <w:rPr>
          <w:rStyle w:val="4"/>
        </w:rPr>
        <w:footnoteRef/>
      </w:r>
      <w:r>
        <w:t xml:space="preserve"> </w:t>
      </w:r>
      <w:r>
        <w:rPr>
          <w:rFonts w:hint="default"/>
          <w:lang w:val="fr-FR"/>
        </w:rPr>
        <w:t>Une petite boule rouge qui rend les gens si agressifs.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60D9F"/>
    <w:rsid w:val="0AC6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character" w:styleId="4">
    <w:name w:val="footnote reference"/>
    <w:basedOn w:val="3"/>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2020-11-08T09:15:00Z</dcterms:created>
  <dc:creator>René</dc:creator>
  <cp:lastModifiedBy>René</cp:lastModifiedBy>
  <dcterms:modified xsi:type="dcterms:W3CDTF">2020-11-08T09:15:32Z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