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84" w:rsidRPr="009B4EE6" w:rsidRDefault="007B34F0" w:rsidP="004E157F">
      <w:pPr>
        <w:rPr>
          <w:rFonts w:ascii="Lucida Bright" w:hAnsi="Lucida Bright"/>
        </w:rPr>
      </w:pPr>
      <w:bookmarkStart w:id="0" w:name="_GoBack"/>
      <w:bookmarkEnd w:id="0"/>
      <w:r>
        <w:rPr>
          <w:rFonts w:ascii="Lucida Bright" w:hAnsi="Lucida Bright"/>
        </w:rPr>
        <w:softHyphen/>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35"/>
        <w:gridCol w:w="5670"/>
        <w:gridCol w:w="2092"/>
      </w:tblGrid>
      <w:tr w:rsidR="00E76D9B" w:rsidTr="004D476B">
        <w:trPr>
          <w:trHeight w:val="1400"/>
        </w:trPr>
        <w:tc>
          <w:tcPr>
            <w:tcW w:w="2235" w:type="dxa"/>
            <w:tcBorders>
              <w:top w:val="nil"/>
              <w:bottom w:val="nil"/>
              <w:right w:val="nil"/>
            </w:tcBorders>
            <w:vAlign w:val="center"/>
          </w:tcPr>
          <w:p w:rsidR="00E76D9B" w:rsidRDefault="007A3E16" w:rsidP="00BC5484">
            <w:pPr>
              <w:jc w:val="center"/>
              <w:rPr>
                <w:rFonts w:ascii="Lucida Bright" w:hAnsi="Lucida Bright"/>
              </w:rPr>
            </w:pPr>
            <w:r>
              <w:rPr>
                <w:rFonts w:ascii="Gotham Rounded Book" w:hAnsi="Gotham Rounded Book"/>
                <w:noProof/>
                <w:sz w:val="20"/>
                <w:szCs w:val="20"/>
              </w:rPr>
              <w:drawing>
                <wp:inline distT="0" distB="0" distL="0" distR="0" wp14:anchorId="2A1DBB82" wp14:editId="51AF4590">
                  <wp:extent cx="965835" cy="965835"/>
                  <wp:effectExtent l="0" t="0" r="5715" b="5715"/>
                  <wp:docPr id="8" name="Image 8" descr="C:\Users\fcl\Desktop\Papiers-entete\Logo SPF 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l\Desktop\Papiers-entete\Logo SPF 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87" cy="956387"/>
                          </a:xfrm>
                          <a:prstGeom prst="rect">
                            <a:avLst/>
                          </a:prstGeom>
                          <a:noFill/>
                          <a:ln>
                            <a:noFill/>
                          </a:ln>
                        </pic:spPr>
                      </pic:pic>
                    </a:graphicData>
                  </a:graphic>
                </wp:inline>
              </w:drawing>
            </w:r>
          </w:p>
        </w:tc>
        <w:tc>
          <w:tcPr>
            <w:tcW w:w="5670" w:type="dxa"/>
            <w:tcBorders>
              <w:top w:val="nil"/>
              <w:left w:val="nil"/>
              <w:bottom w:val="nil"/>
            </w:tcBorders>
            <w:vAlign w:val="center"/>
          </w:tcPr>
          <w:p w:rsidR="00E76D9B" w:rsidRDefault="007A3E16" w:rsidP="004D476B">
            <w:pPr>
              <w:rPr>
                <w:rFonts w:ascii="Lucida Bright" w:hAnsi="Lucida Bright"/>
              </w:rPr>
            </w:pPr>
            <w:r>
              <w:rPr>
                <w:rFonts w:ascii="Lucida Bright" w:hAnsi="Lucida Bright"/>
                <w:noProof/>
              </w:rPr>
              <w:drawing>
                <wp:inline distT="0" distB="0" distL="0" distR="0" wp14:anchorId="575FB8A4" wp14:editId="0E3B4845">
                  <wp:extent cx="1013460" cy="774959"/>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_ENTETE_AWEX_V26102013.jpg"/>
                          <pic:cNvPicPr/>
                        </pic:nvPicPr>
                        <pic:blipFill rotWithShape="1">
                          <a:blip r:embed="rId9">
                            <a:extLst>
                              <a:ext uri="{28A0092B-C50C-407E-A947-70E740481C1C}">
                                <a14:useLocalDpi xmlns:a14="http://schemas.microsoft.com/office/drawing/2010/main" val="0"/>
                              </a:ext>
                            </a:extLst>
                          </a:blip>
                          <a:srcRect l="-1631" t="-1620" r="-1631" b="-1620"/>
                          <a:stretch/>
                        </pic:blipFill>
                        <pic:spPr>
                          <a:xfrm>
                            <a:off x="0" y="0"/>
                            <a:ext cx="1013245" cy="7747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092" w:type="dxa"/>
            <w:tcBorders>
              <w:top w:val="nil"/>
              <w:bottom w:val="nil"/>
            </w:tcBorders>
            <w:vAlign w:val="center"/>
          </w:tcPr>
          <w:p w:rsidR="00E76D9B" w:rsidRDefault="00E76D9B" w:rsidP="004D476B">
            <w:pPr>
              <w:jc w:val="right"/>
              <w:rPr>
                <w:rFonts w:ascii="Lucida Bright" w:hAnsi="Lucida Bright"/>
              </w:rPr>
            </w:pPr>
            <w:r>
              <w:rPr>
                <w:rFonts w:ascii="Lucida Bright" w:hAnsi="Lucida Bright"/>
                <w:noProof/>
              </w:rPr>
              <w:drawing>
                <wp:inline distT="0" distB="0" distL="0" distR="0" wp14:anchorId="3A6B6A45" wp14:editId="45D8A51E">
                  <wp:extent cx="720090" cy="504063"/>
                  <wp:effectExtent l="0" t="0" r="3810" b="0"/>
                  <wp:docPr id="6" name="Image 6" descr="C:\Users\fcl\Desktop\Papiers-entete\BIE-EN-CMJ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l\Desktop\Papiers-entete\BIE-EN-CMJ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234" cy="507663"/>
                          </a:xfrm>
                          <a:prstGeom prst="rect">
                            <a:avLst/>
                          </a:prstGeom>
                          <a:noFill/>
                          <a:ln>
                            <a:noFill/>
                          </a:ln>
                        </pic:spPr>
                      </pic:pic>
                    </a:graphicData>
                  </a:graphic>
                </wp:inline>
              </w:drawing>
            </w:r>
          </w:p>
        </w:tc>
      </w:tr>
    </w:tbl>
    <w:p w:rsidR="004E157F" w:rsidRPr="009B4EE6" w:rsidRDefault="004E157F" w:rsidP="004E157F">
      <w:pPr>
        <w:rPr>
          <w:rFonts w:ascii="Lucida Bright" w:hAnsi="Lucida Bright"/>
        </w:rPr>
      </w:pPr>
    </w:p>
    <w:p w:rsidR="007A3E16" w:rsidRDefault="00351057" w:rsidP="004E157F">
      <w:pPr>
        <w:rPr>
          <w:rFonts w:ascii="Gotham Rounded Book" w:hAnsi="Gotham Rounded Book"/>
        </w:rPr>
      </w:pPr>
      <w:r>
        <w:rPr>
          <w:rFonts w:ascii="Gotham Rounded Book" w:hAnsi="Gotham Rounded Book"/>
        </w:rPr>
        <w:t xml:space="preserve"> </w:t>
      </w: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7A3E16" w:rsidTr="007A3E16">
        <w:trPr>
          <w:trHeight w:val="80"/>
        </w:trPr>
        <w:tc>
          <w:tcPr>
            <w:tcW w:w="9921" w:type="dxa"/>
          </w:tcPr>
          <w:p w:rsidR="007A3E16" w:rsidRDefault="007A3E16" w:rsidP="004E157F">
            <w:pPr>
              <w:rPr>
                <w:rFonts w:ascii="Gotham Rounded Book" w:hAnsi="Gotham Rounded Book"/>
              </w:rPr>
            </w:pPr>
          </w:p>
        </w:tc>
      </w:tr>
    </w:tbl>
    <w:p w:rsidR="004E157F" w:rsidRPr="00C40F5D" w:rsidRDefault="00C40F5D" w:rsidP="00167A40">
      <w:pPr>
        <w:jc w:val="center"/>
        <w:rPr>
          <w:rFonts w:asciiTheme="minorHAnsi" w:hAnsiTheme="minorHAnsi"/>
          <w:b/>
          <w:u w:val="single"/>
        </w:rPr>
      </w:pPr>
      <w:r w:rsidRPr="00C40F5D">
        <w:rPr>
          <w:rFonts w:asciiTheme="minorHAnsi" w:hAnsiTheme="minorHAnsi"/>
          <w:b/>
          <w:u w:val="single"/>
        </w:rPr>
        <w:t>LE MARCHÉ DES É</w:t>
      </w:r>
      <w:r w:rsidR="00365A31" w:rsidRPr="00C40F5D">
        <w:rPr>
          <w:rFonts w:asciiTheme="minorHAnsi" w:hAnsiTheme="minorHAnsi"/>
          <w:b/>
          <w:u w:val="single"/>
        </w:rPr>
        <w:t xml:space="preserve">NERGIES RENOUVELABLES </w:t>
      </w:r>
      <w:r w:rsidR="00167A40" w:rsidRPr="00C40F5D">
        <w:rPr>
          <w:rFonts w:asciiTheme="minorHAnsi" w:hAnsiTheme="minorHAnsi"/>
          <w:b/>
          <w:u w:val="single"/>
        </w:rPr>
        <w:t>EN ROUMANIE</w:t>
      </w:r>
    </w:p>
    <w:p w:rsidR="00167A40" w:rsidRDefault="00167A40" w:rsidP="004E157F">
      <w:pPr>
        <w:rPr>
          <w:rFonts w:asciiTheme="minorHAnsi" w:hAnsiTheme="minorHAnsi"/>
        </w:rPr>
      </w:pPr>
    </w:p>
    <w:p w:rsidR="00E1446E" w:rsidRDefault="00E1446E" w:rsidP="00167A40">
      <w:pPr>
        <w:rPr>
          <w:rFonts w:asciiTheme="minorHAnsi" w:hAnsiTheme="minorHAnsi"/>
          <w:b/>
        </w:rPr>
      </w:pPr>
    </w:p>
    <w:p w:rsidR="00167A40" w:rsidRDefault="00C40F5D" w:rsidP="00167A40">
      <w:pPr>
        <w:rPr>
          <w:rFonts w:asciiTheme="minorHAnsi" w:hAnsiTheme="minorHAnsi"/>
          <w:b/>
        </w:rPr>
      </w:pPr>
      <w:r>
        <w:rPr>
          <w:rFonts w:asciiTheme="minorHAnsi" w:hAnsiTheme="minorHAnsi"/>
          <w:b/>
        </w:rPr>
        <w:t>ÉTAT</w:t>
      </w:r>
      <w:r w:rsidR="00050B62">
        <w:rPr>
          <w:rFonts w:asciiTheme="minorHAnsi" w:hAnsiTheme="minorHAnsi"/>
          <w:b/>
        </w:rPr>
        <w:t xml:space="preserve"> G</w:t>
      </w:r>
      <w:r w:rsidR="00050B62" w:rsidRPr="00486D28">
        <w:rPr>
          <w:rFonts w:asciiTheme="minorHAnsi" w:hAnsiTheme="minorHAnsi"/>
          <w:b/>
        </w:rPr>
        <w:t>É</w:t>
      </w:r>
      <w:r w:rsidR="00050B62">
        <w:rPr>
          <w:rFonts w:asciiTheme="minorHAnsi" w:hAnsiTheme="minorHAnsi"/>
          <w:b/>
        </w:rPr>
        <w:t>N</w:t>
      </w:r>
      <w:r w:rsidR="00050B62" w:rsidRPr="00486D28">
        <w:rPr>
          <w:rFonts w:asciiTheme="minorHAnsi" w:hAnsiTheme="minorHAnsi"/>
          <w:b/>
        </w:rPr>
        <w:t>É</w:t>
      </w:r>
      <w:r w:rsidR="00050B62">
        <w:rPr>
          <w:rFonts w:asciiTheme="minorHAnsi" w:hAnsiTheme="minorHAnsi"/>
          <w:b/>
        </w:rPr>
        <w:t>RAL</w:t>
      </w:r>
      <w:r>
        <w:rPr>
          <w:rFonts w:asciiTheme="minorHAnsi" w:hAnsiTheme="minorHAnsi"/>
          <w:b/>
        </w:rPr>
        <w:t xml:space="preserve"> DU MARCH</w:t>
      </w:r>
      <w:r w:rsidRPr="00486D28">
        <w:rPr>
          <w:rFonts w:asciiTheme="minorHAnsi" w:hAnsiTheme="minorHAnsi"/>
          <w:b/>
        </w:rPr>
        <w:t>É</w:t>
      </w:r>
    </w:p>
    <w:p w:rsidR="00CE278E" w:rsidRDefault="00CE278E" w:rsidP="00167A40">
      <w:pPr>
        <w:rPr>
          <w:rFonts w:asciiTheme="minorHAnsi" w:hAnsiTheme="minorHAnsi"/>
          <w:b/>
        </w:rPr>
      </w:pPr>
    </w:p>
    <w:p w:rsidR="00F5234A" w:rsidRDefault="00365A31" w:rsidP="00772063">
      <w:pPr>
        <w:jc w:val="both"/>
        <w:rPr>
          <w:rFonts w:asciiTheme="minorHAnsi" w:hAnsiTheme="minorHAnsi"/>
          <w:lang w:val="fr-BE"/>
        </w:rPr>
      </w:pPr>
      <w:r>
        <w:rPr>
          <w:rFonts w:asciiTheme="minorHAnsi" w:hAnsiTheme="minorHAnsi"/>
        </w:rPr>
        <w:t xml:space="preserve">La Roumanie </w:t>
      </w:r>
      <w:r>
        <w:rPr>
          <w:rFonts w:asciiTheme="minorHAnsi" w:hAnsiTheme="minorHAnsi"/>
          <w:lang w:val="fr-BE"/>
        </w:rPr>
        <w:t>bénéficie, de par</w:t>
      </w:r>
      <w:r w:rsidR="001A600C">
        <w:rPr>
          <w:rFonts w:asciiTheme="minorHAnsi" w:hAnsiTheme="minorHAnsi"/>
          <w:lang w:val="fr-BE"/>
        </w:rPr>
        <w:t xml:space="preserve"> son climat et</w:t>
      </w:r>
      <w:r>
        <w:rPr>
          <w:rFonts w:asciiTheme="minorHAnsi" w:hAnsiTheme="minorHAnsi"/>
          <w:lang w:val="fr-BE"/>
        </w:rPr>
        <w:t xml:space="preserve"> ses ressources naturelles, d’un potentiel énorme en matière d’énergie</w:t>
      </w:r>
      <w:r w:rsidR="00D23A0F">
        <w:rPr>
          <w:rFonts w:asciiTheme="minorHAnsi" w:hAnsiTheme="minorHAnsi"/>
          <w:lang w:val="fr-BE"/>
        </w:rPr>
        <w:t>s</w:t>
      </w:r>
      <w:r>
        <w:rPr>
          <w:rFonts w:asciiTheme="minorHAnsi" w:hAnsiTheme="minorHAnsi"/>
          <w:lang w:val="fr-BE"/>
        </w:rPr>
        <w:t xml:space="preserve"> renouvelable</w:t>
      </w:r>
      <w:r w:rsidR="00D23A0F">
        <w:rPr>
          <w:rFonts w:asciiTheme="minorHAnsi" w:hAnsiTheme="minorHAnsi"/>
          <w:lang w:val="fr-BE"/>
        </w:rPr>
        <w:t>s</w:t>
      </w:r>
      <w:r>
        <w:rPr>
          <w:rFonts w:asciiTheme="minorHAnsi" w:hAnsiTheme="minorHAnsi"/>
          <w:lang w:val="fr-BE"/>
        </w:rPr>
        <w:t xml:space="preserve">. </w:t>
      </w:r>
      <w:r w:rsidR="001A600C">
        <w:rPr>
          <w:rFonts w:asciiTheme="minorHAnsi" w:hAnsiTheme="minorHAnsi"/>
          <w:lang w:val="fr-BE"/>
        </w:rPr>
        <w:t>Il s’agit de l’un des secteurs les plus proli</w:t>
      </w:r>
      <w:r w:rsidR="00A6392B">
        <w:rPr>
          <w:rFonts w:asciiTheme="minorHAnsi" w:hAnsiTheme="minorHAnsi"/>
          <w:lang w:val="fr-BE"/>
        </w:rPr>
        <w:t>fiques pour les investissements</w:t>
      </w:r>
      <w:r w:rsidR="0089603A">
        <w:rPr>
          <w:rFonts w:asciiTheme="minorHAnsi" w:hAnsiTheme="minorHAnsi"/>
          <w:lang w:val="fr-BE"/>
        </w:rPr>
        <w:t xml:space="preserve"> et des plus porteurs pour l’économie roumaine. </w:t>
      </w:r>
      <w:r w:rsidR="00A6392B">
        <w:rPr>
          <w:rFonts w:asciiTheme="minorHAnsi" w:hAnsiTheme="minorHAnsi"/>
          <w:lang w:val="fr-BE"/>
        </w:rPr>
        <w:t xml:space="preserve"> </w:t>
      </w:r>
      <w:r w:rsidR="0089603A">
        <w:rPr>
          <w:rFonts w:asciiTheme="minorHAnsi" w:hAnsiTheme="minorHAnsi"/>
          <w:lang w:val="fr-BE"/>
        </w:rPr>
        <w:t xml:space="preserve"> Toutefois, le frein principal à son développement </w:t>
      </w:r>
      <w:r w:rsidR="0013182E">
        <w:rPr>
          <w:rFonts w:asciiTheme="minorHAnsi" w:hAnsiTheme="minorHAnsi"/>
          <w:lang w:val="fr-BE"/>
        </w:rPr>
        <w:t xml:space="preserve">a été </w:t>
      </w:r>
      <w:r w:rsidR="00B56FAA">
        <w:rPr>
          <w:rFonts w:asciiTheme="minorHAnsi" w:hAnsiTheme="minorHAnsi"/>
          <w:lang w:val="fr-BE"/>
        </w:rPr>
        <w:t>l’instabilité à niveau législatif.</w:t>
      </w:r>
    </w:p>
    <w:p w:rsidR="0094401D" w:rsidRDefault="0094401D" w:rsidP="0094401D">
      <w:pPr>
        <w:jc w:val="both"/>
        <w:rPr>
          <w:rFonts w:asciiTheme="minorHAnsi" w:hAnsiTheme="minorHAnsi"/>
          <w:lang w:val="fr-BE"/>
        </w:rPr>
      </w:pPr>
    </w:p>
    <w:p w:rsidR="0094401D" w:rsidRDefault="0094401D" w:rsidP="0094401D">
      <w:pPr>
        <w:jc w:val="both"/>
        <w:rPr>
          <w:rFonts w:asciiTheme="minorHAnsi" w:hAnsiTheme="minorHAnsi"/>
          <w:lang w:val="fr-BE"/>
        </w:rPr>
      </w:pPr>
      <w:r>
        <w:rPr>
          <w:rFonts w:asciiTheme="minorHAnsi" w:hAnsiTheme="minorHAnsi"/>
          <w:lang w:val="fr-BE"/>
        </w:rPr>
        <w:t>Les progrès enregistrés par la Roumanie en matière d’énergie renouvelable ont été considérables</w:t>
      </w:r>
      <w:r w:rsidRPr="00532C9E">
        <w:rPr>
          <w:rFonts w:asciiTheme="minorHAnsi" w:hAnsiTheme="minorHAnsi"/>
          <w:lang w:val="fr-BE"/>
        </w:rPr>
        <w:t xml:space="preserve"> </w:t>
      </w:r>
      <w:r>
        <w:rPr>
          <w:rFonts w:asciiTheme="minorHAnsi" w:hAnsiTheme="minorHAnsi"/>
          <w:lang w:val="fr-BE"/>
        </w:rPr>
        <w:t>ces dernières années.  En 2016, 42,29% de la production nationale d’électricité provenait de l’énergie renouvelable, dont plus de la moitié (29,88%) de source hydraulique</w:t>
      </w:r>
      <w:r>
        <w:rPr>
          <w:rStyle w:val="Appelnotedebasdep"/>
          <w:rFonts w:asciiTheme="minorHAnsi" w:hAnsiTheme="minorHAnsi"/>
          <w:lang w:val="fr-BE"/>
        </w:rPr>
        <w:footnoteReference w:id="1"/>
      </w:r>
      <w:r>
        <w:rPr>
          <w:rFonts w:asciiTheme="minorHAnsi" w:hAnsiTheme="minorHAnsi"/>
          <w:lang w:val="fr-BE"/>
        </w:rPr>
        <w:t>. De plus, selon le rapport RISE, publié début 2017 par la Banque Mondiale, la Roumanie se place en 7</w:t>
      </w:r>
      <w:r w:rsidRPr="006B2358">
        <w:rPr>
          <w:rFonts w:asciiTheme="minorHAnsi" w:hAnsiTheme="minorHAnsi"/>
          <w:vertAlign w:val="superscript"/>
          <w:lang w:val="fr-BE"/>
        </w:rPr>
        <w:t>e</w:t>
      </w:r>
      <w:r>
        <w:rPr>
          <w:rFonts w:asciiTheme="minorHAnsi" w:hAnsiTheme="minorHAnsi"/>
          <w:lang w:val="fr-BE"/>
        </w:rPr>
        <w:t xml:space="preserve"> position mondiale en matière d’énergie verte avec un score de 87% basé sur les critères suivants : accès à l’énergie, efficacité énergétique et énergie renouvelable. </w:t>
      </w:r>
    </w:p>
    <w:p w:rsidR="00F5234A" w:rsidRDefault="00F5234A" w:rsidP="00772063">
      <w:pPr>
        <w:jc w:val="both"/>
        <w:rPr>
          <w:rFonts w:asciiTheme="minorHAnsi" w:hAnsiTheme="minorHAnsi"/>
          <w:lang w:val="fr-BE"/>
        </w:rPr>
      </w:pPr>
    </w:p>
    <w:p w:rsidR="00F5234A" w:rsidRDefault="00F5234A" w:rsidP="00772063">
      <w:pPr>
        <w:jc w:val="both"/>
        <w:rPr>
          <w:rFonts w:asciiTheme="minorHAnsi" w:hAnsiTheme="minorHAnsi"/>
          <w:lang w:val="fr-BE"/>
        </w:rPr>
      </w:pPr>
      <w:r>
        <w:rPr>
          <w:rFonts w:asciiTheme="minorHAnsi" w:hAnsiTheme="minorHAnsi"/>
          <w:lang w:val="fr-BE"/>
        </w:rPr>
        <w:t xml:space="preserve">Après une période de crise, le secteur des énergies renouvelables </w:t>
      </w:r>
      <w:r w:rsidR="0026438C">
        <w:rPr>
          <w:rFonts w:asciiTheme="minorHAnsi" w:hAnsiTheme="minorHAnsi"/>
          <w:lang w:val="fr-BE"/>
        </w:rPr>
        <w:t xml:space="preserve">semble, depuis peu, se redynamiser, avec l’adoption d’une Ordonnance d’urgence en mars 2017, modifiant la </w:t>
      </w:r>
      <w:r w:rsidR="0026438C" w:rsidRPr="0026438C">
        <w:rPr>
          <w:rFonts w:asciiTheme="minorHAnsi" w:hAnsiTheme="minorHAnsi"/>
          <w:lang w:val="fr-BE"/>
        </w:rPr>
        <w:t>Loi 220/2008 sur les énergies renouvelables</w:t>
      </w:r>
      <w:r w:rsidR="0094401D">
        <w:rPr>
          <w:rFonts w:asciiTheme="minorHAnsi" w:hAnsiTheme="minorHAnsi"/>
          <w:lang w:val="fr-BE"/>
        </w:rPr>
        <w:t xml:space="preserve"> et visant à amél</w:t>
      </w:r>
      <w:r w:rsidR="00050B62">
        <w:rPr>
          <w:rFonts w:asciiTheme="minorHAnsi" w:hAnsiTheme="minorHAnsi"/>
          <w:lang w:val="fr-BE"/>
        </w:rPr>
        <w:t>iorer les programmes incitatifs.</w:t>
      </w:r>
    </w:p>
    <w:p w:rsidR="0094401D" w:rsidRDefault="0094401D" w:rsidP="00772063">
      <w:pPr>
        <w:jc w:val="both"/>
        <w:rPr>
          <w:rFonts w:asciiTheme="minorHAnsi" w:hAnsiTheme="minorHAnsi"/>
          <w:lang w:val="fr-BE"/>
        </w:rPr>
      </w:pPr>
    </w:p>
    <w:p w:rsidR="005D59AB" w:rsidRDefault="0094401D" w:rsidP="00772063">
      <w:pPr>
        <w:jc w:val="both"/>
        <w:rPr>
          <w:rFonts w:asciiTheme="minorHAnsi" w:hAnsiTheme="minorHAnsi"/>
          <w:lang w:val="fr-BE"/>
        </w:rPr>
      </w:pPr>
      <w:r>
        <w:rPr>
          <w:rFonts w:asciiTheme="minorHAnsi" w:hAnsiTheme="minorHAnsi"/>
          <w:lang w:val="fr-BE"/>
        </w:rPr>
        <w:t xml:space="preserve">En 2011, afin de mettre en application </w:t>
      </w:r>
      <w:r w:rsidR="00970E0B">
        <w:rPr>
          <w:rFonts w:asciiTheme="minorHAnsi" w:hAnsiTheme="minorHAnsi"/>
          <w:lang w:val="fr-BE"/>
        </w:rPr>
        <w:t>la d</w:t>
      </w:r>
      <w:r w:rsidRPr="0094401D">
        <w:rPr>
          <w:rFonts w:asciiTheme="minorHAnsi" w:hAnsiTheme="minorHAnsi"/>
          <w:lang w:val="fr-BE"/>
        </w:rPr>
        <w:t>irective européenne 2009/28/CE,</w:t>
      </w:r>
      <w:r>
        <w:rPr>
          <w:rFonts w:asciiTheme="minorHAnsi" w:hAnsiTheme="minorHAnsi"/>
          <w:lang w:val="fr-BE"/>
        </w:rPr>
        <w:t xml:space="preserve"> un</w:t>
      </w:r>
      <w:r w:rsidRPr="0094401D">
        <w:t xml:space="preserve"> </w:t>
      </w:r>
      <w:r w:rsidR="00855E3D">
        <w:rPr>
          <w:rFonts w:asciiTheme="minorHAnsi" w:hAnsiTheme="minorHAnsi"/>
          <w:lang w:val="fr-BE"/>
        </w:rPr>
        <w:t xml:space="preserve">programme d’incitations financières et fiscales </w:t>
      </w:r>
      <w:r>
        <w:rPr>
          <w:rFonts w:asciiTheme="minorHAnsi" w:hAnsiTheme="minorHAnsi"/>
          <w:lang w:val="fr-BE"/>
        </w:rPr>
        <w:t>avait été mis en place</w:t>
      </w:r>
      <w:r w:rsidR="00855E3D" w:rsidRPr="00855E3D">
        <w:rPr>
          <w:rFonts w:asciiTheme="minorHAnsi" w:hAnsiTheme="minorHAnsi"/>
          <w:lang w:val="fr-BE"/>
        </w:rPr>
        <w:t xml:space="preserve"> </w:t>
      </w:r>
      <w:r w:rsidR="00855E3D" w:rsidRPr="0094401D">
        <w:rPr>
          <w:rFonts w:asciiTheme="minorHAnsi" w:hAnsiTheme="minorHAnsi"/>
          <w:lang w:val="fr-BE"/>
        </w:rPr>
        <w:t>à niveau national</w:t>
      </w:r>
      <w:r>
        <w:rPr>
          <w:rFonts w:asciiTheme="minorHAnsi" w:hAnsiTheme="minorHAnsi"/>
          <w:lang w:val="fr-BE"/>
        </w:rPr>
        <w:t xml:space="preserve">, donnant lieu à un boom </w:t>
      </w:r>
      <w:r w:rsidR="003D6050">
        <w:rPr>
          <w:rFonts w:asciiTheme="minorHAnsi" w:hAnsiTheme="minorHAnsi"/>
          <w:lang w:val="fr-BE"/>
        </w:rPr>
        <w:t>de milliards</w:t>
      </w:r>
      <w:r>
        <w:rPr>
          <w:rFonts w:asciiTheme="minorHAnsi" w:hAnsiTheme="minorHAnsi"/>
          <w:lang w:val="fr-BE"/>
        </w:rPr>
        <w:t xml:space="preserve"> </w:t>
      </w:r>
      <w:r w:rsidR="00FE002B">
        <w:rPr>
          <w:rFonts w:asciiTheme="minorHAnsi" w:hAnsiTheme="minorHAnsi"/>
          <w:lang w:val="fr-BE"/>
        </w:rPr>
        <w:t xml:space="preserve">d’euros </w:t>
      </w:r>
      <w:r w:rsidR="003D6050">
        <w:rPr>
          <w:rFonts w:asciiTheme="minorHAnsi" w:hAnsiTheme="minorHAnsi"/>
          <w:lang w:val="fr-BE"/>
        </w:rPr>
        <w:t>d’investissements</w:t>
      </w:r>
      <w:r>
        <w:rPr>
          <w:rFonts w:asciiTheme="minorHAnsi" w:hAnsiTheme="minorHAnsi"/>
          <w:lang w:val="fr-BE"/>
        </w:rPr>
        <w:t xml:space="preserve"> dans le secteur.</w:t>
      </w:r>
      <w:r w:rsidR="009308D9" w:rsidRPr="009308D9">
        <w:rPr>
          <w:rFonts w:asciiTheme="minorHAnsi" w:hAnsiTheme="minorHAnsi"/>
          <w:lang w:val="fr-BE"/>
        </w:rPr>
        <w:t xml:space="preserve"> </w:t>
      </w:r>
      <w:r w:rsidR="007A2144">
        <w:rPr>
          <w:rFonts w:asciiTheme="minorHAnsi" w:hAnsiTheme="minorHAnsi"/>
          <w:lang w:val="fr-BE"/>
        </w:rPr>
        <w:t>Par conséquent, e</w:t>
      </w:r>
      <w:r w:rsidR="009308D9">
        <w:rPr>
          <w:rFonts w:asciiTheme="minorHAnsi" w:hAnsiTheme="minorHAnsi"/>
          <w:lang w:val="fr-BE"/>
        </w:rPr>
        <w:t xml:space="preserve">n 2014, le pays avait déjà atteint, avec plusieurs années d’avance, les objectifs énergétiques fixés pour </w:t>
      </w:r>
      <w:r w:rsidR="009308D9" w:rsidRPr="001D17D1">
        <w:rPr>
          <w:rFonts w:asciiTheme="minorHAnsi" w:hAnsiTheme="minorHAnsi"/>
          <w:lang w:val="fr-BE"/>
        </w:rPr>
        <w:t>2020</w:t>
      </w:r>
      <w:r w:rsidR="009308D9">
        <w:rPr>
          <w:rFonts w:asciiTheme="minorHAnsi" w:hAnsiTheme="minorHAnsi"/>
          <w:lang w:val="fr-BE"/>
        </w:rPr>
        <w:t xml:space="preserve"> par la </w:t>
      </w:r>
      <w:r w:rsidR="009308D9" w:rsidRPr="00180913">
        <w:rPr>
          <w:rFonts w:asciiTheme="minorHAnsi" w:hAnsiTheme="minorHAnsi"/>
          <w:lang w:val="fr-BE"/>
        </w:rPr>
        <w:t xml:space="preserve">directive </w:t>
      </w:r>
      <w:r w:rsidR="009308D9">
        <w:rPr>
          <w:rFonts w:asciiTheme="minorHAnsi" w:hAnsiTheme="minorHAnsi"/>
          <w:lang w:val="fr-BE"/>
        </w:rPr>
        <w:t>européenne, soit  porter à 20</w:t>
      </w:r>
      <w:r w:rsidR="009308D9" w:rsidRPr="001D17D1">
        <w:rPr>
          <w:rFonts w:asciiTheme="minorHAnsi" w:hAnsiTheme="minorHAnsi"/>
          <w:lang w:val="fr-BE"/>
        </w:rPr>
        <w:t>% la part des énergies renouvelables da</w:t>
      </w:r>
      <w:r w:rsidR="009308D9">
        <w:rPr>
          <w:rFonts w:asciiTheme="minorHAnsi" w:hAnsiTheme="minorHAnsi"/>
          <w:lang w:val="fr-BE"/>
        </w:rPr>
        <w:t xml:space="preserve">ns la consommation énergétique.  </w:t>
      </w:r>
      <w:r w:rsidR="005D59AB">
        <w:rPr>
          <w:rFonts w:asciiTheme="minorHAnsi" w:hAnsiTheme="minorHAnsi"/>
          <w:lang w:val="fr-BE"/>
        </w:rPr>
        <w:t>Néanmoins, cette cr</w:t>
      </w:r>
      <w:r w:rsidR="00934412">
        <w:rPr>
          <w:rFonts w:asciiTheme="minorHAnsi" w:hAnsiTheme="minorHAnsi"/>
          <w:lang w:val="fr-BE"/>
        </w:rPr>
        <w:t xml:space="preserve">oissance rapide a eu pour effet la flambée </w:t>
      </w:r>
      <w:r w:rsidR="005D59AB">
        <w:rPr>
          <w:rFonts w:asciiTheme="minorHAnsi" w:hAnsiTheme="minorHAnsi"/>
          <w:lang w:val="fr-BE"/>
        </w:rPr>
        <w:t>des prix de l’électricité</w:t>
      </w:r>
      <w:r w:rsidR="00934412">
        <w:rPr>
          <w:rFonts w:asciiTheme="minorHAnsi" w:hAnsiTheme="minorHAnsi"/>
          <w:lang w:val="fr-BE"/>
        </w:rPr>
        <w:t>, à laquelle le gouvernement a répondu par des coupes budgétaires</w:t>
      </w:r>
      <w:r w:rsidR="009308D9">
        <w:rPr>
          <w:rFonts w:asciiTheme="minorHAnsi" w:hAnsiTheme="minorHAnsi"/>
          <w:lang w:val="fr-BE"/>
        </w:rPr>
        <w:t xml:space="preserve"> drastiques </w:t>
      </w:r>
      <w:r w:rsidR="00934412">
        <w:rPr>
          <w:rFonts w:asciiTheme="minorHAnsi" w:hAnsiTheme="minorHAnsi"/>
          <w:lang w:val="fr-BE"/>
        </w:rPr>
        <w:t>en 2013 et 2014</w:t>
      </w:r>
      <w:r w:rsidR="00F5234A">
        <w:rPr>
          <w:rFonts w:asciiTheme="minorHAnsi" w:hAnsiTheme="minorHAnsi"/>
          <w:lang w:val="fr-BE"/>
        </w:rPr>
        <w:t xml:space="preserve">, allant de pair avec un blocage des investissements dans le secteur. </w:t>
      </w:r>
      <w:r w:rsidR="00934412">
        <w:rPr>
          <w:rFonts w:asciiTheme="minorHAnsi" w:hAnsiTheme="minorHAnsi"/>
          <w:lang w:val="fr-BE"/>
        </w:rPr>
        <w:t xml:space="preserve">  </w:t>
      </w:r>
    </w:p>
    <w:p w:rsidR="00743334" w:rsidRDefault="00743334" w:rsidP="00772063">
      <w:pPr>
        <w:jc w:val="both"/>
        <w:rPr>
          <w:rFonts w:asciiTheme="minorHAnsi" w:hAnsiTheme="minorHAnsi"/>
          <w:lang w:val="fr-BE"/>
        </w:rPr>
      </w:pPr>
    </w:p>
    <w:p w:rsidR="007A2144" w:rsidRDefault="00743334" w:rsidP="00772063">
      <w:pPr>
        <w:jc w:val="both"/>
        <w:rPr>
          <w:rFonts w:asciiTheme="minorHAnsi" w:hAnsiTheme="minorHAnsi"/>
          <w:lang w:val="fr-BE"/>
        </w:rPr>
      </w:pPr>
      <w:r>
        <w:rPr>
          <w:rFonts w:asciiTheme="minorHAnsi" w:hAnsiTheme="minorHAnsi"/>
          <w:lang w:val="fr-BE"/>
        </w:rPr>
        <w:t>Durant les dernières années</w:t>
      </w:r>
      <w:r w:rsidR="00B35AA1">
        <w:rPr>
          <w:rFonts w:asciiTheme="minorHAnsi" w:hAnsiTheme="minorHAnsi"/>
          <w:lang w:val="fr-BE"/>
        </w:rPr>
        <w:t>, le marché roumain</w:t>
      </w:r>
      <w:r>
        <w:rPr>
          <w:rFonts w:asciiTheme="minorHAnsi" w:hAnsiTheme="minorHAnsi"/>
          <w:lang w:val="fr-BE"/>
        </w:rPr>
        <w:t xml:space="preserve"> </w:t>
      </w:r>
      <w:r w:rsidR="00B35AA1">
        <w:rPr>
          <w:rFonts w:asciiTheme="minorHAnsi" w:hAnsiTheme="minorHAnsi"/>
          <w:lang w:val="fr-BE"/>
        </w:rPr>
        <w:t xml:space="preserve">des énergies renouvelables </w:t>
      </w:r>
      <w:r>
        <w:rPr>
          <w:rFonts w:asciiTheme="minorHAnsi" w:hAnsiTheme="minorHAnsi"/>
          <w:lang w:val="fr-BE"/>
        </w:rPr>
        <w:t xml:space="preserve">a donc perdu </w:t>
      </w:r>
      <w:r w:rsidRPr="00743334">
        <w:rPr>
          <w:rFonts w:asciiTheme="minorHAnsi" w:hAnsiTheme="minorHAnsi"/>
          <w:lang w:val="fr-BE"/>
        </w:rPr>
        <w:t xml:space="preserve">de son attractivité </w:t>
      </w:r>
      <w:r w:rsidR="00B35AA1">
        <w:rPr>
          <w:rFonts w:asciiTheme="minorHAnsi" w:hAnsiTheme="minorHAnsi"/>
          <w:lang w:val="fr-BE"/>
        </w:rPr>
        <w:t xml:space="preserve">auprès des investisseurs. </w:t>
      </w:r>
      <w:r w:rsidR="00787274">
        <w:rPr>
          <w:rFonts w:asciiTheme="minorHAnsi" w:hAnsiTheme="minorHAnsi"/>
          <w:lang w:val="fr-BE"/>
        </w:rPr>
        <w:t xml:space="preserve">En </w:t>
      </w:r>
      <w:r w:rsidR="0092205B">
        <w:rPr>
          <w:rFonts w:asciiTheme="minorHAnsi" w:hAnsiTheme="minorHAnsi"/>
          <w:lang w:val="fr-BE"/>
        </w:rPr>
        <w:t>201</w:t>
      </w:r>
      <w:r w:rsidR="00787274">
        <w:rPr>
          <w:rFonts w:asciiTheme="minorHAnsi" w:hAnsiTheme="minorHAnsi"/>
          <w:lang w:val="fr-BE"/>
        </w:rPr>
        <w:t>7</w:t>
      </w:r>
      <w:r w:rsidR="00B35AA1">
        <w:rPr>
          <w:rFonts w:asciiTheme="minorHAnsi" w:hAnsiTheme="minorHAnsi"/>
          <w:lang w:val="fr-BE"/>
        </w:rPr>
        <w:t>, la Roumanie est même sortie du classement  EY Renewable reprenant la liste des 40 marchés les plus attractifs au monde</w:t>
      </w:r>
      <w:r w:rsidR="0092205B">
        <w:rPr>
          <w:rFonts w:asciiTheme="minorHAnsi" w:hAnsiTheme="minorHAnsi"/>
          <w:lang w:val="fr-BE"/>
        </w:rPr>
        <w:t xml:space="preserve"> dans le domaine</w:t>
      </w:r>
      <w:r w:rsidR="00B35AA1">
        <w:rPr>
          <w:rFonts w:asciiTheme="minorHAnsi" w:hAnsiTheme="minorHAnsi"/>
          <w:lang w:val="fr-BE"/>
        </w:rPr>
        <w:t xml:space="preserve">. </w:t>
      </w:r>
      <w:r w:rsidRPr="00743334">
        <w:rPr>
          <w:rFonts w:asciiTheme="minorHAnsi" w:hAnsiTheme="minorHAnsi"/>
          <w:lang w:val="fr-BE"/>
        </w:rPr>
        <w:t xml:space="preserve"> </w:t>
      </w:r>
      <w:r w:rsidR="00294EBC">
        <w:rPr>
          <w:rFonts w:asciiTheme="minorHAnsi" w:hAnsiTheme="minorHAnsi"/>
          <w:lang w:val="fr-BE"/>
        </w:rPr>
        <w:t>Les raison</w:t>
      </w:r>
      <w:r w:rsidR="00787274">
        <w:rPr>
          <w:rFonts w:asciiTheme="minorHAnsi" w:hAnsiTheme="minorHAnsi"/>
          <w:lang w:val="fr-BE"/>
        </w:rPr>
        <w:t>s</w:t>
      </w:r>
      <w:r w:rsidR="00294EBC">
        <w:rPr>
          <w:rFonts w:asciiTheme="minorHAnsi" w:hAnsiTheme="minorHAnsi"/>
          <w:lang w:val="fr-BE"/>
        </w:rPr>
        <w:t xml:space="preserve"> </w:t>
      </w:r>
      <w:r w:rsidR="0092205B">
        <w:rPr>
          <w:rFonts w:asciiTheme="minorHAnsi" w:hAnsiTheme="minorHAnsi"/>
          <w:lang w:val="fr-BE"/>
        </w:rPr>
        <w:t>peuvent être attribuées à l’</w:t>
      </w:r>
      <w:r w:rsidR="00787274">
        <w:rPr>
          <w:rFonts w:asciiTheme="minorHAnsi" w:hAnsiTheme="minorHAnsi"/>
          <w:lang w:val="fr-BE"/>
        </w:rPr>
        <w:t>absence</w:t>
      </w:r>
      <w:r w:rsidR="00050B62">
        <w:rPr>
          <w:rFonts w:asciiTheme="minorHAnsi" w:hAnsiTheme="minorHAnsi"/>
          <w:lang w:val="fr-BE"/>
        </w:rPr>
        <w:t xml:space="preserve"> de programmes incitatifs ainsi qu’au</w:t>
      </w:r>
      <w:r w:rsidR="0092205B">
        <w:rPr>
          <w:rFonts w:asciiTheme="minorHAnsi" w:hAnsiTheme="minorHAnsi"/>
          <w:lang w:val="fr-BE"/>
        </w:rPr>
        <w:t xml:space="preserve"> manque</w:t>
      </w:r>
      <w:r w:rsidR="00787274">
        <w:rPr>
          <w:rFonts w:asciiTheme="minorHAnsi" w:hAnsiTheme="minorHAnsi"/>
          <w:lang w:val="fr-BE"/>
        </w:rPr>
        <w:t xml:space="preserve"> de </w:t>
      </w:r>
      <w:r w:rsidR="00114872">
        <w:rPr>
          <w:rFonts w:asciiTheme="minorHAnsi" w:hAnsiTheme="minorHAnsi"/>
          <w:lang w:val="fr-BE"/>
        </w:rPr>
        <w:t xml:space="preserve">mise en pratique des </w:t>
      </w:r>
      <w:r w:rsidRPr="00743334">
        <w:rPr>
          <w:rFonts w:asciiTheme="minorHAnsi" w:hAnsiTheme="minorHAnsi"/>
          <w:lang w:val="fr-BE"/>
        </w:rPr>
        <w:t>plans d’actions</w:t>
      </w:r>
      <w:r w:rsidR="00787274">
        <w:rPr>
          <w:rFonts w:asciiTheme="minorHAnsi" w:hAnsiTheme="minorHAnsi"/>
          <w:lang w:val="fr-BE"/>
        </w:rPr>
        <w:t xml:space="preserve"> et de</w:t>
      </w:r>
      <w:r w:rsidR="00114872">
        <w:rPr>
          <w:rFonts w:asciiTheme="minorHAnsi" w:hAnsiTheme="minorHAnsi"/>
          <w:lang w:val="fr-BE"/>
        </w:rPr>
        <w:t xml:space="preserve"> contrôle</w:t>
      </w:r>
      <w:r w:rsidRPr="00743334">
        <w:rPr>
          <w:rFonts w:asciiTheme="minorHAnsi" w:hAnsiTheme="minorHAnsi"/>
          <w:lang w:val="fr-BE"/>
        </w:rPr>
        <w:t xml:space="preserve"> des capacités massives de production.</w:t>
      </w:r>
    </w:p>
    <w:p w:rsidR="007A2144" w:rsidRDefault="00787274" w:rsidP="00772063">
      <w:pPr>
        <w:jc w:val="both"/>
        <w:rPr>
          <w:rFonts w:asciiTheme="minorHAnsi" w:hAnsiTheme="minorHAnsi"/>
          <w:lang w:val="fr-BE"/>
        </w:rPr>
      </w:pPr>
      <w:r>
        <w:rPr>
          <w:rFonts w:asciiTheme="minorHAnsi" w:hAnsiTheme="minorHAnsi"/>
          <w:lang w:val="fr-BE"/>
        </w:rPr>
        <w:lastRenderedPageBreak/>
        <w:t>Toutefois, a</w:t>
      </w:r>
      <w:r w:rsidR="007A2144">
        <w:rPr>
          <w:rFonts w:asciiTheme="minorHAnsi" w:hAnsiTheme="minorHAnsi"/>
          <w:lang w:val="fr-BE"/>
        </w:rPr>
        <w:t>fin de répondre aux nouveaux objectifs de l’UE pour 2030, une Stratégie énergétique a été mise en place par le Ministère roumain de l‘Energie  pour la période 2016-2030</w:t>
      </w:r>
      <w:r w:rsidR="00CD36C8">
        <w:rPr>
          <w:rFonts w:asciiTheme="minorHAnsi" w:hAnsiTheme="minorHAnsi"/>
          <w:lang w:val="fr-BE"/>
        </w:rPr>
        <w:t xml:space="preserve">. </w:t>
      </w:r>
      <w:r w:rsidR="00391C39">
        <w:rPr>
          <w:rFonts w:asciiTheme="minorHAnsi" w:hAnsiTheme="minorHAnsi"/>
          <w:lang w:val="fr-BE"/>
        </w:rPr>
        <w:t xml:space="preserve">La modernisation du système énergétique roumain en vue de décarbonatation constitue une priorité et les investissements nécessaires sont évalués entre 15 Mds et 30 Mds EUR. Parmi les domaines-cibles à l’horizon 2030 </w:t>
      </w:r>
      <w:r>
        <w:rPr>
          <w:rFonts w:asciiTheme="minorHAnsi" w:hAnsiTheme="minorHAnsi"/>
          <w:lang w:val="fr-BE"/>
        </w:rPr>
        <w:t>on dénombre</w:t>
      </w:r>
      <w:r w:rsidR="00391C39">
        <w:rPr>
          <w:rFonts w:asciiTheme="minorHAnsi" w:hAnsiTheme="minorHAnsi"/>
          <w:lang w:val="fr-BE"/>
        </w:rPr>
        <w:t xml:space="preserve"> </w:t>
      </w:r>
      <w:r>
        <w:rPr>
          <w:rFonts w:asciiTheme="minorHAnsi" w:hAnsiTheme="minorHAnsi"/>
          <w:lang w:val="fr-BE"/>
        </w:rPr>
        <w:t xml:space="preserve">les </w:t>
      </w:r>
      <w:r w:rsidR="00C8049E">
        <w:rPr>
          <w:rFonts w:asciiTheme="minorHAnsi" w:hAnsiTheme="minorHAnsi"/>
          <w:lang w:val="fr-BE"/>
        </w:rPr>
        <w:t xml:space="preserve">nouvelles infrastructures et moyens de transports urbains, l’utilisation de la biomasse pour le chauffage ainsi que le chauffage électrique. </w:t>
      </w:r>
    </w:p>
    <w:p w:rsidR="009308D9" w:rsidRDefault="009308D9" w:rsidP="00772063">
      <w:pPr>
        <w:jc w:val="both"/>
        <w:rPr>
          <w:rFonts w:asciiTheme="minorHAnsi" w:hAnsiTheme="minorHAnsi"/>
          <w:lang w:val="fr-BE"/>
        </w:rPr>
      </w:pPr>
    </w:p>
    <w:p w:rsidR="00277CB3" w:rsidRDefault="00D3240D" w:rsidP="000B0B3A">
      <w:pPr>
        <w:jc w:val="both"/>
        <w:rPr>
          <w:rFonts w:asciiTheme="minorHAnsi" w:hAnsiTheme="minorHAnsi"/>
          <w:lang w:val="fr-BE"/>
        </w:rPr>
      </w:pPr>
      <w:r>
        <w:rPr>
          <w:rFonts w:asciiTheme="minorHAnsi" w:hAnsiTheme="minorHAnsi"/>
          <w:lang w:val="fr-BE"/>
        </w:rPr>
        <w:t xml:space="preserve">A niveau européen, dans le cadre du </w:t>
      </w:r>
      <w:r w:rsidRPr="007E12D1">
        <w:rPr>
          <w:rFonts w:asciiTheme="minorHAnsi" w:hAnsiTheme="minorHAnsi"/>
          <w:lang w:val="fr-BE"/>
        </w:rPr>
        <w:t>Programme Opérationnel Grandes Infrastructures</w:t>
      </w:r>
      <w:r w:rsidR="007E12D1" w:rsidRPr="007E12D1">
        <w:rPr>
          <w:rStyle w:val="Appelnotedebasdep"/>
          <w:rFonts w:asciiTheme="minorHAnsi" w:hAnsiTheme="minorHAnsi"/>
          <w:lang w:val="fr-BE"/>
        </w:rPr>
        <w:footnoteReference w:id="2"/>
      </w:r>
      <w:r>
        <w:rPr>
          <w:rFonts w:asciiTheme="minorHAnsi" w:hAnsiTheme="minorHAnsi"/>
          <w:lang w:val="fr-BE"/>
        </w:rPr>
        <w:t xml:space="preserve"> (POIM) pour la période </w:t>
      </w:r>
      <w:r w:rsidR="006F6B42">
        <w:rPr>
          <w:rFonts w:asciiTheme="minorHAnsi" w:hAnsiTheme="minorHAnsi"/>
          <w:lang w:val="fr-BE"/>
        </w:rPr>
        <w:t xml:space="preserve">2014 – 2020, la Roumanie bénéficie d’un budget de plus de 525 Mns EUR pour </w:t>
      </w:r>
      <w:r w:rsidR="00F87D55">
        <w:rPr>
          <w:rFonts w:asciiTheme="minorHAnsi" w:hAnsiTheme="minorHAnsi"/>
          <w:lang w:val="fr-BE"/>
        </w:rPr>
        <w:t>atteindre l’objectif d</w:t>
      </w:r>
      <w:r w:rsidR="001931A6">
        <w:rPr>
          <w:rFonts w:asciiTheme="minorHAnsi" w:hAnsiTheme="minorHAnsi"/>
          <w:lang w:val="fr-BE"/>
        </w:rPr>
        <w:t xml:space="preserve">’utilisation d’énergie propre en vue d’une </w:t>
      </w:r>
      <w:r w:rsidR="001931A6" w:rsidRPr="001931A6">
        <w:rPr>
          <w:rFonts w:asciiTheme="minorHAnsi" w:hAnsiTheme="minorHAnsi"/>
          <w:lang w:val="fr-BE"/>
        </w:rPr>
        <w:t>économie à faible production de carbone.</w:t>
      </w:r>
      <w:r w:rsidR="00652B7B">
        <w:rPr>
          <w:rFonts w:asciiTheme="minorHAnsi" w:hAnsiTheme="minorHAnsi"/>
          <w:lang w:val="fr-BE"/>
        </w:rPr>
        <w:t xml:space="preserve"> </w:t>
      </w:r>
    </w:p>
    <w:p w:rsidR="00277CB3" w:rsidRDefault="00277CB3" w:rsidP="000B0B3A">
      <w:pPr>
        <w:jc w:val="both"/>
        <w:rPr>
          <w:rFonts w:asciiTheme="minorHAnsi" w:hAnsiTheme="minorHAnsi"/>
          <w:lang w:val="fr-BE"/>
        </w:rPr>
      </w:pPr>
    </w:p>
    <w:p w:rsidR="000B0B3A" w:rsidRDefault="00AF080A" w:rsidP="000B0B3A">
      <w:pPr>
        <w:jc w:val="both"/>
        <w:rPr>
          <w:rFonts w:asciiTheme="minorHAnsi" w:hAnsiTheme="minorHAnsi"/>
          <w:lang w:val="fr-BE"/>
        </w:rPr>
      </w:pPr>
      <w:r>
        <w:rPr>
          <w:rFonts w:asciiTheme="minorHAnsi" w:hAnsiTheme="minorHAnsi"/>
          <w:lang w:val="fr-BE"/>
        </w:rPr>
        <w:t>Lors de l’Aspen Energy Summit, organisé en septembre 2017</w:t>
      </w:r>
      <w:r w:rsidR="002F2424">
        <w:rPr>
          <w:rFonts w:asciiTheme="minorHAnsi" w:hAnsiTheme="minorHAnsi"/>
          <w:lang w:val="fr-BE"/>
        </w:rPr>
        <w:t xml:space="preserve"> à Ploiesti</w:t>
      </w:r>
      <w:r>
        <w:rPr>
          <w:rFonts w:asciiTheme="minorHAnsi" w:hAnsiTheme="minorHAnsi"/>
          <w:lang w:val="fr-BE"/>
        </w:rPr>
        <w:t xml:space="preserve">, </w:t>
      </w:r>
      <w:r w:rsidR="002F2424" w:rsidRPr="002F2424">
        <w:rPr>
          <w:rFonts w:asciiTheme="minorHAnsi" w:hAnsiTheme="minorHAnsi"/>
          <w:lang w:val="fr-BE"/>
        </w:rPr>
        <w:t>Maroš Šefčovič</w:t>
      </w:r>
      <w:r w:rsidR="002F2424">
        <w:rPr>
          <w:rFonts w:asciiTheme="minorHAnsi" w:hAnsiTheme="minorHAnsi"/>
          <w:lang w:val="fr-BE"/>
        </w:rPr>
        <w:t>,</w:t>
      </w:r>
      <w:r w:rsidR="002F2424" w:rsidRPr="002F2424">
        <w:rPr>
          <w:rFonts w:asciiTheme="minorHAnsi" w:hAnsiTheme="minorHAnsi"/>
          <w:lang w:val="fr-BE"/>
        </w:rPr>
        <w:t xml:space="preserve"> </w:t>
      </w:r>
      <w:r>
        <w:rPr>
          <w:rFonts w:asciiTheme="minorHAnsi" w:hAnsiTheme="minorHAnsi"/>
          <w:lang w:val="fr-BE"/>
        </w:rPr>
        <w:t xml:space="preserve">le </w:t>
      </w:r>
      <w:r w:rsidR="002F2424">
        <w:rPr>
          <w:rFonts w:asciiTheme="minorHAnsi" w:hAnsiTheme="minorHAnsi"/>
          <w:lang w:val="fr-BE"/>
        </w:rPr>
        <w:t>vice-président de la Commission européenne, c</w:t>
      </w:r>
      <w:r w:rsidR="002F2424" w:rsidRPr="002F2424">
        <w:rPr>
          <w:rFonts w:asciiTheme="minorHAnsi" w:hAnsiTheme="minorHAnsi"/>
          <w:lang w:val="fr-BE"/>
        </w:rPr>
        <w:t>hargé du l'Union énergétique</w:t>
      </w:r>
      <w:r w:rsidR="002F2424">
        <w:rPr>
          <w:rFonts w:asciiTheme="minorHAnsi" w:hAnsiTheme="minorHAnsi"/>
          <w:lang w:val="fr-BE"/>
        </w:rPr>
        <w:t>,  a déclaré que grâce à ses richesses naturelles, la</w:t>
      </w:r>
      <w:r>
        <w:rPr>
          <w:rFonts w:asciiTheme="minorHAnsi" w:hAnsiTheme="minorHAnsi"/>
          <w:lang w:val="fr-BE"/>
        </w:rPr>
        <w:t xml:space="preserve"> </w:t>
      </w:r>
      <w:r w:rsidR="002F2424">
        <w:rPr>
          <w:rFonts w:asciiTheme="minorHAnsi" w:hAnsiTheme="minorHAnsi"/>
          <w:lang w:val="fr-BE"/>
        </w:rPr>
        <w:t xml:space="preserve">Roumanie devrait pouvoir </w:t>
      </w:r>
      <w:r w:rsidR="00E82EE2">
        <w:rPr>
          <w:rFonts w:asciiTheme="minorHAnsi" w:hAnsiTheme="minorHAnsi"/>
          <w:lang w:val="fr-BE"/>
        </w:rPr>
        <w:t xml:space="preserve">connaitre un développement rapide </w:t>
      </w:r>
      <w:r w:rsidR="002F2424">
        <w:rPr>
          <w:rFonts w:asciiTheme="minorHAnsi" w:hAnsiTheme="minorHAnsi"/>
          <w:lang w:val="fr-BE"/>
        </w:rPr>
        <w:t xml:space="preserve">dans le domaine des énergies </w:t>
      </w:r>
      <w:r w:rsidR="00E82EE2">
        <w:rPr>
          <w:rFonts w:asciiTheme="minorHAnsi" w:hAnsiTheme="minorHAnsi"/>
          <w:lang w:val="fr-BE"/>
        </w:rPr>
        <w:t xml:space="preserve">renouvelables, allant jusqu’à pouvoir faire bénéficier d’autres pays européens de son succès.  </w:t>
      </w:r>
    </w:p>
    <w:p w:rsidR="00E1446E" w:rsidRDefault="00E1446E" w:rsidP="002A11F0">
      <w:pPr>
        <w:rPr>
          <w:rFonts w:asciiTheme="minorHAnsi" w:hAnsiTheme="minorHAnsi"/>
          <w:b/>
        </w:rPr>
      </w:pPr>
    </w:p>
    <w:p w:rsidR="002A11F0" w:rsidRDefault="002A11F0" w:rsidP="002A11F0">
      <w:pPr>
        <w:rPr>
          <w:rFonts w:asciiTheme="minorHAnsi" w:hAnsiTheme="minorHAnsi"/>
          <w:b/>
        </w:rPr>
      </w:pPr>
      <w:r>
        <w:rPr>
          <w:rFonts w:asciiTheme="minorHAnsi" w:hAnsiTheme="minorHAnsi"/>
          <w:b/>
        </w:rPr>
        <w:t>PINCIPAUX ACTEURS</w:t>
      </w:r>
    </w:p>
    <w:p w:rsidR="002A11F0" w:rsidRDefault="002A11F0" w:rsidP="002A11F0">
      <w:pPr>
        <w:jc w:val="both"/>
        <w:rPr>
          <w:rFonts w:asciiTheme="minorHAnsi" w:hAnsiTheme="minorHAnsi"/>
          <w:lang w:val="fr-BE"/>
        </w:rPr>
      </w:pPr>
    </w:p>
    <w:p w:rsidR="002A11F0" w:rsidRDefault="002A11F0" w:rsidP="002A11F0">
      <w:pPr>
        <w:jc w:val="both"/>
        <w:rPr>
          <w:rFonts w:asciiTheme="minorHAnsi" w:hAnsiTheme="minorHAnsi"/>
          <w:lang w:val="fr-BE"/>
        </w:rPr>
      </w:pPr>
      <w:r w:rsidRPr="00A12B26">
        <w:rPr>
          <w:rFonts w:asciiTheme="minorHAnsi" w:hAnsiTheme="minorHAnsi"/>
          <w:lang w:val="fr-BE"/>
        </w:rPr>
        <w:t>Les principaux producteurs</w:t>
      </w:r>
      <w:r>
        <w:rPr>
          <w:rFonts w:asciiTheme="minorHAnsi" w:hAnsiTheme="minorHAnsi"/>
          <w:lang w:val="fr-BE"/>
        </w:rPr>
        <w:t xml:space="preserve"> fournisseurs en énergie renouvelable </w:t>
      </w:r>
      <w:r w:rsidRPr="00A12B26">
        <w:rPr>
          <w:rFonts w:asciiTheme="minorHAnsi" w:hAnsiTheme="minorHAnsi"/>
          <w:lang w:val="fr-BE"/>
        </w:rPr>
        <w:t xml:space="preserve"> en Roumanie sont actuellement :</w:t>
      </w:r>
    </w:p>
    <w:p w:rsidR="002A11F0" w:rsidRDefault="002A11F0" w:rsidP="004B3B78">
      <w:pPr>
        <w:pStyle w:val="Paragraphedeliste"/>
        <w:numPr>
          <w:ilvl w:val="0"/>
          <w:numId w:val="2"/>
        </w:numPr>
        <w:jc w:val="both"/>
        <w:rPr>
          <w:rFonts w:asciiTheme="minorHAnsi" w:hAnsiTheme="minorHAnsi"/>
          <w:lang w:val="fr-BE"/>
        </w:rPr>
      </w:pPr>
      <w:r>
        <w:rPr>
          <w:rFonts w:asciiTheme="minorHAnsi" w:hAnsiTheme="minorHAnsi"/>
          <w:lang w:val="fr-BE"/>
        </w:rPr>
        <w:t>ELECTRICA FURNIZARE</w:t>
      </w:r>
      <w:r w:rsidR="004B3B78">
        <w:rPr>
          <w:rFonts w:asciiTheme="minorHAnsi" w:hAnsiTheme="minorHAnsi"/>
          <w:lang w:val="fr-BE"/>
        </w:rPr>
        <w:t xml:space="preserve"> (</w:t>
      </w:r>
      <w:hyperlink r:id="rId11" w:history="1">
        <w:r w:rsidR="004B3B78" w:rsidRPr="00DC6F54">
          <w:rPr>
            <w:rStyle w:val="Lienhypertexte"/>
            <w:rFonts w:asciiTheme="minorHAnsi" w:hAnsiTheme="minorHAnsi"/>
            <w:lang w:val="fr-BE"/>
          </w:rPr>
          <w:t>www.electricafurnizare.ro</w:t>
        </w:r>
      </w:hyperlink>
      <w:r w:rsidR="004B3B78">
        <w:rPr>
          <w:rFonts w:asciiTheme="minorHAnsi" w:hAnsiTheme="minorHAnsi"/>
          <w:lang w:val="fr-BE"/>
        </w:rPr>
        <w:t>)</w:t>
      </w:r>
      <w:r w:rsidR="00DA3F37">
        <w:rPr>
          <w:rFonts w:asciiTheme="minorHAnsi" w:hAnsiTheme="minorHAnsi"/>
          <w:lang w:val="fr-BE"/>
        </w:rPr>
        <w:t>,</w:t>
      </w:r>
    </w:p>
    <w:p w:rsidR="002A11F0" w:rsidRDefault="00DA3F37" w:rsidP="004B3B78">
      <w:pPr>
        <w:pStyle w:val="Paragraphedeliste"/>
        <w:numPr>
          <w:ilvl w:val="0"/>
          <w:numId w:val="2"/>
        </w:numPr>
        <w:jc w:val="both"/>
        <w:rPr>
          <w:rFonts w:asciiTheme="minorHAnsi" w:hAnsiTheme="minorHAnsi"/>
          <w:lang w:val="fr-BE"/>
        </w:rPr>
      </w:pPr>
      <w:r>
        <w:rPr>
          <w:rFonts w:asciiTheme="minorHAnsi" w:hAnsiTheme="minorHAnsi"/>
          <w:lang w:val="fr-BE"/>
        </w:rPr>
        <w:t>TINMAR ENERGY</w:t>
      </w:r>
      <w:r w:rsidR="004B3B78">
        <w:rPr>
          <w:rFonts w:asciiTheme="minorHAnsi" w:hAnsiTheme="minorHAnsi"/>
          <w:lang w:val="fr-BE"/>
        </w:rPr>
        <w:t xml:space="preserve"> (</w:t>
      </w:r>
      <w:hyperlink r:id="rId12" w:history="1">
        <w:r w:rsidR="004B3B78" w:rsidRPr="00DC6F54">
          <w:rPr>
            <w:rStyle w:val="Lienhypertexte"/>
            <w:rFonts w:asciiTheme="minorHAnsi" w:hAnsiTheme="minorHAnsi"/>
            <w:lang w:val="fr-BE"/>
          </w:rPr>
          <w:t>www.tinmar.ro</w:t>
        </w:r>
      </w:hyperlink>
      <w:r w:rsidR="004B3B78">
        <w:rPr>
          <w:rFonts w:asciiTheme="minorHAnsi" w:hAnsiTheme="minorHAnsi"/>
          <w:lang w:val="fr-BE"/>
        </w:rPr>
        <w:t>)</w:t>
      </w:r>
      <w:r>
        <w:rPr>
          <w:rFonts w:asciiTheme="minorHAnsi" w:hAnsiTheme="minorHAnsi"/>
          <w:lang w:val="fr-BE"/>
        </w:rPr>
        <w:t>,</w:t>
      </w:r>
    </w:p>
    <w:p w:rsidR="002A11F0" w:rsidRPr="00A12B26" w:rsidRDefault="002A11F0" w:rsidP="004B3B78">
      <w:pPr>
        <w:pStyle w:val="Paragraphedeliste"/>
        <w:numPr>
          <w:ilvl w:val="0"/>
          <w:numId w:val="2"/>
        </w:numPr>
        <w:jc w:val="both"/>
        <w:rPr>
          <w:rFonts w:asciiTheme="minorHAnsi" w:hAnsiTheme="minorHAnsi"/>
          <w:lang w:val="fr-BE"/>
        </w:rPr>
      </w:pPr>
      <w:r>
        <w:rPr>
          <w:rFonts w:asciiTheme="minorHAnsi" w:hAnsiTheme="minorHAnsi"/>
          <w:lang w:val="fr-BE"/>
        </w:rPr>
        <w:t>E.ON ENERGIE ROMANIA</w:t>
      </w:r>
      <w:r w:rsidR="004B3B78">
        <w:rPr>
          <w:rFonts w:asciiTheme="minorHAnsi" w:hAnsiTheme="minorHAnsi"/>
          <w:lang w:val="fr-BE"/>
        </w:rPr>
        <w:t xml:space="preserve"> (</w:t>
      </w:r>
      <w:hyperlink r:id="rId13" w:history="1">
        <w:r w:rsidR="004B3B78" w:rsidRPr="00DC6F54">
          <w:rPr>
            <w:rStyle w:val="Lienhypertexte"/>
            <w:rFonts w:asciiTheme="minorHAnsi" w:hAnsiTheme="minorHAnsi"/>
            <w:lang w:val="fr-BE"/>
          </w:rPr>
          <w:t>www.eon-energie-romania.ro</w:t>
        </w:r>
      </w:hyperlink>
      <w:r w:rsidR="004B3B78">
        <w:rPr>
          <w:rFonts w:asciiTheme="minorHAnsi" w:hAnsiTheme="minorHAnsi"/>
          <w:lang w:val="fr-BE"/>
        </w:rPr>
        <w:t>)</w:t>
      </w:r>
      <w:r w:rsidR="00DA3F37">
        <w:rPr>
          <w:rFonts w:asciiTheme="minorHAnsi" w:hAnsiTheme="minorHAnsi"/>
          <w:lang w:val="fr-BE"/>
        </w:rPr>
        <w:t>.</w:t>
      </w:r>
      <w:r>
        <w:rPr>
          <w:rFonts w:asciiTheme="minorHAnsi" w:hAnsiTheme="minorHAnsi"/>
          <w:lang w:val="fr-BE"/>
        </w:rPr>
        <w:t xml:space="preserve"> </w:t>
      </w:r>
    </w:p>
    <w:p w:rsidR="002A11F0" w:rsidRDefault="002A11F0" w:rsidP="002A11F0">
      <w:pPr>
        <w:jc w:val="both"/>
        <w:rPr>
          <w:rFonts w:asciiTheme="minorHAnsi" w:hAnsiTheme="minorHAnsi"/>
          <w:lang w:val="fr-BE"/>
        </w:rPr>
      </w:pPr>
    </w:p>
    <w:p w:rsidR="002A11F0" w:rsidRDefault="002A11F0" w:rsidP="002A11F0">
      <w:pPr>
        <w:jc w:val="both"/>
        <w:rPr>
          <w:rFonts w:asciiTheme="minorHAnsi" w:hAnsiTheme="minorHAnsi"/>
          <w:lang w:val="fr-BE"/>
        </w:rPr>
      </w:pPr>
      <w:r>
        <w:rPr>
          <w:rFonts w:asciiTheme="minorHAnsi" w:hAnsiTheme="minorHAnsi"/>
          <w:lang w:val="fr-BE"/>
        </w:rPr>
        <w:t xml:space="preserve">Les autorités compétentes dans ce domaine sont : </w:t>
      </w:r>
    </w:p>
    <w:p w:rsidR="00277CB3" w:rsidRDefault="002A11F0" w:rsidP="00277CB3">
      <w:pPr>
        <w:pStyle w:val="Paragraphedeliste"/>
        <w:numPr>
          <w:ilvl w:val="0"/>
          <w:numId w:val="2"/>
        </w:numPr>
        <w:jc w:val="both"/>
        <w:rPr>
          <w:rFonts w:asciiTheme="minorHAnsi" w:hAnsiTheme="minorHAnsi"/>
          <w:lang w:val="fr-BE"/>
        </w:rPr>
      </w:pPr>
      <w:r>
        <w:rPr>
          <w:rFonts w:asciiTheme="minorHAnsi" w:hAnsiTheme="minorHAnsi"/>
          <w:lang w:val="fr-BE"/>
        </w:rPr>
        <w:t>L</w:t>
      </w:r>
      <w:r w:rsidR="00277CB3">
        <w:rPr>
          <w:rFonts w:asciiTheme="minorHAnsi" w:hAnsiTheme="minorHAnsi"/>
          <w:lang w:val="fr-BE"/>
        </w:rPr>
        <w:t>e Ministère de l’E</w:t>
      </w:r>
      <w:r>
        <w:rPr>
          <w:rFonts w:asciiTheme="minorHAnsi" w:hAnsiTheme="minorHAnsi"/>
          <w:lang w:val="fr-BE"/>
        </w:rPr>
        <w:t>nergie</w:t>
      </w:r>
      <w:r w:rsidR="00277CB3">
        <w:rPr>
          <w:rFonts w:asciiTheme="minorHAnsi" w:hAnsiTheme="minorHAnsi"/>
          <w:lang w:val="fr-BE"/>
        </w:rPr>
        <w:t xml:space="preserve"> (</w:t>
      </w:r>
      <w:hyperlink r:id="rId14" w:history="1">
        <w:r w:rsidR="00277CB3" w:rsidRPr="00277CB3">
          <w:rPr>
            <w:rStyle w:val="Lienhypertexte"/>
            <w:rFonts w:asciiTheme="minorHAnsi" w:hAnsiTheme="minorHAnsi"/>
            <w:lang w:val="fr-BE"/>
          </w:rPr>
          <w:t>energie.gov.ro</w:t>
        </w:r>
      </w:hyperlink>
      <w:r w:rsidR="00277CB3">
        <w:rPr>
          <w:rFonts w:asciiTheme="minorHAnsi" w:hAnsiTheme="minorHAnsi"/>
          <w:lang w:val="fr-BE"/>
        </w:rPr>
        <w:t xml:space="preserve">)  </w:t>
      </w:r>
    </w:p>
    <w:p w:rsidR="002A11F0" w:rsidRDefault="00277CB3" w:rsidP="007E12D1">
      <w:pPr>
        <w:pStyle w:val="Paragraphedeliste"/>
        <w:numPr>
          <w:ilvl w:val="0"/>
          <w:numId w:val="2"/>
        </w:numPr>
        <w:jc w:val="both"/>
        <w:rPr>
          <w:rFonts w:asciiTheme="minorHAnsi" w:hAnsiTheme="minorHAnsi"/>
          <w:lang w:val="fr-BE"/>
        </w:rPr>
      </w:pPr>
      <w:r>
        <w:rPr>
          <w:rFonts w:asciiTheme="minorHAnsi" w:hAnsiTheme="minorHAnsi"/>
          <w:lang w:val="fr-BE"/>
        </w:rPr>
        <w:t>L</w:t>
      </w:r>
      <w:r w:rsidR="007E12D1">
        <w:rPr>
          <w:rFonts w:asciiTheme="minorHAnsi" w:hAnsiTheme="minorHAnsi"/>
          <w:lang w:val="fr-BE"/>
        </w:rPr>
        <w:t xml:space="preserve">’ANRE  - </w:t>
      </w:r>
      <w:r w:rsidR="002A11F0" w:rsidRPr="00DA3F37">
        <w:rPr>
          <w:rFonts w:asciiTheme="minorHAnsi" w:hAnsiTheme="minorHAnsi"/>
          <w:lang w:val="fr-BE"/>
        </w:rPr>
        <w:t>l’Autorité</w:t>
      </w:r>
      <w:r w:rsidR="00DA3F37">
        <w:rPr>
          <w:rFonts w:asciiTheme="minorHAnsi" w:hAnsiTheme="minorHAnsi"/>
          <w:lang w:val="fr-BE"/>
        </w:rPr>
        <w:t xml:space="preserve"> n</w:t>
      </w:r>
      <w:r w:rsidR="002A11F0" w:rsidRPr="00DA3F37">
        <w:rPr>
          <w:rFonts w:asciiTheme="minorHAnsi" w:hAnsiTheme="minorHAnsi"/>
          <w:lang w:val="fr-BE"/>
        </w:rPr>
        <w:t xml:space="preserve">ationale pour la </w:t>
      </w:r>
      <w:r w:rsidR="00DA3F37">
        <w:rPr>
          <w:rFonts w:asciiTheme="minorHAnsi" w:hAnsiTheme="minorHAnsi"/>
          <w:lang w:val="fr-BE"/>
        </w:rPr>
        <w:t>r</w:t>
      </w:r>
      <w:r w:rsidR="002A11F0" w:rsidRPr="00DA3F37">
        <w:rPr>
          <w:rFonts w:asciiTheme="minorHAnsi" w:hAnsiTheme="minorHAnsi"/>
          <w:lang w:val="fr-BE"/>
        </w:rPr>
        <w:t>églementation dans le domaine de l’</w:t>
      </w:r>
      <w:r w:rsidR="00DA3F37">
        <w:rPr>
          <w:rFonts w:asciiTheme="minorHAnsi" w:hAnsiTheme="minorHAnsi"/>
          <w:lang w:val="fr-BE"/>
        </w:rPr>
        <w:t>é</w:t>
      </w:r>
      <w:r w:rsidR="00DA3F37" w:rsidRPr="00DA3F37">
        <w:rPr>
          <w:rFonts w:asciiTheme="minorHAnsi" w:hAnsiTheme="minorHAnsi"/>
          <w:lang w:val="fr-BE"/>
        </w:rPr>
        <w:t>nergie</w:t>
      </w:r>
      <w:r w:rsidR="007E12D1">
        <w:rPr>
          <w:rFonts w:asciiTheme="minorHAnsi" w:hAnsiTheme="minorHAnsi"/>
          <w:lang w:val="fr-BE"/>
        </w:rPr>
        <w:t xml:space="preserve"> (</w:t>
      </w:r>
      <w:hyperlink r:id="rId15" w:history="1">
        <w:r w:rsidR="007E12D1" w:rsidRPr="00DC6F54">
          <w:rPr>
            <w:rStyle w:val="Lienhypertexte"/>
            <w:rFonts w:asciiTheme="minorHAnsi" w:hAnsiTheme="minorHAnsi"/>
            <w:lang w:val="fr-BE"/>
          </w:rPr>
          <w:t>www.anre.ro</w:t>
        </w:r>
      </w:hyperlink>
      <w:r w:rsidR="002A11F0" w:rsidRPr="00DA3F37">
        <w:rPr>
          <w:rFonts w:asciiTheme="minorHAnsi" w:hAnsiTheme="minorHAnsi"/>
          <w:lang w:val="fr-BE"/>
        </w:rPr>
        <w:t>)</w:t>
      </w:r>
      <w:r w:rsidR="00DA3F37">
        <w:rPr>
          <w:rFonts w:asciiTheme="minorHAnsi" w:hAnsiTheme="minorHAnsi"/>
          <w:lang w:val="fr-BE"/>
        </w:rPr>
        <w:t>.</w:t>
      </w:r>
      <w:r w:rsidR="007E12D1">
        <w:rPr>
          <w:rFonts w:asciiTheme="minorHAnsi" w:hAnsiTheme="minorHAnsi"/>
          <w:lang w:val="fr-BE"/>
        </w:rPr>
        <w:t xml:space="preserve"> </w:t>
      </w:r>
    </w:p>
    <w:p w:rsidR="001E76FB" w:rsidRPr="001E76FB" w:rsidRDefault="007E12D1" w:rsidP="007E12D1">
      <w:pPr>
        <w:pStyle w:val="Paragraphedeliste"/>
        <w:numPr>
          <w:ilvl w:val="0"/>
          <w:numId w:val="2"/>
        </w:numPr>
        <w:jc w:val="both"/>
        <w:rPr>
          <w:rFonts w:asciiTheme="minorHAnsi" w:hAnsiTheme="minorHAnsi"/>
          <w:lang w:val="fr-BE"/>
        </w:rPr>
      </w:pPr>
      <w:r>
        <w:rPr>
          <w:rFonts w:asciiTheme="minorHAnsi" w:hAnsiTheme="minorHAnsi"/>
          <w:lang w:val="fr-BE"/>
        </w:rPr>
        <w:t xml:space="preserve">L’AFM - </w:t>
      </w:r>
      <w:r w:rsidR="001E76FB">
        <w:rPr>
          <w:rFonts w:asciiTheme="minorHAnsi" w:hAnsiTheme="minorHAnsi"/>
          <w:lang w:val="fr-BE"/>
        </w:rPr>
        <w:t>l’Administration</w:t>
      </w:r>
      <w:r>
        <w:rPr>
          <w:rFonts w:asciiTheme="minorHAnsi" w:hAnsiTheme="minorHAnsi"/>
          <w:lang w:val="fr-BE"/>
        </w:rPr>
        <w:t xml:space="preserve"> des fonds pour l’environnement,</w:t>
      </w:r>
      <w:r w:rsidR="001E76FB">
        <w:rPr>
          <w:rFonts w:asciiTheme="minorHAnsi" w:hAnsiTheme="minorHAnsi"/>
          <w:lang w:val="fr-BE"/>
        </w:rPr>
        <w:t xml:space="preserve"> qui est l’institution principale assurant</w:t>
      </w:r>
      <w:r w:rsidR="001E76FB" w:rsidRPr="001E76FB">
        <w:rPr>
          <w:rFonts w:asciiTheme="minorHAnsi" w:hAnsiTheme="minorHAnsi"/>
          <w:lang w:val="fr-BE"/>
        </w:rPr>
        <w:t xml:space="preserve"> le support financier pour la réalisation de</w:t>
      </w:r>
      <w:r w:rsidR="001E76FB">
        <w:rPr>
          <w:rFonts w:asciiTheme="minorHAnsi" w:hAnsiTheme="minorHAnsi"/>
          <w:lang w:val="fr-BE"/>
        </w:rPr>
        <w:t>s</w:t>
      </w:r>
      <w:r w:rsidR="001E76FB" w:rsidRPr="001E76FB">
        <w:rPr>
          <w:rFonts w:asciiTheme="minorHAnsi" w:hAnsiTheme="minorHAnsi"/>
          <w:lang w:val="fr-BE"/>
        </w:rPr>
        <w:t xml:space="preserve"> projets et</w:t>
      </w:r>
      <w:r w:rsidR="001E76FB">
        <w:rPr>
          <w:rFonts w:asciiTheme="minorHAnsi" w:hAnsiTheme="minorHAnsi"/>
          <w:lang w:val="fr-BE"/>
        </w:rPr>
        <w:t xml:space="preserve"> programmes de protection de l’environnement</w:t>
      </w:r>
      <w:r>
        <w:rPr>
          <w:rFonts w:asciiTheme="minorHAnsi" w:hAnsiTheme="minorHAnsi"/>
          <w:lang w:val="fr-BE"/>
        </w:rPr>
        <w:t xml:space="preserve"> (</w:t>
      </w:r>
      <w:hyperlink r:id="rId16" w:history="1">
        <w:r w:rsidRPr="00DC6F54">
          <w:rPr>
            <w:rStyle w:val="Lienhypertexte"/>
            <w:rFonts w:asciiTheme="minorHAnsi" w:hAnsiTheme="minorHAnsi"/>
            <w:lang w:val="fr-BE"/>
          </w:rPr>
          <w:t>www.afm.ro</w:t>
        </w:r>
      </w:hyperlink>
      <w:r>
        <w:rPr>
          <w:rFonts w:asciiTheme="minorHAnsi" w:hAnsiTheme="minorHAnsi"/>
          <w:lang w:val="fr-BE"/>
        </w:rPr>
        <w:t>)</w:t>
      </w:r>
      <w:r w:rsidR="001E76FB">
        <w:rPr>
          <w:rFonts w:asciiTheme="minorHAnsi" w:hAnsiTheme="minorHAnsi"/>
          <w:lang w:val="fr-BE"/>
        </w:rPr>
        <w:t>.</w:t>
      </w:r>
      <w:r w:rsidR="001E76FB" w:rsidRPr="001E76FB">
        <w:rPr>
          <w:rFonts w:asciiTheme="minorHAnsi" w:hAnsiTheme="minorHAnsi"/>
          <w:lang w:val="fr-BE"/>
        </w:rPr>
        <w:t xml:space="preserve">  </w:t>
      </w:r>
    </w:p>
    <w:p w:rsidR="002A11F0" w:rsidRDefault="002A11F0" w:rsidP="002A11F0">
      <w:pPr>
        <w:jc w:val="both"/>
        <w:rPr>
          <w:rFonts w:asciiTheme="minorHAnsi" w:hAnsiTheme="minorHAnsi"/>
          <w:lang w:val="fr-BE"/>
        </w:rPr>
      </w:pPr>
    </w:p>
    <w:p w:rsidR="002A11F0" w:rsidRDefault="00DA3F37" w:rsidP="002A11F0">
      <w:pPr>
        <w:jc w:val="both"/>
        <w:rPr>
          <w:rFonts w:asciiTheme="minorHAnsi" w:hAnsiTheme="minorHAnsi"/>
          <w:lang w:val="fr-BE"/>
        </w:rPr>
      </w:pPr>
      <w:r>
        <w:rPr>
          <w:rFonts w:asciiTheme="minorHAnsi" w:hAnsiTheme="minorHAnsi"/>
          <w:lang w:val="fr-BE"/>
        </w:rPr>
        <w:t xml:space="preserve">De plus, la société </w:t>
      </w:r>
      <w:r w:rsidR="000775AE">
        <w:rPr>
          <w:rFonts w:asciiTheme="minorHAnsi" w:hAnsiTheme="minorHAnsi"/>
          <w:lang w:val="fr-BE"/>
        </w:rPr>
        <w:t>TRANSELECTRICA</w:t>
      </w:r>
      <w:r>
        <w:rPr>
          <w:rFonts w:asciiTheme="minorHAnsi" w:hAnsiTheme="minorHAnsi"/>
          <w:lang w:val="fr-BE"/>
        </w:rPr>
        <w:t xml:space="preserve"> </w:t>
      </w:r>
      <w:r w:rsidR="000775AE">
        <w:rPr>
          <w:rFonts w:asciiTheme="minorHAnsi" w:hAnsiTheme="minorHAnsi"/>
          <w:lang w:val="fr-BE"/>
        </w:rPr>
        <w:t>SA</w:t>
      </w:r>
      <w:r w:rsidR="008116B6">
        <w:rPr>
          <w:rFonts w:asciiTheme="minorHAnsi" w:hAnsiTheme="minorHAnsi"/>
          <w:lang w:val="fr-BE"/>
        </w:rPr>
        <w:t xml:space="preserve"> (</w:t>
      </w:r>
      <w:hyperlink r:id="rId17" w:history="1">
        <w:r w:rsidR="008116B6" w:rsidRPr="00DC6F54">
          <w:rPr>
            <w:rStyle w:val="Lienhypertexte"/>
            <w:rFonts w:asciiTheme="minorHAnsi" w:hAnsiTheme="minorHAnsi"/>
            <w:lang w:val="fr-BE"/>
          </w:rPr>
          <w:t>http://www.transelectrica.ro</w:t>
        </w:r>
      </w:hyperlink>
      <w:r w:rsidR="008116B6">
        <w:rPr>
          <w:rFonts w:asciiTheme="minorHAnsi" w:hAnsiTheme="minorHAnsi"/>
          <w:lang w:val="fr-BE"/>
        </w:rPr>
        <w:t xml:space="preserve">) </w:t>
      </w:r>
      <w:r>
        <w:rPr>
          <w:rFonts w:asciiTheme="minorHAnsi" w:hAnsiTheme="minorHAnsi"/>
          <w:lang w:val="fr-BE"/>
        </w:rPr>
        <w:t xml:space="preserve">a une grande influence dans la prise de décision, en tant qu’exploitant du réseau national. Elle </w:t>
      </w:r>
      <w:r w:rsidR="002A11F0">
        <w:rPr>
          <w:rFonts w:asciiTheme="minorHAnsi" w:hAnsiTheme="minorHAnsi"/>
          <w:lang w:val="fr-BE"/>
        </w:rPr>
        <w:t xml:space="preserve">est </w:t>
      </w:r>
      <w:r>
        <w:rPr>
          <w:rFonts w:asciiTheme="minorHAnsi" w:hAnsiTheme="minorHAnsi"/>
          <w:lang w:val="fr-BE"/>
        </w:rPr>
        <w:t xml:space="preserve">également </w:t>
      </w:r>
      <w:r w:rsidR="002A11F0">
        <w:rPr>
          <w:rFonts w:asciiTheme="minorHAnsi" w:hAnsiTheme="minorHAnsi"/>
          <w:lang w:val="fr-BE"/>
        </w:rPr>
        <w:t xml:space="preserve">responsable pour </w:t>
      </w:r>
      <w:r>
        <w:rPr>
          <w:rFonts w:asciiTheme="minorHAnsi" w:hAnsiTheme="minorHAnsi"/>
          <w:lang w:val="fr-BE"/>
        </w:rPr>
        <w:t>délivrer</w:t>
      </w:r>
      <w:r w:rsidR="002A11F0">
        <w:rPr>
          <w:rFonts w:asciiTheme="minorHAnsi" w:hAnsiTheme="minorHAnsi"/>
          <w:lang w:val="fr-BE"/>
        </w:rPr>
        <w:t xml:space="preserve"> les certificats verts.</w:t>
      </w:r>
    </w:p>
    <w:p w:rsidR="00E1446E" w:rsidRDefault="00E1446E" w:rsidP="00772063">
      <w:pPr>
        <w:jc w:val="both"/>
        <w:rPr>
          <w:rFonts w:asciiTheme="minorHAnsi" w:hAnsiTheme="minorHAnsi"/>
          <w:lang w:val="fr-BE"/>
        </w:rPr>
      </w:pPr>
    </w:p>
    <w:p w:rsidR="00C40F5D" w:rsidRDefault="00C40F5D" w:rsidP="00C40F5D">
      <w:pPr>
        <w:rPr>
          <w:rFonts w:asciiTheme="minorHAnsi" w:hAnsiTheme="minorHAnsi"/>
          <w:b/>
        </w:rPr>
      </w:pPr>
      <w:r>
        <w:rPr>
          <w:rFonts w:asciiTheme="minorHAnsi" w:hAnsiTheme="minorHAnsi"/>
          <w:b/>
        </w:rPr>
        <w:t>LÉGISLATION</w:t>
      </w:r>
    </w:p>
    <w:p w:rsidR="00CE278E" w:rsidRDefault="00CE278E" w:rsidP="00772063">
      <w:pPr>
        <w:jc w:val="both"/>
        <w:rPr>
          <w:rFonts w:asciiTheme="minorHAnsi" w:hAnsiTheme="minorHAnsi"/>
          <w:lang w:val="fr-BE"/>
        </w:rPr>
      </w:pPr>
    </w:p>
    <w:p w:rsidR="008116B6" w:rsidRDefault="007103D1" w:rsidP="006D46CA">
      <w:pPr>
        <w:jc w:val="both"/>
        <w:rPr>
          <w:rFonts w:asciiTheme="minorHAnsi" w:hAnsiTheme="minorHAnsi"/>
          <w:lang w:val="fr-BE"/>
        </w:rPr>
      </w:pPr>
      <w:r>
        <w:rPr>
          <w:rFonts w:asciiTheme="minorHAnsi" w:hAnsiTheme="minorHAnsi"/>
          <w:lang w:val="fr-BE"/>
        </w:rPr>
        <w:t>L</w:t>
      </w:r>
      <w:r w:rsidRPr="007103D1">
        <w:rPr>
          <w:rFonts w:asciiTheme="minorHAnsi" w:hAnsiTheme="minorHAnsi"/>
          <w:lang w:val="fr-BE"/>
        </w:rPr>
        <w:t xml:space="preserve">e domaine des énergies renouvelables </w:t>
      </w:r>
      <w:r>
        <w:rPr>
          <w:rFonts w:asciiTheme="minorHAnsi" w:hAnsiTheme="minorHAnsi"/>
          <w:lang w:val="fr-BE"/>
        </w:rPr>
        <w:t xml:space="preserve">est régi par la </w:t>
      </w:r>
      <w:r w:rsidR="00970E0B">
        <w:rPr>
          <w:rFonts w:asciiTheme="minorHAnsi" w:hAnsiTheme="minorHAnsi"/>
          <w:b/>
          <w:lang w:val="fr-BE"/>
        </w:rPr>
        <w:t>l</w:t>
      </w:r>
      <w:r w:rsidR="000B0B3A" w:rsidRPr="004E1273">
        <w:rPr>
          <w:rFonts w:asciiTheme="minorHAnsi" w:hAnsiTheme="minorHAnsi"/>
          <w:b/>
          <w:lang w:val="fr-BE"/>
        </w:rPr>
        <w:t>oi 220/2008</w:t>
      </w:r>
      <w:r w:rsidR="00251EAD">
        <w:rPr>
          <w:rFonts w:asciiTheme="minorHAnsi" w:hAnsiTheme="minorHAnsi"/>
          <w:lang w:val="fr-BE"/>
        </w:rPr>
        <w:t xml:space="preserve"> pour la mise en place d’un système de soutien pour la production d’énergie à partir de sources renouvelables</w:t>
      </w:r>
      <w:r w:rsidR="004E1273">
        <w:rPr>
          <w:rFonts w:asciiTheme="minorHAnsi" w:hAnsiTheme="minorHAnsi"/>
          <w:lang w:val="fr-BE"/>
        </w:rPr>
        <w:t>, adoptée suite à l’adhésion du pays à l’UE et l’obligation d’atteindre les objectifs européens en matière d’énergie verte.</w:t>
      </w:r>
      <w:r w:rsidR="00251EAD">
        <w:rPr>
          <w:rFonts w:asciiTheme="minorHAnsi" w:hAnsiTheme="minorHAnsi"/>
          <w:lang w:val="fr-BE"/>
        </w:rPr>
        <w:t xml:space="preserve"> </w:t>
      </w:r>
      <w:r w:rsidR="00867A03">
        <w:rPr>
          <w:rFonts w:asciiTheme="minorHAnsi" w:hAnsiTheme="minorHAnsi"/>
          <w:lang w:val="fr-BE"/>
        </w:rPr>
        <w:t xml:space="preserve"> </w:t>
      </w:r>
      <w:r w:rsidR="00995087">
        <w:rPr>
          <w:rFonts w:asciiTheme="minorHAnsi" w:hAnsiTheme="minorHAnsi"/>
          <w:lang w:val="fr-BE"/>
        </w:rPr>
        <w:t xml:space="preserve">Cette Loi a récemment été modifiée </w:t>
      </w:r>
      <w:r w:rsidR="00995087" w:rsidRPr="00351629">
        <w:rPr>
          <w:rFonts w:asciiTheme="minorHAnsi" w:hAnsiTheme="minorHAnsi"/>
          <w:lang w:val="fr-BE"/>
        </w:rPr>
        <w:t xml:space="preserve">par </w:t>
      </w:r>
      <w:r w:rsidR="00970E0B">
        <w:rPr>
          <w:rFonts w:asciiTheme="minorHAnsi" w:hAnsiTheme="minorHAnsi"/>
          <w:b/>
          <w:lang w:val="fr-BE"/>
        </w:rPr>
        <w:t>l’o</w:t>
      </w:r>
      <w:r w:rsidR="00995087" w:rsidRPr="0097324E">
        <w:rPr>
          <w:rFonts w:asciiTheme="minorHAnsi" w:hAnsiTheme="minorHAnsi"/>
          <w:b/>
          <w:lang w:val="fr-BE"/>
        </w:rPr>
        <w:t>rdonnance d’urgence n</w:t>
      </w:r>
      <w:r w:rsidR="00995087" w:rsidRPr="0097324E">
        <w:rPr>
          <w:rFonts w:ascii="Calibri" w:hAnsi="Calibri"/>
          <w:b/>
          <w:lang w:val="fr-BE"/>
        </w:rPr>
        <w:t>°</w:t>
      </w:r>
      <w:r w:rsidR="00995087" w:rsidRPr="0097324E">
        <w:rPr>
          <w:rFonts w:asciiTheme="minorHAnsi" w:hAnsiTheme="minorHAnsi"/>
          <w:b/>
          <w:lang w:val="fr-BE"/>
        </w:rPr>
        <w:t xml:space="preserve"> 24</w:t>
      </w:r>
      <w:r w:rsidR="00995087" w:rsidRPr="00351629">
        <w:rPr>
          <w:rFonts w:asciiTheme="minorHAnsi" w:hAnsiTheme="minorHAnsi"/>
          <w:lang w:val="fr-BE"/>
        </w:rPr>
        <w:t>, le</w:t>
      </w:r>
      <w:r w:rsidR="00995087">
        <w:rPr>
          <w:rFonts w:asciiTheme="minorHAnsi" w:hAnsiTheme="minorHAnsi"/>
          <w:lang w:val="fr-BE"/>
        </w:rPr>
        <w:t xml:space="preserve"> 31 mars 2017.</w:t>
      </w:r>
      <w:r w:rsidR="008116B6">
        <w:rPr>
          <w:rFonts w:asciiTheme="minorHAnsi" w:hAnsiTheme="minorHAnsi"/>
          <w:lang w:val="fr-BE"/>
        </w:rPr>
        <w:t xml:space="preserve"> </w:t>
      </w:r>
    </w:p>
    <w:p w:rsidR="008116B6" w:rsidRDefault="008116B6" w:rsidP="006D46CA">
      <w:pPr>
        <w:jc w:val="both"/>
        <w:rPr>
          <w:rFonts w:asciiTheme="minorHAnsi" w:hAnsiTheme="minorHAnsi"/>
          <w:lang w:val="fr-BE"/>
        </w:rPr>
      </w:pPr>
    </w:p>
    <w:p w:rsidR="00995087" w:rsidRDefault="006C33B8" w:rsidP="006D46CA">
      <w:pPr>
        <w:jc w:val="both"/>
        <w:rPr>
          <w:rFonts w:asciiTheme="minorHAnsi" w:hAnsiTheme="minorHAnsi"/>
          <w:lang w:val="fr-BE"/>
        </w:rPr>
      </w:pPr>
      <w:r>
        <w:rPr>
          <w:rFonts w:asciiTheme="minorHAnsi" w:hAnsiTheme="minorHAnsi"/>
          <w:lang w:val="fr-BE"/>
        </w:rPr>
        <w:t xml:space="preserve">Parmi les </w:t>
      </w:r>
      <w:r w:rsidR="000775AE">
        <w:rPr>
          <w:rFonts w:asciiTheme="minorHAnsi" w:hAnsiTheme="minorHAnsi"/>
          <w:lang w:val="fr-BE"/>
        </w:rPr>
        <w:t xml:space="preserve">principales </w:t>
      </w:r>
      <w:r>
        <w:rPr>
          <w:rFonts w:asciiTheme="minorHAnsi" w:hAnsiTheme="minorHAnsi"/>
          <w:lang w:val="fr-BE"/>
        </w:rPr>
        <w:t xml:space="preserve">mesures de </w:t>
      </w:r>
      <w:r w:rsidR="00995087">
        <w:rPr>
          <w:rFonts w:asciiTheme="minorHAnsi" w:hAnsiTheme="minorHAnsi"/>
          <w:lang w:val="fr-BE"/>
        </w:rPr>
        <w:t xml:space="preserve">soutien </w:t>
      </w:r>
      <w:r>
        <w:rPr>
          <w:rFonts w:asciiTheme="minorHAnsi" w:hAnsiTheme="minorHAnsi"/>
          <w:lang w:val="fr-BE"/>
        </w:rPr>
        <w:t xml:space="preserve">mises en place, il y a notamment </w:t>
      </w:r>
      <w:r w:rsidR="00E1628C">
        <w:rPr>
          <w:rFonts w:asciiTheme="minorHAnsi" w:hAnsiTheme="minorHAnsi"/>
          <w:lang w:val="fr-BE"/>
        </w:rPr>
        <w:t xml:space="preserve">un système </w:t>
      </w:r>
      <w:r w:rsidR="006D46CA">
        <w:rPr>
          <w:rFonts w:asciiTheme="minorHAnsi" w:hAnsiTheme="minorHAnsi"/>
          <w:lang w:val="fr-BE"/>
        </w:rPr>
        <w:t xml:space="preserve">de quotas </w:t>
      </w:r>
      <w:r w:rsidR="000775AE">
        <w:rPr>
          <w:rFonts w:asciiTheme="minorHAnsi" w:hAnsiTheme="minorHAnsi"/>
          <w:lang w:val="fr-BE"/>
        </w:rPr>
        <w:t xml:space="preserve">fixés </w:t>
      </w:r>
      <w:r w:rsidR="002A11F0">
        <w:rPr>
          <w:rFonts w:asciiTheme="minorHAnsi" w:hAnsiTheme="minorHAnsi"/>
          <w:lang w:val="fr-BE"/>
        </w:rPr>
        <w:t xml:space="preserve">par l’ANRE </w:t>
      </w:r>
      <w:r w:rsidR="006D46CA">
        <w:rPr>
          <w:rFonts w:asciiTheme="minorHAnsi" w:hAnsiTheme="minorHAnsi"/>
          <w:lang w:val="fr-BE"/>
        </w:rPr>
        <w:t>(pour la mise en vente d’</w:t>
      </w:r>
      <w:r w:rsidR="00E1628C">
        <w:rPr>
          <w:rFonts w:asciiTheme="minorHAnsi" w:hAnsiTheme="minorHAnsi"/>
          <w:lang w:val="fr-BE"/>
        </w:rPr>
        <w:t>énergie provenant de sources renouve</w:t>
      </w:r>
      <w:r w:rsidR="006D46CA">
        <w:rPr>
          <w:rFonts w:asciiTheme="minorHAnsi" w:hAnsiTheme="minorHAnsi"/>
          <w:lang w:val="fr-BE"/>
        </w:rPr>
        <w:t>lable</w:t>
      </w:r>
      <w:r w:rsidR="00E1628C">
        <w:rPr>
          <w:rFonts w:asciiTheme="minorHAnsi" w:hAnsiTheme="minorHAnsi"/>
          <w:lang w:val="fr-BE"/>
        </w:rPr>
        <w:t>s</w:t>
      </w:r>
      <w:r w:rsidR="006D46CA">
        <w:rPr>
          <w:rFonts w:asciiTheme="minorHAnsi" w:hAnsiTheme="minorHAnsi"/>
          <w:lang w:val="fr-BE"/>
        </w:rPr>
        <w:t>)</w:t>
      </w:r>
      <w:r w:rsidR="00E1628C">
        <w:rPr>
          <w:rFonts w:asciiTheme="minorHAnsi" w:hAnsiTheme="minorHAnsi"/>
          <w:lang w:val="fr-BE"/>
        </w:rPr>
        <w:t xml:space="preserve">, </w:t>
      </w:r>
      <w:r w:rsidR="00E1628C">
        <w:rPr>
          <w:rFonts w:asciiTheme="minorHAnsi" w:hAnsiTheme="minorHAnsi"/>
          <w:lang w:val="fr-BE"/>
        </w:rPr>
        <w:lastRenderedPageBreak/>
        <w:t xml:space="preserve">ainsi qu’un </w:t>
      </w:r>
      <w:r w:rsidR="006D46CA">
        <w:rPr>
          <w:rFonts w:asciiTheme="minorHAnsi" w:hAnsiTheme="minorHAnsi"/>
          <w:lang w:val="fr-BE"/>
        </w:rPr>
        <w:t xml:space="preserve">système des </w:t>
      </w:r>
      <w:r w:rsidR="006D46CA" w:rsidRPr="00503748">
        <w:rPr>
          <w:rFonts w:asciiTheme="minorHAnsi" w:hAnsiTheme="minorHAnsi"/>
          <w:b/>
          <w:lang w:val="fr-BE"/>
        </w:rPr>
        <w:t>certificats verts</w:t>
      </w:r>
      <w:r w:rsidR="006D46CA">
        <w:rPr>
          <w:rFonts w:asciiTheme="minorHAnsi" w:hAnsiTheme="minorHAnsi"/>
          <w:lang w:val="fr-BE"/>
        </w:rPr>
        <w:t xml:space="preserve"> (</w:t>
      </w:r>
      <w:r w:rsidR="00E1628C">
        <w:rPr>
          <w:rFonts w:asciiTheme="minorHAnsi" w:hAnsiTheme="minorHAnsi"/>
          <w:lang w:val="fr-BE"/>
        </w:rPr>
        <w:t>chaque mois,</w:t>
      </w:r>
      <w:r>
        <w:rPr>
          <w:rFonts w:asciiTheme="minorHAnsi" w:hAnsiTheme="minorHAnsi"/>
          <w:lang w:val="fr-BE"/>
        </w:rPr>
        <w:t xml:space="preserve"> </w:t>
      </w:r>
      <w:r w:rsidR="006D46CA">
        <w:rPr>
          <w:rFonts w:asciiTheme="minorHAnsi" w:hAnsiTheme="minorHAnsi"/>
          <w:lang w:val="fr-BE"/>
        </w:rPr>
        <w:t>les</w:t>
      </w:r>
      <w:r w:rsidRPr="006C33B8">
        <w:rPr>
          <w:rFonts w:asciiTheme="minorHAnsi" w:hAnsiTheme="minorHAnsi"/>
          <w:lang w:val="fr-BE"/>
        </w:rPr>
        <w:t xml:space="preserve"> producteurs d'énergies </w:t>
      </w:r>
      <w:r>
        <w:rPr>
          <w:rFonts w:asciiTheme="minorHAnsi" w:hAnsiTheme="minorHAnsi"/>
          <w:lang w:val="fr-BE"/>
        </w:rPr>
        <w:t>renouvelables</w:t>
      </w:r>
      <w:r w:rsidR="006D46CA">
        <w:rPr>
          <w:rFonts w:asciiTheme="minorHAnsi" w:hAnsiTheme="minorHAnsi"/>
          <w:lang w:val="fr-BE"/>
        </w:rPr>
        <w:t xml:space="preserve"> reçoivent </w:t>
      </w:r>
      <w:r>
        <w:rPr>
          <w:rFonts w:asciiTheme="minorHAnsi" w:hAnsiTheme="minorHAnsi"/>
          <w:lang w:val="fr-BE"/>
        </w:rPr>
        <w:t>des certificats</w:t>
      </w:r>
      <w:r w:rsidR="007E193E">
        <w:rPr>
          <w:rFonts w:asciiTheme="minorHAnsi" w:hAnsiTheme="minorHAnsi"/>
          <w:lang w:val="fr-BE"/>
        </w:rPr>
        <w:t xml:space="preserve"> de TRANSELECTRICA SA</w:t>
      </w:r>
      <w:r w:rsidRPr="006C33B8">
        <w:rPr>
          <w:rFonts w:asciiTheme="minorHAnsi" w:hAnsiTheme="minorHAnsi"/>
          <w:lang w:val="fr-BE"/>
        </w:rPr>
        <w:t xml:space="preserve"> pour chaque mégawatt généré</w:t>
      </w:r>
      <w:r w:rsidR="006D46CA">
        <w:rPr>
          <w:rFonts w:asciiTheme="minorHAnsi" w:hAnsiTheme="minorHAnsi"/>
          <w:lang w:val="fr-BE"/>
        </w:rPr>
        <w:t>)</w:t>
      </w:r>
      <w:r>
        <w:rPr>
          <w:rFonts w:asciiTheme="minorHAnsi" w:hAnsiTheme="minorHAnsi"/>
          <w:lang w:val="fr-BE"/>
        </w:rPr>
        <w:t>.</w:t>
      </w:r>
      <w:r w:rsidR="00D20710">
        <w:rPr>
          <w:rFonts w:asciiTheme="minorHAnsi" w:hAnsiTheme="minorHAnsi"/>
          <w:lang w:val="fr-BE"/>
        </w:rPr>
        <w:t xml:space="preserve"> </w:t>
      </w:r>
      <w:r w:rsidR="006D46CA">
        <w:rPr>
          <w:rFonts w:asciiTheme="minorHAnsi" w:hAnsiTheme="minorHAnsi"/>
          <w:lang w:val="fr-BE"/>
        </w:rPr>
        <w:t xml:space="preserve">Les fournisseurs ont l’obligation d’obtenir un certain nombre de certificats verts par an, calculé en fonction </w:t>
      </w:r>
      <w:r w:rsidR="000775AE">
        <w:rPr>
          <w:rFonts w:asciiTheme="minorHAnsi" w:hAnsiTheme="minorHAnsi"/>
          <w:lang w:val="fr-BE"/>
        </w:rPr>
        <w:t>de</w:t>
      </w:r>
      <w:r w:rsidR="00247A50">
        <w:rPr>
          <w:rFonts w:asciiTheme="minorHAnsi" w:hAnsiTheme="minorHAnsi"/>
          <w:lang w:val="fr-BE"/>
        </w:rPr>
        <w:t>s</w:t>
      </w:r>
      <w:r w:rsidR="000775AE">
        <w:rPr>
          <w:rFonts w:asciiTheme="minorHAnsi" w:hAnsiTheme="minorHAnsi"/>
          <w:lang w:val="fr-BE"/>
        </w:rPr>
        <w:t xml:space="preserve"> quotas obligatoires  et du volume total d’énergie verte fournie aux consommateurs.</w:t>
      </w:r>
      <w:r w:rsidR="007E193E">
        <w:rPr>
          <w:rFonts w:asciiTheme="minorHAnsi" w:hAnsiTheme="minorHAnsi"/>
          <w:lang w:val="fr-BE"/>
        </w:rPr>
        <w:t xml:space="preserve"> Les fournisseurs n’ayant pas atteint le nombre de certificats requis doivent payer une pénalité et ceux ne s’étant pas acquitté de cette pénalité, se voient retirer leur licence. </w:t>
      </w:r>
    </w:p>
    <w:p w:rsidR="0097324E" w:rsidRDefault="00503748" w:rsidP="0097324E">
      <w:pPr>
        <w:jc w:val="both"/>
        <w:rPr>
          <w:rFonts w:asciiTheme="minorHAnsi" w:hAnsiTheme="minorHAnsi"/>
          <w:lang w:val="fr-BE"/>
        </w:rPr>
      </w:pPr>
      <w:r>
        <w:rPr>
          <w:rFonts w:asciiTheme="minorHAnsi" w:hAnsiTheme="minorHAnsi"/>
          <w:lang w:val="fr-BE"/>
        </w:rPr>
        <w:t>Suite à la crise rencontrée par le secteur dans les an</w:t>
      </w:r>
      <w:r w:rsidR="00180790">
        <w:rPr>
          <w:rFonts w:asciiTheme="minorHAnsi" w:hAnsiTheme="minorHAnsi"/>
          <w:lang w:val="fr-BE"/>
        </w:rPr>
        <w:t>nées 2013-2014 (voir plus haut) et a</w:t>
      </w:r>
      <w:r w:rsidR="000A2EFA">
        <w:rPr>
          <w:rFonts w:asciiTheme="minorHAnsi" w:hAnsiTheme="minorHAnsi"/>
          <w:lang w:val="fr-BE"/>
        </w:rPr>
        <w:t xml:space="preserve">ux </w:t>
      </w:r>
      <w:r w:rsidR="00247A50">
        <w:rPr>
          <w:rFonts w:asciiTheme="minorHAnsi" w:hAnsiTheme="minorHAnsi"/>
          <w:lang w:val="fr-BE"/>
        </w:rPr>
        <w:t xml:space="preserve">arbitrages d’investissement contre la Roumanie, </w:t>
      </w:r>
      <w:r w:rsidR="00180790">
        <w:rPr>
          <w:rFonts w:asciiTheme="minorHAnsi" w:hAnsiTheme="minorHAnsi"/>
          <w:lang w:val="fr-BE"/>
        </w:rPr>
        <w:t xml:space="preserve">le Ministère de l’énergie a mis sur table en octobre 2016 une nouvelle ordonnance </w:t>
      </w:r>
      <w:r w:rsidR="0097324E">
        <w:rPr>
          <w:rFonts w:asciiTheme="minorHAnsi" w:hAnsiTheme="minorHAnsi"/>
          <w:lang w:val="fr-BE"/>
        </w:rPr>
        <w:t>modifiant</w:t>
      </w:r>
      <w:r w:rsidR="0097324E" w:rsidRPr="00262235">
        <w:rPr>
          <w:rFonts w:asciiTheme="minorHAnsi" w:hAnsiTheme="minorHAnsi"/>
          <w:lang w:val="fr-BE"/>
        </w:rPr>
        <w:t xml:space="preserve"> les règles de fonctionnement du système des certificats verts</w:t>
      </w:r>
      <w:r w:rsidR="0097324E">
        <w:rPr>
          <w:rFonts w:asciiTheme="minorHAnsi" w:hAnsiTheme="minorHAnsi"/>
          <w:lang w:val="fr-BE"/>
        </w:rPr>
        <w:t xml:space="preserve"> et incluant des nouvelles mesures telles que : </w:t>
      </w:r>
    </w:p>
    <w:p w:rsidR="0097324E" w:rsidRPr="00351629" w:rsidRDefault="0097324E" w:rsidP="0097324E">
      <w:pPr>
        <w:pStyle w:val="Paragraphedeliste"/>
        <w:numPr>
          <w:ilvl w:val="0"/>
          <w:numId w:val="2"/>
        </w:numPr>
        <w:jc w:val="both"/>
        <w:rPr>
          <w:rFonts w:asciiTheme="minorHAnsi" w:hAnsiTheme="minorHAnsi"/>
          <w:lang w:val="fr-BE"/>
        </w:rPr>
      </w:pPr>
      <w:r>
        <w:rPr>
          <w:rFonts w:asciiTheme="minorHAnsi" w:hAnsiTheme="minorHAnsi"/>
          <w:lang w:val="fr-BE"/>
        </w:rPr>
        <w:t>La modification de la formule de calcul des quotas obligatoires à atteindre ;</w:t>
      </w:r>
    </w:p>
    <w:p w:rsidR="0097324E" w:rsidRDefault="0097324E" w:rsidP="0097324E">
      <w:pPr>
        <w:pStyle w:val="Paragraphedeliste"/>
        <w:numPr>
          <w:ilvl w:val="0"/>
          <w:numId w:val="2"/>
        </w:numPr>
        <w:jc w:val="both"/>
        <w:rPr>
          <w:rFonts w:asciiTheme="minorHAnsi" w:hAnsiTheme="minorHAnsi"/>
          <w:lang w:val="fr-BE"/>
        </w:rPr>
      </w:pPr>
      <w:r w:rsidRPr="00351629">
        <w:rPr>
          <w:rFonts w:asciiTheme="minorHAnsi" w:hAnsiTheme="minorHAnsi"/>
          <w:lang w:val="fr-BE"/>
        </w:rPr>
        <w:t>l’extension de la durée de validité des certificats verts, qui était d’un an, jusqu’en 2032</w:t>
      </w:r>
      <w:r>
        <w:rPr>
          <w:rFonts w:asciiTheme="minorHAnsi" w:hAnsiTheme="minorHAnsi"/>
          <w:lang w:val="fr-BE"/>
        </w:rPr>
        <w:t> ;</w:t>
      </w:r>
    </w:p>
    <w:p w:rsidR="0097324E" w:rsidRDefault="0097324E" w:rsidP="0097324E">
      <w:pPr>
        <w:pStyle w:val="Paragraphedeliste"/>
        <w:numPr>
          <w:ilvl w:val="0"/>
          <w:numId w:val="2"/>
        </w:numPr>
        <w:jc w:val="both"/>
        <w:rPr>
          <w:rFonts w:asciiTheme="minorHAnsi" w:hAnsiTheme="minorHAnsi"/>
          <w:lang w:val="fr-BE"/>
        </w:rPr>
      </w:pPr>
      <w:r>
        <w:rPr>
          <w:rFonts w:asciiTheme="minorHAnsi" w:hAnsiTheme="minorHAnsi"/>
          <w:lang w:val="fr-BE"/>
        </w:rPr>
        <w:t>la limitation de la  valeur de transaction des certificats verts ;</w:t>
      </w:r>
    </w:p>
    <w:p w:rsidR="0097324E" w:rsidRDefault="0097324E" w:rsidP="0097324E">
      <w:pPr>
        <w:pStyle w:val="Paragraphedeliste"/>
        <w:numPr>
          <w:ilvl w:val="0"/>
          <w:numId w:val="2"/>
        </w:numPr>
        <w:jc w:val="both"/>
        <w:rPr>
          <w:rFonts w:asciiTheme="minorHAnsi" w:hAnsiTheme="minorHAnsi"/>
          <w:lang w:val="fr-BE"/>
        </w:rPr>
      </w:pPr>
      <w:r>
        <w:rPr>
          <w:rFonts w:asciiTheme="minorHAnsi" w:hAnsiTheme="minorHAnsi"/>
          <w:lang w:val="fr-BE"/>
        </w:rPr>
        <w:t>la limitation des coûts pour les consommateurs.</w:t>
      </w:r>
    </w:p>
    <w:p w:rsidR="0097324E" w:rsidRPr="00351629" w:rsidRDefault="0097324E" w:rsidP="0097324E">
      <w:pPr>
        <w:jc w:val="both"/>
        <w:rPr>
          <w:rFonts w:asciiTheme="minorHAnsi" w:hAnsiTheme="minorHAnsi"/>
          <w:lang w:val="fr-BE"/>
        </w:rPr>
      </w:pPr>
      <w:r>
        <w:rPr>
          <w:rFonts w:asciiTheme="minorHAnsi" w:hAnsiTheme="minorHAnsi"/>
          <w:lang w:val="fr-BE"/>
        </w:rPr>
        <w:t xml:space="preserve">Celle-ci a été approuvée par la Commission européenne en décembre 2016 et adoptée par le gouvernement roumain en mars 2017. Elle est perçue comme un premier pas vers </w:t>
      </w:r>
      <w:r w:rsidR="00503748">
        <w:rPr>
          <w:rFonts w:asciiTheme="minorHAnsi" w:hAnsiTheme="minorHAnsi"/>
          <w:lang w:val="fr-BE"/>
        </w:rPr>
        <w:t xml:space="preserve">un </w:t>
      </w:r>
      <w:r w:rsidR="00247A50">
        <w:rPr>
          <w:rFonts w:asciiTheme="minorHAnsi" w:hAnsiTheme="minorHAnsi"/>
          <w:lang w:val="fr-BE"/>
        </w:rPr>
        <w:t>système plus équilibré</w:t>
      </w:r>
      <w:r w:rsidR="00503748">
        <w:rPr>
          <w:rFonts w:asciiTheme="minorHAnsi" w:hAnsiTheme="minorHAnsi"/>
          <w:lang w:val="fr-BE"/>
        </w:rPr>
        <w:t xml:space="preserve"> </w:t>
      </w:r>
      <w:r w:rsidR="000F05C8">
        <w:rPr>
          <w:rFonts w:asciiTheme="minorHAnsi" w:hAnsiTheme="minorHAnsi"/>
          <w:lang w:val="fr-BE"/>
        </w:rPr>
        <w:t xml:space="preserve">et bénéfique </w:t>
      </w:r>
      <w:r>
        <w:rPr>
          <w:rFonts w:asciiTheme="minorHAnsi" w:hAnsiTheme="minorHAnsi"/>
          <w:lang w:val="fr-BE"/>
        </w:rPr>
        <w:t xml:space="preserve">à la fois pour </w:t>
      </w:r>
      <w:r w:rsidR="00503748">
        <w:rPr>
          <w:rFonts w:asciiTheme="minorHAnsi" w:hAnsiTheme="minorHAnsi"/>
          <w:lang w:val="fr-BE"/>
        </w:rPr>
        <w:t xml:space="preserve"> </w:t>
      </w:r>
      <w:r w:rsidR="00BB2D80">
        <w:rPr>
          <w:rFonts w:asciiTheme="minorHAnsi" w:hAnsiTheme="minorHAnsi"/>
          <w:lang w:val="fr-BE"/>
        </w:rPr>
        <w:t>les p</w:t>
      </w:r>
      <w:r w:rsidR="00247A50">
        <w:rPr>
          <w:rFonts w:asciiTheme="minorHAnsi" w:hAnsiTheme="minorHAnsi"/>
          <w:lang w:val="fr-BE"/>
        </w:rPr>
        <w:t>roducteurs et les consommateurs</w:t>
      </w:r>
      <w:r w:rsidR="00180790">
        <w:rPr>
          <w:rFonts w:asciiTheme="minorHAnsi" w:hAnsiTheme="minorHAnsi"/>
          <w:lang w:val="fr-BE"/>
        </w:rPr>
        <w:t>.</w:t>
      </w:r>
    </w:p>
    <w:p w:rsidR="00251EAD" w:rsidRDefault="00251EAD" w:rsidP="00772063">
      <w:pPr>
        <w:jc w:val="both"/>
        <w:rPr>
          <w:rFonts w:asciiTheme="minorHAnsi" w:hAnsiTheme="minorHAnsi"/>
          <w:lang w:val="fr-BE"/>
        </w:rPr>
      </w:pPr>
    </w:p>
    <w:p w:rsidR="00E0213D" w:rsidRPr="00E41A70" w:rsidRDefault="006F3AAA" w:rsidP="00E0213D">
      <w:pPr>
        <w:jc w:val="both"/>
        <w:rPr>
          <w:rFonts w:asciiTheme="minorHAnsi" w:hAnsiTheme="minorHAnsi"/>
          <w:lang w:val="fr-BE"/>
        </w:rPr>
      </w:pPr>
      <w:r>
        <w:rPr>
          <w:rFonts w:asciiTheme="minorHAnsi" w:hAnsiTheme="minorHAnsi"/>
          <w:lang w:val="fr-BE"/>
        </w:rPr>
        <w:t xml:space="preserve">A niveau européen, </w:t>
      </w:r>
      <w:r w:rsidR="000A2EFA">
        <w:rPr>
          <w:rFonts w:asciiTheme="minorHAnsi" w:hAnsiTheme="minorHAnsi"/>
          <w:lang w:val="fr-BE"/>
        </w:rPr>
        <w:t>la Roumanie est tenue</w:t>
      </w:r>
      <w:r w:rsidR="00E41A70">
        <w:rPr>
          <w:rFonts w:asciiTheme="minorHAnsi" w:hAnsiTheme="minorHAnsi"/>
          <w:lang w:val="fr-BE"/>
        </w:rPr>
        <w:t xml:space="preserve"> d’appliquer</w:t>
      </w:r>
      <w:r w:rsidR="000A2EFA">
        <w:rPr>
          <w:rFonts w:asciiTheme="minorHAnsi" w:hAnsiTheme="minorHAnsi"/>
          <w:lang w:val="fr-BE"/>
        </w:rPr>
        <w:t xml:space="preserve"> la </w:t>
      </w:r>
      <w:r w:rsidR="00970E0B">
        <w:rPr>
          <w:rFonts w:asciiTheme="minorHAnsi" w:hAnsiTheme="minorHAnsi"/>
          <w:b/>
          <w:lang w:val="fr-BE"/>
        </w:rPr>
        <w:t>d</w:t>
      </w:r>
      <w:r w:rsidR="000A2EFA" w:rsidRPr="000A2EFA">
        <w:rPr>
          <w:rFonts w:asciiTheme="minorHAnsi" w:hAnsiTheme="minorHAnsi"/>
          <w:b/>
          <w:lang w:val="fr-BE"/>
        </w:rPr>
        <w:t>irective  2009/28/CE</w:t>
      </w:r>
      <w:r w:rsidR="000A2EFA" w:rsidRPr="000A2EFA">
        <w:rPr>
          <w:rFonts w:asciiTheme="minorHAnsi" w:hAnsiTheme="minorHAnsi"/>
          <w:lang w:val="fr-BE"/>
        </w:rPr>
        <w:t xml:space="preserve"> relative aux énergies renouvelables</w:t>
      </w:r>
      <w:r w:rsidR="000A2EFA">
        <w:rPr>
          <w:rFonts w:asciiTheme="minorHAnsi" w:hAnsiTheme="minorHAnsi"/>
          <w:lang w:val="fr-BE"/>
        </w:rPr>
        <w:t xml:space="preserve">. Comme expliqué plus haut, en 2014, elle avait déjà atteint les </w:t>
      </w:r>
      <w:r w:rsidR="00970E0B">
        <w:rPr>
          <w:rFonts w:asciiTheme="minorHAnsi" w:hAnsiTheme="minorHAnsi"/>
          <w:lang w:val="fr-BE"/>
        </w:rPr>
        <w:t>objectifs fixés pour 2020. Dans le prolongement</w:t>
      </w:r>
      <w:r w:rsidR="00E41A70">
        <w:rPr>
          <w:rFonts w:asciiTheme="minorHAnsi" w:hAnsiTheme="minorHAnsi"/>
          <w:lang w:val="fr-BE"/>
        </w:rPr>
        <w:t xml:space="preserve"> de la directive</w:t>
      </w:r>
      <w:r w:rsidR="00970E0B">
        <w:rPr>
          <w:rFonts w:asciiTheme="minorHAnsi" w:hAnsiTheme="minorHAnsi"/>
          <w:lang w:val="fr-BE"/>
        </w:rPr>
        <w:t xml:space="preserve">, l’UE a adopté, en 2014, un </w:t>
      </w:r>
      <w:r w:rsidR="00970E0B" w:rsidRPr="00E41A70">
        <w:rPr>
          <w:rFonts w:asciiTheme="minorHAnsi" w:hAnsiTheme="minorHAnsi"/>
          <w:b/>
          <w:lang w:val="fr-BE"/>
        </w:rPr>
        <w:t>cadre pour le climat et l’énergie à l’horizon 2030</w:t>
      </w:r>
      <w:r w:rsidR="00E41A70">
        <w:rPr>
          <w:rFonts w:asciiTheme="minorHAnsi" w:hAnsiTheme="minorHAnsi"/>
          <w:b/>
          <w:lang w:val="fr-BE"/>
        </w:rPr>
        <w:t xml:space="preserve"> </w:t>
      </w:r>
      <w:r w:rsidR="00E41A70" w:rsidRPr="00E41A70">
        <w:rPr>
          <w:rFonts w:asciiTheme="minorHAnsi" w:hAnsiTheme="minorHAnsi"/>
          <w:lang w:val="fr-BE"/>
        </w:rPr>
        <w:t xml:space="preserve">fixant de nouveaux </w:t>
      </w:r>
      <w:r w:rsidR="00E0213D">
        <w:rPr>
          <w:rFonts w:asciiTheme="minorHAnsi" w:hAnsiTheme="minorHAnsi"/>
          <w:lang w:val="fr-BE"/>
        </w:rPr>
        <w:t xml:space="preserve">objectifs pour les pays-membres tels que : </w:t>
      </w:r>
      <w:r w:rsidR="00E0213D" w:rsidRPr="00E0213D">
        <w:rPr>
          <w:rFonts w:asciiTheme="minorHAnsi" w:hAnsiTheme="minorHAnsi"/>
          <w:i/>
          <w:lang w:val="fr-BE"/>
        </w:rPr>
        <w:t>réduire de 40 % les émissions de gaz à effet de serre (par rapport aux niveaux de 1990); porter la part des énergies renouvelables à au moins 27 % et améliorer l'efficacité énergétique d'au moins 27 %</w:t>
      </w:r>
      <w:r w:rsidR="00E0213D" w:rsidRPr="00E0213D">
        <w:rPr>
          <w:rStyle w:val="Appelnotedebasdep"/>
          <w:rFonts w:asciiTheme="minorHAnsi" w:hAnsiTheme="minorHAnsi"/>
          <w:lang w:val="fr-BE"/>
        </w:rPr>
        <w:footnoteReference w:id="3"/>
      </w:r>
      <w:r w:rsidR="00E0213D" w:rsidRPr="00E0213D">
        <w:rPr>
          <w:rFonts w:asciiTheme="minorHAnsi" w:hAnsiTheme="minorHAnsi"/>
          <w:lang w:val="fr-BE"/>
        </w:rPr>
        <w:t>.</w:t>
      </w:r>
    </w:p>
    <w:p w:rsidR="00E1446E" w:rsidRDefault="00E1446E" w:rsidP="00A12B26">
      <w:pPr>
        <w:rPr>
          <w:rFonts w:asciiTheme="minorHAnsi" w:hAnsiTheme="minorHAnsi"/>
          <w:b/>
        </w:rPr>
      </w:pPr>
    </w:p>
    <w:p w:rsidR="00A12B26" w:rsidRDefault="00A12B26" w:rsidP="00A12B26">
      <w:pPr>
        <w:rPr>
          <w:rFonts w:asciiTheme="minorHAnsi" w:hAnsiTheme="minorHAnsi"/>
          <w:b/>
        </w:rPr>
      </w:pPr>
      <w:r>
        <w:rPr>
          <w:rFonts w:asciiTheme="minorHAnsi" w:hAnsiTheme="minorHAnsi"/>
          <w:b/>
        </w:rPr>
        <w:t>SOURCES D’ENERGIE RENOUVELABLE</w:t>
      </w:r>
    </w:p>
    <w:p w:rsidR="008A5763" w:rsidRDefault="008A5763" w:rsidP="00116A42">
      <w:pPr>
        <w:jc w:val="both"/>
        <w:rPr>
          <w:rFonts w:asciiTheme="minorHAnsi" w:hAnsiTheme="minorHAnsi"/>
        </w:rPr>
      </w:pPr>
    </w:p>
    <w:p w:rsidR="00116A42" w:rsidRDefault="00116A42" w:rsidP="00116A42">
      <w:pPr>
        <w:jc w:val="both"/>
        <w:rPr>
          <w:rFonts w:asciiTheme="minorHAnsi" w:hAnsiTheme="minorHAnsi"/>
        </w:rPr>
      </w:pPr>
      <w:r>
        <w:rPr>
          <w:rFonts w:asciiTheme="minorHAnsi" w:hAnsiTheme="minorHAnsi"/>
        </w:rPr>
        <w:t xml:space="preserve">Les ressources naturelles et les conditions météorologiques des différentes régions de  Roumanie constituent un grand potentiel pour les énergies renouvelables. </w:t>
      </w:r>
      <w:r w:rsidR="001E76FB">
        <w:rPr>
          <w:rFonts w:asciiTheme="minorHAnsi" w:hAnsiTheme="minorHAnsi"/>
        </w:rPr>
        <w:t xml:space="preserve">L’AFM </w:t>
      </w:r>
      <w:r w:rsidR="0055758A">
        <w:rPr>
          <w:rFonts w:asciiTheme="minorHAnsi" w:hAnsiTheme="minorHAnsi"/>
        </w:rPr>
        <w:t>distingue notamment les</w:t>
      </w:r>
      <w:r w:rsidR="000939FA">
        <w:rPr>
          <w:rFonts w:asciiTheme="minorHAnsi" w:hAnsiTheme="minorHAnsi"/>
        </w:rPr>
        <w:t xml:space="preserve"> zone</w:t>
      </w:r>
      <w:r w:rsidR="00C75003">
        <w:rPr>
          <w:rFonts w:asciiTheme="minorHAnsi" w:hAnsiTheme="minorHAnsi"/>
        </w:rPr>
        <w:t xml:space="preserve">s </w:t>
      </w:r>
      <w:r w:rsidR="006B4399">
        <w:rPr>
          <w:rFonts w:asciiTheme="minorHAnsi" w:hAnsiTheme="minorHAnsi"/>
          <w:lang w:val="fr-BE"/>
        </w:rPr>
        <w:t>à</w:t>
      </w:r>
      <w:r w:rsidR="000939FA">
        <w:rPr>
          <w:rFonts w:asciiTheme="minorHAnsi" w:hAnsiTheme="minorHAnsi"/>
        </w:rPr>
        <w:t xml:space="preserve"> potentiel suivantes</w:t>
      </w:r>
      <w:r w:rsidR="006B4399">
        <w:rPr>
          <w:rFonts w:asciiTheme="minorHAnsi" w:hAnsiTheme="minorHAnsi"/>
        </w:rPr>
        <w:t xml:space="preserve">, </w:t>
      </w:r>
      <w:r w:rsidR="000939FA">
        <w:rPr>
          <w:rFonts w:asciiTheme="minorHAnsi" w:hAnsiTheme="minorHAnsi"/>
        </w:rPr>
        <w:t>pour les différents types d’énergie</w:t>
      </w:r>
      <w:r w:rsidR="0055758A">
        <w:rPr>
          <w:rFonts w:asciiTheme="minorHAnsi" w:hAnsiTheme="minorHAnsi"/>
        </w:rPr>
        <w:t xml:space="preserve">: </w:t>
      </w:r>
    </w:p>
    <w:p w:rsidR="000939FA" w:rsidRDefault="000939FA" w:rsidP="00116A42">
      <w:pPr>
        <w:jc w:val="both"/>
        <w:rPr>
          <w:rFonts w:asciiTheme="minorHAnsi" w:hAnsiTheme="minorHAnsi"/>
        </w:rPr>
      </w:pPr>
    </w:p>
    <w:tbl>
      <w:tblPr>
        <w:tblStyle w:val="Grilledutableau"/>
        <w:tblW w:w="5000" w:type="pct"/>
        <w:tblLook w:val="04A0" w:firstRow="1" w:lastRow="0" w:firstColumn="1" w:lastColumn="0" w:noHBand="0" w:noVBand="1"/>
      </w:tblPr>
      <w:tblGrid>
        <w:gridCol w:w="2729"/>
        <w:gridCol w:w="1303"/>
        <w:gridCol w:w="1303"/>
        <w:gridCol w:w="1564"/>
        <w:gridCol w:w="1303"/>
        <w:gridCol w:w="1795"/>
      </w:tblGrid>
      <w:tr w:rsidR="00C75003" w:rsidRPr="00930DFD" w:rsidTr="00727649">
        <w:tc>
          <w:tcPr>
            <w:tcW w:w="2376" w:type="dxa"/>
          </w:tcPr>
          <w:p w:rsidR="000939FA" w:rsidRPr="00930DFD" w:rsidRDefault="000939FA" w:rsidP="00116A42">
            <w:pPr>
              <w:jc w:val="both"/>
              <w:rPr>
                <w:rFonts w:asciiTheme="minorHAnsi" w:hAnsiTheme="minorHAnsi"/>
                <w:sz w:val="22"/>
                <w:szCs w:val="22"/>
              </w:rPr>
            </w:pPr>
          </w:p>
        </w:tc>
        <w:tc>
          <w:tcPr>
            <w:tcW w:w="1134" w:type="dxa"/>
          </w:tcPr>
          <w:p w:rsidR="000939FA" w:rsidRPr="00930DFD" w:rsidRDefault="000939FA" w:rsidP="00116A42">
            <w:pPr>
              <w:jc w:val="both"/>
              <w:rPr>
                <w:rFonts w:asciiTheme="minorHAnsi" w:hAnsiTheme="minorHAnsi"/>
                <w:sz w:val="22"/>
                <w:szCs w:val="22"/>
              </w:rPr>
            </w:pPr>
            <w:r w:rsidRPr="00930DFD">
              <w:rPr>
                <w:rFonts w:asciiTheme="minorHAnsi" w:hAnsiTheme="minorHAnsi"/>
                <w:sz w:val="22"/>
                <w:szCs w:val="22"/>
              </w:rPr>
              <w:t>Solaire</w:t>
            </w:r>
          </w:p>
        </w:tc>
        <w:tc>
          <w:tcPr>
            <w:tcW w:w="1134" w:type="dxa"/>
          </w:tcPr>
          <w:p w:rsidR="000939FA" w:rsidRPr="00930DFD" w:rsidRDefault="000939FA" w:rsidP="00116A42">
            <w:pPr>
              <w:jc w:val="both"/>
              <w:rPr>
                <w:rFonts w:asciiTheme="minorHAnsi" w:hAnsiTheme="minorHAnsi"/>
                <w:sz w:val="22"/>
                <w:szCs w:val="22"/>
              </w:rPr>
            </w:pPr>
            <w:r w:rsidRPr="00930DFD">
              <w:rPr>
                <w:rFonts w:asciiTheme="minorHAnsi" w:hAnsiTheme="minorHAnsi"/>
                <w:sz w:val="22"/>
                <w:szCs w:val="22"/>
              </w:rPr>
              <w:t>Eolienne</w:t>
            </w:r>
          </w:p>
        </w:tc>
        <w:tc>
          <w:tcPr>
            <w:tcW w:w="1134" w:type="dxa"/>
          </w:tcPr>
          <w:p w:rsidR="000939FA" w:rsidRPr="00930DFD" w:rsidRDefault="000939FA" w:rsidP="00116A42">
            <w:pPr>
              <w:jc w:val="both"/>
              <w:rPr>
                <w:rFonts w:asciiTheme="minorHAnsi" w:hAnsiTheme="minorHAnsi"/>
                <w:sz w:val="22"/>
                <w:szCs w:val="22"/>
              </w:rPr>
            </w:pPr>
            <w:r w:rsidRPr="00930DFD">
              <w:rPr>
                <w:rFonts w:asciiTheme="minorHAnsi" w:hAnsiTheme="minorHAnsi"/>
                <w:sz w:val="22"/>
                <w:szCs w:val="22"/>
              </w:rPr>
              <w:t>Micro-hydraulique</w:t>
            </w:r>
          </w:p>
        </w:tc>
        <w:tc>
          <w:tcPr>
            <w:tcW w:w="1134" w:type="dxa"/>
          </w:tcPr>
          <w:p w:rsidR="000939FA" w:rsidRPr="00930DFD" w:rsidRDefault="000939FA" w:rsidP="00116A42">
            <w:pPr>
              <w:jc w:val="both"/>
              <w:rPr>
                <w:rFonts w:asciiTheme="minorHAnsi" w:hAnsiTheme="minorHAnsi"/>
                <w:sz w:val="22"/>
                <w:szCs w:val="22"/>
              </w:rPr>
            </w:pPr>
            <w:r w:rsidRPr="00930DFD">
              <w:rPr>
                <w:rFonts w:asciiTheme="minorHAnsi" w:hAnsiTheme="minorHAnsi"/>
                <w:sz w:val="22"/>
                <w:szCs w:val="22"/>
              </w:rPr>
              <w:t>Biomasse</w:t>
            </w:r>
          </w:p>
        </w:tc>
        <w:tc>
          <w:tcPr>
            <w:tcW w:w="1134" w:type="dxa"/>
          </w:tcPr>
          <w:p w:rsidR="000939FA" w:rsidRPr="00930DFD" w:rsidRDefault="000939FA" w:rsidP="00116A42">
            <w:pPr>
              <w:jc w:val="both"/>
              <w:rPr>
                <w:rFonts w:asciiTheme="minorHAnsi" w:hAnsiTheme="minorHAnsi"/>
                <w:sz w:val="22"/>
                <w:szCs w:val="22"/>
              </w:rPr>
            </w:pPr>
            <w:r w:rsidRPr="00930DFD">
              <w:rPr>
                <w:rFonts w:asciiTheme="minorHAnsi" w:hAnsiTheme="minorHAnsi"/>
                <w:sz w:val="22"/>
                <w:szCs w:val="22"/>
              </w:rPr>
              <w:t>Géothermique</w:t>
            </w:r>
          </w:p>
        </w:tc>
      </w:tr>
      <w:tr w:rsidR="00125E6F" w:rsidRPr="00930DFD" w:rsidTr="00727649">
        <w:tc>
          <w:tcPr>
            <w:tcW w:w="2376" w:type="dxa"/>
          </w:tcPr>
          <w:p w:rsidR="000939FA" w:rsidRPr="00930DFD" w:rsidRDefault="000E6821" w:rsidP="000E6821">
            <w:pPr>
              <w:rPr>
                <w:rFonts w:asciiTheme="minorHAnsi" w:hAnsiTheme="minorHAnsi"/>
                <w:sz w:val="22"/>
                <w:szCs w:val="22"/>
              </w:rPr>
            </w:pPr>
            <w:r w:rsidRPr="00930DFD">
              <w:rPr>
                <w:rFonts w:asciiTheme="minorHAnsi" w:hAnsiTheme="minorHAnsi"/>
                <w:sz w:val="22"/>
                <w:szCs w:val="22"/>
              </w:rPr>
              <w:t>Delta du Danube</w:t>
            </w:r>
          </w:p>
        </w:tc>
        <w:tc>
          <w:tcPr>
            <w:tcW w:w="1134" w:type="dxa"/>
          </w:tcPr>
          <w:p w:rsidR="000939FA"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939FA" w:rsidRPr="00930DFD" w:rsidRDefault="000939FA" w:rsidP="00C75003">
            <w:pPr>
              <w:jc w:val="center"/>
              <w:rPr>
                <w:rFonts w:asciiTheme="minorHAnsi" w:hAnsiTheme="minorHAnsi"/>
                <w:sz w:val="22"/>
                <w:szCs w:val="22"/>
              </w:rPr>
            </w:pPr>
          </w:p>
        </w:tc>
        <w:tc>
          <w:tcPr>
            <w:tcW w:w="1134" w:type="dxa"/>
          </w:tcPr>
          <w:p w:rsidR="000939FA" w:rsidRPr="00930DFD" w:rsidRDefault="000939FA" w:rsidP="00C75003">
            <w:pPr>
              <w:jc w:val="center"/>
              <w:rPr>
                <w:rFonts w:asciiTheme="minorHAnsi" w:hAnsiTheme="minorHAnsi"/>
                <w:sz w:val="22"/>
                <w:szCs w:val="22"/>
              </w:rPr>
            </w:pPr>
          </w:p>
        </w:tc>
        <w:tc>
          <w:tcPr>
            <w:tcW w:w="1134" w:type="dxa"/>
          </w:tcPr>
          <w:p w:rsidR="000939FA" w:rsidRPr="00930DFD" w:rsidRDefault="000939FA" w:rsidP="00C75003">
            <w:pPr>
              <w:jc w:val="center"/>
              <w:rPr>
                <w:rFonts w:asciiTheme="minorHAnsi" w:hAnsiTheme="minorHAnsi"/>
                <w:sz w:val="22"/>
                <w:szCs w:val="22"/>
              </w:rPr>
            </w:pPr>
          </w:p>
        </w:tc>
        <w:tc>
          <w:tcPr>
            <w:tcW w:w="1134" w:type="dxa"/>
          </w:tcPr>
          <w:p w:rsidR="000939FA" w:rsidRPr="00930DFD" w:rsidRDefault="000939FA" w:rsidP="00C75003">
            <w:pPr>
              <w:jc w:val="center"/>
              <w:rPr>
                <w:rFonts w:asciiTheme="minorHAnsi" w:hAnsiTheme="minorHAnsi"/>
                <w:sz w:val="22"/>
                <w:szCs w:val="22"/>
              </w:rPr>
            </w:pPr>
          </w:p>
        </w:tc>
      </w:tr>
      <w:tr w:rsidR="00125E6F" w:rsidRPr="00930DFD" w:rsidTr="00727649">
        <w:tc>
          <w:tcPr>
            <w:tcW w:w="2376" w:type="dxa"/>
          </w:tcPr>
          <w:p w:rsidR="000E6821" w:rsidRPr="00930DFD" w:rsidRDefault="000E6821" w:rsidP="000E6821">
            <w:pPr>
              <w:rPr>
                <w:rFonts w:asciiTheme="minorHAnsi" w:hAnsiTheme="minorHAnsi"/>
                <w:sz w:val="22"/>
                <w:szCs w:val="22"/>
              </w:rPr>
            </w:pPr>
            <w:r w:rsidRPr="00930DFD">
              <w:rPr>
                <w:rFonts w:asciiTheme="minorHAnsi" w:hAnsiTheme="minorHAnsi"/>
                <w:sz w:val="22"/>
                <w:szCs w:val="22"/>
              </w:rPr>
              <w:t>Dobroudja</w:t>
            </w: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r>
      <w:tr w:rsidR="00125E6F" w:rsidRPr="00930DFD" w:rsidTr="00727649">
        <w:tc>
          <w:tcPr>
            <w:tcW w:w="2376" w:type="dxa"/>
          </w:tcPr>
          <w:p w:rsidR="000E6821" w:rsidRPr="00930DFD" w:rsidRDefault="000E6821" w:rsidP="000E6821">
            <w:pPr>
              <w:rPr>
                <w:rFonts w:asciiTheme="minorHAnsi" w:hAnsiTheme="minorHAnsi"/>
                <w:sz w:val="22"/>
                <w:szCs w:val="22"/>
              </w:rPr>
            </w:pPr>
            <w:r w:rsidRPr="00930DFD">
              <w:rPr>
                <w:rFonts w:asciiTheme="minorHAnsi" w:hAnsiTheme="minorHAnsi"/>
                <w:sz w:val="22"/>
                <w:szCs w:val="22"/>
              </w:rPr>
              <w:t>Moldavie</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0E6821" w:rsidP="00C75003">
            <w:pPr>
              <w:jc w:val="center"/>
              <w:rPr>
                <w:rFonts w:asciiTheme="minorHAnsi" w:hAnsiTheme="minorHAnsi"/>
                <w:sz w:val="22"/>
                <w:szCs w:val="22"/>
              </w:rPr>
            </w:pPr>
          </w:p>
        </w:tc>
      </w:tr>
      <w:tr w:rsidR="00125E6F" w:rsidRPr="00930DFD" w:rsidTr="00727649">
        <w:tc>
          <w:tcPr>
            <w:tcW w:w="2376" w:type="dxa"/>
          </w:tcPr>
          <w:p w:rsidR="000E6821" w:rsidRPr="00930DFD" w:rsidRDefault="000E6821" w:rsidP="000E6821">
            <w:pPr>
              <w:rPr>
                <w:rFonts w:asciiTheme="minorHAnsi" w:hAnsiTheme="minorHAnsi"/>
                <w:sz w:val="22"/>
                <w:szCs w:val="22"/>
              </w:rPr>
            </w:pPr>
            <w:r w:rsidRPr="00930DFD">
              <w:rPr>
                <w:rFonts w:asciiTheme="minorHAnsi" w:hAnsiTheme="minorHAnsi"/>
                <w:sz w:val="22"/>
                <w:szCs w:val="22"/>
              </w:rPr>
              <w:t xml:space="preserve">Carpates </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0E6821" w:rsidP="00C75003">
            <w:pPr>
              <w:jc w:val="center"/>
              <w:rPr>
                <w:rFonts w:asciiTheme="minorHAnsi" w:hAnsiTheme="minorHAnsi"/>
                <w:sz w:val="22"/>
                <w:szCs w:val="22"/>
              </w:rPr>
            </w:pPr>
          </w:p>
        </w:tc>
      </w:tr>
      <w:tr w:rsidR="00125E6F" w:rsidRPr="00930DFD" w:rsidTr="00727649">
        <w:tc>
          <w:tcPr>
            <w:tcW w:w="2376" w:type="dxa"/>
          </w:tcPr>
          <w:p w:rsidR="000E6821" w:rsidRPr="00930DFD" w:rsidRDefault="000E6821" w:rsidP="000E6821">
            <w:pPr>
              <w:rPr>
                <w:rFonts w:asciiTheme="minorHAnsi" w:hAnsiTheme="minorHAnsi"/>
                <w:sz w:val="22"/>
                <w:szCs w:val="22"/>
              </w:rPr>
            </w:pPr>
            <w:r w:rsidRPr="00930DFD">
              <w:rPr>
                <w:rFonts w:asciiTheme="minorHAnsi" w:hAnsiTheme="minorHAnsi"/>
                <w:sz w:val="22"/>
                <w:szCs w:val="22"/>
              </w:rPr>
              <w:t>Transylvanie</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r>
      <w:tr w:rsidR="00125E6F" w:rsidRPr="00930DFD" w:rsidTr="00727649">
        <w:tc>
          <w:tcPr>
            <w:tcW w:w="2376" w:type="dxa"/>
          </w:tcPr>
          <w:p w:rsidR="000E6821" w:rsidRPr="00930DFD" w:rsidRDefault="00C75003" w:rsidP="00C75003">
            <w:pPr>
              <w:rPr>
                <w:rFonts w:asciiTheme="minorHAnsi" w:hAnsiTheme="minorHAnsi"/>
                <w:sz w:val="22"/>
                <w:szCs w:val="22"/>
              </w:rPr>
            </w:pPr>
            <w:r w:rsidRPr="00930DFD">
              <w:rPr>
                <w:rFonts w:asciiTheme="minorHAnsi" w:hAnsiTheme="minorHAnsi"/>
                <w:sz w:val="22"/>
                <w:szCs w:val="22"/>
              </w:rPr>
              <w:t>Plaine occidentale</w:t>
            </w: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0E6821" w:rsidP="00C75003">
            <w:pPr>
              <w:jc w:val="center"/>
              <w:rPr>
                <w:rFonts w:asciiTheme="minorHAnsi" w:hAnsiTheme="minorHAnsi"/>
                <w:sz w:val="22"/>
                <w:szCs w:val="22"/>
              </w:rPr>
            </w:pPr>
          </w:p>
        </w:tc>
        <w:tc>
          <w:tcPr>
            <w:tcW w:w="1134" w:type="dxa"/>
          </w:tcPr>
          <w:p w:rsidR="000E6821"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r>
      <w:tr w:rsidR="00727649" w:rsidRPr="00930DFD" w:rsidTr="00727649">
        <w:tc>
          <w:tcPr>
            <w:tcW w:w="2376" w:type="dxa"/>
          </w:tcPr>
          <w:p w:rsidR="00C75003" w:rsidRPr="00930DFD" w:rsidRDefault="00C75003" w:rsidP="000E6821">
            <w:pPr>
              <w:rPr>
                <w:rFonts w:asciiTheme="minorHAnsi" w:hAnsiTheme="minorHAnsi"/>
                <w:sz w:val="22"/>
                <w:szCs w:val="22"/>
              </w:rPr>
            </w:pPr>
            <w:r w:rsidRPr="00930DFD">
              <w:rPr>
                <w:rFonts w:asciiTheme="minorHAnsi" w:hAnsiTheme="minorHAnsi"/>
                <w:sz w:val="22"/>
                <w:szCs w:val="22"/>
              </w:rPr>
              <w:t>Subcarpates</w:t>
            </w:r>
          </w:p>
        </w:tc>
        <w:tc>
          <w:tcPr>
            <w:tcW w:w="1134" w:type="dxa"/>
          </w:tcPr>
          <w:p w:rsidR="00C75003" w:rsidRPr="00930DFD" w:rsidRDefault="00C75003" w:rsidP="00C75003">
            <w:pPr>
              <w:jc w:val="center"/>
              <w:rPr>
                <w:rFonts w:asciiTheme="minorHAnsi" w:hAnsiTheme="minorHAnsi"/>
                <w:sz w:val="22"/>
                <w:szCs w:val="22"/>
              </w:rPr>
            </w:pPr>
          </w:p>
        </w:tc>
        <w:tc>
          <w:tcPr>
            <w:tcW w:w="1134" w:type="dxa"/>
          </w:tcPr>
          <w:p w:rsidR="00C75003" w:rsidRPr="00930DFD" w:rsidRDefault="00C75003" w:rsidP="00C75003">
            <w:pPr>
              <w:jc w:val="center"/>
              <w:rPr>
                <w:rFonts w:asciiTheme="minorHAnsi" w:hAnsiTheme="minorHAnsi"/>
                <w:sz w:val="22"/>
                <w:szCs w:val="22"/>
              </w:rPr>
            </w:pPr>
          </w:p>
        </w:tc>
        <w:tc>
          <w:tcPr>
            <w:tcW w:w="1134" w:type="dxa"/>
          </w:tcPr>
          <w:p w:rsidR="00C75003"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C75003"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C75003" w:rsidRPr="00930DFD" w:rsidRDefault="00C75003" w:rsidP="00C75003">
            <w:pPr>
              <w:jc w:val="center"/>
              <w:rPr>
                <w:rFonts w:asciiTheme="minorHAnsi" w:hAnsiTheme="minorHAnsi"/>
                <w:sz w:val="22"/>
                <w:szCs w:val="22"/>
              </w:rPr>
            </w:pPr>
          </w:p>
        </w:tc>
      </w:tr>
      <w:tr w:rsidR="00727649" w:rsidRPr="00930DFD" w:rsidTr="00727649">
        <w:tc>
          <w:tcPr>
            <w:tcW w:w="2376" w:type="dxa"/>
          </w:tcPr>
          <w:p w:rsidR="00C75003" w:rsidRPr="00930DFD" w:rsidRDefault="00C75003" w:rsidP="000E6821">
            <w:pPr>
              <w:rPr>
                <w:rFonts w:asciiTheme="minorHAnsi" w:hAnsiTheme="minorHAnsi"/>
                <w:sz w:val="22"/>
                <w:szCs w:val="22"/>
              </w:rPr>
            </w:pPr>
            <w:r w:rsidRPr="00930DFD">
              <w:rPr>
                <w:rFonts w:asciiTheme="minorHAnsi" w:hAnsiTheme="minorHAnsi"/>
                <w:sz w:val="22"/>
                <w:szCs w:val="22"/>
              </w:rPr>
              <w:t>Plaine de Valachie</w:t>
            </w:r>
          </w:p>
        </w:tc>
        <w:tc>
          <w:tcPr>
            <w:tcW w:w="1134" w:type="dxa"/>
          </w:tcPr>
          <w:p w:rsidR="00C75003"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C75003" w:rsidRPr="00930DFD" w:rsidRDefault="00C75003" w:rsidP="00C75003">
            <w:pPr>
              <w:jc w:val="center"/>
              <w:rPr>
                <w:rFonts w:asciiTheme="minorHAnsi" w:hAnsiTheme="minorHAnsi"/>
                <w:sz w:val="22"/>
                <w:szCs w:val="22"/>
              </w:rPr>
            </w:pPr>
          </w:p>
        </w:tc>
        <w:tc>
          <w:tcPr>
            <w:tcW w:w="1134" w:type="dxa"/>
          </w:tcPr>
          <w:p w:rsidR="00C75003" w:rsidRPr="00930DFD" w:rsidRDefault="00C75003" w:rsidP="00C75003">
            <w:pPr>
              <w:jc w:val="center"/>
              <w:rPr>
                <w:rFonts w:asciiTheme="minorHAnsi" w:hAnsiTheme="minorHAnsi"/>
                <w:sz w:val="22"/>
                <w:szCs w:val="22"/>
              </w:rPr>
            </w:pPr>
          </w:p>
        </w:tc>
        <w:tc>
          <w:tcPr>
            <w:tcW w:w="1134" w:type="dxa"/>
          </w:tcPr>
          <w:p w:rsidR="00C75003"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c>
          <w:tcPr>
            <w:tcW w:w="1134" w:type="dxa"/>
          </w:tcPr>
          <w:p w:rsidR="00C75003" w:rsidRPr="00930DFD" w:rsidRDefault="00C75003" w:rsidP="00C75003">
            <w:pPr>
              <w:jc w:val="center"/>
              <w:rPr>
                <w:rFonts w:asciiTheme="minorHAnsi" w:hAnsiTheme="minorHAnsi"/>
                <w:sz w:val="22"/>
                <w:szCs w:val="22"/>
              </w:rPr>
            </w:pPr>
            <w:r w:rsidRPr="00930DFD">
              <w:rPr>
                <w:rFonts w:asciiTheme="minorHAnsi" w:hAnsiTheme="minorHAnsi"/>
                <w:sz w:val="22"/>
                <w:szCs w:val="22"/>
              </w:rPr>
              <w:t>x</w:t>
            </w:r>
          </w:p>
        </w:tc>
      </w:tr>
    </w:tbl>
    <w:p w:rsidR="003B3E27" w:rsidRDefault="006B4399" w:rsidP="00CE278E">
      <w:pPr>
        <w:jc w:val="both"/>
        <w:rPr>
          <w:rFonts w:asciiTheme="minorHAnsi" w:hAnsiTheme="minorHAnsi"/>
          <w:lang w:val="fr-BE"/>
        </w:rPr>
      </w:pPr>
      <w:r>
        <w:rPr>
          <w:rFonts w:asciiTheme="minorHAnsi" w:hAnsiTheme="minorHAnsi"/>
          <w:lang w:val="fr-BE"/>
        </w:rPr>
        <w:lastRenderedPageBreak/>
        <w:t>En 2016, 42,29% de la production roumaine d’électricité provenait de l’énergie renouvelable, dont 29,88% de source hydraulique, 11,07% de l’énergie éolienne, 1,18%  du photovoltaïque et 0,16% de la biomasse</w:t>
      </w:r>
      <w:r>
        <w:rPr>
          <w:rStyle w:val="Appelnotedebasdep"/>
          <w:rFonts w:asciiTheme="minorHAnsi" w:hAnsiTheme="minorHAnsi"/>
          <w:lang w:val="fr-BE"/>
        </w:rPr>
        <w:footnoteReference w:id="4"/>
      </w:r>
      <w:r>
        <w:rPr>
          <w:rFonts w:asciiTheme="minorHAnsi" w:hAnsiTheme="minorHAnsi"/>
          <w:lang w:val="fr-BE"/>
        </w:rPr>
        <w:t>.</w:t>
      </w:r>
    </w:p>
    <w:p w:rsidR="00F5733A" w:rsidRDefault="00F5733A" w:rsidP="00CE278E">
      <w:pPr>
        <w:jc w:val="both"/>
        <w:rPr>
          <w:rFonts w:asciiTheme="minorHAnsi" w:hAnsiTheme="minorHAnsi"/>
          <w:lang w:val="fr-BE"/>
        </w:rPr>
      </w:pPr>
    </w:p>
    <w:p w:rsidR="00F5733A" w:rsidRDefault="004A6F95" w:rsidP="00CE278E">
      <w:pPr>
        <w:jc w:val="both"/>
        <w:rPr>
          <w:rFonts w:asciiTheme="minorHAnsi" w:hAnsiTheme="minorHAnsi"/>
          <w:lang w:val="fr-BE"/>
        </w:rPr>
      </w:pPr>
      <w:r>
        <w:rPr>
          <w:rFonts w:asciiTheme="minorHAnsi" w:hAnsiTheme="minorHAnsi"/>
          <w:lang w:val="fr-BE"/>
        </w:rPr>
        <w:t>ENERGIE HYDRAULIQUE</w:t>
      </w:r>
    </w:p>
    <w:p w:rsidR="00AC2A24" w:rsidRDefault="00AC2A24" w:rsidP="00CE278E">
      <w:pPr>
        <w:jc w:val="both"/>
        <w:rPr>
          <w:rFonts w:asciiTheme="minorHAnsi" w:hAnsiTheme="minorHAnsi"/>
          <w:lang w:val="fr-BE"/>
        </w:rPr>
      </w:pPr>
      <w:r>
        <w:rPr>
          <w:rFonts w:asciiTheme="minorHAnsi" w:hAnsiTheme="minorHAnsi"/>
          <w:lang w:val="fr-BE"/>
        </w:rPr>
        <w:t xml:space="preserve">De par son </w:t>
      </w:r>
      <w:r w:rsidR="004A6F95">
        <w:rPr>
          <w:rFonts w:asciiTheme="minorHAnsi" w:hAnsiTheme="minorHAnsi"/>
          <w:lang w:val="fr-BE"/>
        </w:rPr>
        <w:t xml:space="preserve">vaste </w:t>
      </w:r>
      <w:r>
        <w:rPr>
          <w:rFonts w:asciiTheme="minorHAnsi" w:hAnsiTheme="minorHAnsi"/>
          <w:lang w:val="fr-BE"/>
        </w:rPr>
        <w:t xml:space="preserve">réseau hydrographique, </w:t>
      </w:r>
      <w:r w:rsidR="004A6F95" w:rsidRPr="004A6F95">
        <w:rPr>
          <w:rFonts w:asciiTheme="minorHAnsi" w:hAnsiTheme="minorHAnsi"/>
          <w:lang w:val="fr-BE"/>
        </w:rPr>
        <w:t>la Roumanie</w:t>
      </w:r>
      <w:r>
        <w:rPr>
          <w:rFonts w:asciiTheme="minorHAnsi" w:hAnsiTheme="minorHAnsi"/>
          <w:lang w:val="fr-BE"/>
        </w:rPr>
        <w:t xml:space="preserve"> a connu tout au long du XXème siècle un grand développement  des cent</w:t>
      </w:r>
      <w:r w:rsidR="00B506B0">
        <w:rPr>
          <w:rFonts w:asciiTheme="minorHAnsi" w:hAnsiTheme="minorHAnsi"/>
          <w:lang w:val="fr-BE"/>
        </w:rPr>
        <w:t xml:space="preserve">rales et barrages </w:t>
      </w:r>
      <w:r>
        <w:rPr>
          <w:rFonts w:asciiTheme="minorHAnsi" w:hAnsiTheme="minorHAnsi"/>
          <w:lang w:val="fr-BE"/>
        </w:rPr>
        <w:t>hydrauliques</w:t>
      </w:r>
      <w:r w:rsidR="00ED3B77">
        <w:rPr>
          <w:rFonts w:asciiTheme="minorHAnsi" w:hAnsiTheme="minorHAnsi"/>
          <w:lang w:val="fr-BE"/>
        </w:rPr>
        <w:t xml:space="preserve"> (elle </w:t>
      </w:r>
      <w:r>
        <w:rPr>
          <w:rFonts w:asciiTheme="minorHAnsi" w:hAnsiTheme="minorHAnsi"/>
          <w:lang w:val="fr-BE"/>
        </w:rPr>
        <w:t xml:space="preserve">en  </w:t>
      </w:r>
      <w:r w:rsidRPr="004A6F95">
        <w:rPr>
          <w:rFonts w:asciiTheme="minorHAnsi" w:hAnsiTheme="minorHAnsi"/>
          <w:lang w:val="fr-BE"/>
        </w:rPr>
        <w:t>dénombre à présent 250</w:t>
      </w:r>
      <w:r w:rsidR="00ED3B77">
        <w:rPr>
          <w:rFonts w:asciiTheme="minorHAnsi" w:hAnsiTheme="minorHAnsi"/>
          <w:lang w:val="fr-BE"/>
        </w:rPr>
        <w:t xml:space="preserve">, certains parmi les plus grands d’Europe). </w:t>
      </w:r>
      <w:r w:rsidR="00932B80">
        <w:rPr>
          <w:rFonts w:asciiTheme="minorHAnsi" w:hAnsiTheme="minorHAnsi"/>
          <w:lang w:val="fr-BE"/>
        </w:rPr>
        <w:t>Actuellement, l</w:t>
      </w:r>
      <w:r w:rsidR="00932B80" w:rsidRPr="00932B80">
        <w:rPr>
          <w:rFonts w:asciiTheme="minorHAnsi" w:hAnsiTheme="minorHAnsi"/>
          <w:lang w:val="fr-BE"/>
        </w:rPr>
        <w:t>’énergie hydraulique</w:t>
      </w:r>
      <w:r w:rsidR="00932B80">
        <w:rPr>
          <w:rFonts w:asciiTheme="minorHAnsi" w:hAnsiTheme="minorHAnsi"/>
          <w:lang w:val="fr-BE"/>
        </w:rPr>
        <w:t xml:space="preserve"> représente la principale source de production d’énergie électrique (29,88% en 2016), allant jusqu’à détrôner</w:t>
      </w:r>
      <w:r w:rsidR="009D1A6C">
        <w:rPr>
          <w:rFonts w:asciiTheme="minorHAnsi" w:hAnsiTheme="minorHAnsi"/>
          <w:lang w:val="fr-BE"/>
        </w:rPr>
        <w:t xml:space="preserve"> le traditionnel</w:t>
      </w:r>
      <w:r w:rsidR="00ED1385">
        <w:rPr>
          <w:rFonts w:asciiTheme="minorHAnsi" w:hAnsiTheme="minorHAnsi"/>
          <w:lang w:val="fr-BE"/>
        </w:rPr>
        <w:t xml:space="preserve"> charbon (24,37%). </w:t>
      </w:r>
      <w:r w:rsidR="0051434E">
        <w:rPr>
          <w:rFonts w:asciiTheme="minorHAnsi" w:hAnsiTheme="minorHAnsi"/>
          <w:lang w:val="fr-BE"/>
        </w:rPr>
        <w:t>Avec un potentiel estimé à 8000 MW,</w:t>
      </w:r>
      <w:r w:rsidR="00ED1385">
        <w:rPr>
          <w:rFonts w:asciiTheme="minorHAnsi" w:hAnsiTheme="minorHAnsi"/>
          <w:lang w:val="fr-BE"/>
        </w:rPr>
        <w:t xml:space="preserve"> </w:t>
      </w:r>
      <w:r w:rsidR="0051434E">
        <w:rPr>
          <w:rFonts w:asciiTheme="minorHAnsi" w:hAnsiTheme="minorHAnsi"/>
          <w:lang w:val="fr-BE"/>
        </w:rPr>
        <w:t>i</w:t>
      </w:r>
      <w:r w:rsidR="006569A4">
        <w:rPr>
          <w:rFonts w:asciiTheme="minorHAnsi" w:hAnsiTheme="minorHAnsi"/>
          <w:lang w:val="fr-BE"/>
        </w:rPr>
        <w:t xml:space="preserve">l s’agit sans aucun doute de la meilleure alternative </w:t>
      </w:r>
      <w:r w:rsidR="00ED1385">
        <w:rPr>
          <w:rFonts w:asciiTheme="minorHAnsi" w:hAnsiTheme="minorHAnsi"/>
          <w:lang w:val="fr-BE"/>
        </w:rPr>
        <w:t>énergétique</w:t>
      </w:r>
      <w:r w:rsidR="001079BA">
        <w:rPr>
          <w:rFonts w:asciiTheme="minorHAnsi" w:hAnsiTheme="minorHAnsi"/>
          <w:lang w:val="fr-BE"/>
        </w:rPr>
        <w:t>, bien que, ces dernières années, peu de nouveaux projets aient été</w:t>
      </w:r>
      <w:r w:rsidR="00A20D3A">
        <w:rPr>
          <w:rFonts w:asciiTheme="minorHAnsi" w:hAnsiTheme="minorHAnsi"/>
          <w:lang w:val="fr-BE"/>
        </w:rPr>
        <w:t xml:space="preserve"> réalisés. </w:t>
      </w:r>
      <w:r w:rsidR="000B1729" w:rsidRPr="000B1729">
        <w:rPr>
          <w:rFonts w:asciiTheme="minorHAnsi" w:hAnsiTheme="minorHAnsi"/>
          <w:lang w:val="fr-BE"/>
        </w:rPr>
        <w:t>Le secteur est en grande partie géré par la comp</w:t>
      </w:r>
      <w:r w:rsidR="000B1729">
        <w:rPr>
          <w:rFonts w:asciiTheme="minorHAnsi" w:hAnsiTheme="minorHAnsi"/>
          <w:lang w:val="fr-BE"/>
        </w:rPr>
        <w:t xml:space="preserve">agnie nationale HIDROELECTRICA, qui a, </w:t>
      </w:r>
      <w:r w:rsidR="00A20D3A">
        <w:rPr>
          <w:rFonts w:asciiTheme="minorHAnsi" w:hAnsiTheme="minorHAnsi"/>
          <w:lang w:val="fr-BE"/>
        </w:rPr>
        <w:t>par exemple</w:t>
      </w:r>
      <w:r w:rsidR="000B1729">
        <w:rPr>
          <w:rFonts w:asciiTheme="minorHAnsi" w:hAnsiTheme="minorHAnsi"/>
          <w:lang w:val="fr-BE"/>
        </w:rPr>
        <w:t>,</w:t>
      </w:r>
      <w:r w:rsidR="00A20D3A">
        <w:rPr>
          <w:rFonts w:asciiTheme="minorHAnsi" w:hAnsiTheme="minorHAnsi"/>
          <w:lang w:val="fr-BE"/>
        </w:rPr>
        <w:t xml:space="preserve"> </w:t>
      </w:r>
      <w:r w:rsidR="000B1729">
        <w:rPr>
          <w:rFonts w:asciiTheme="minorHAnsi" w:hAnsiTheme="minorHAnsi"/>
          <w:lang w:val="fr-BE"/>
        </w:rPr>
        <w:t>inauguré</w:t>
      </w:r>
      <w:r w:rsidR="00A20D3A">
        <w:rPr>
          <w:rFonts w:asciiTheme="minorHAnsi" w:hAnsiTheme="minorHAnsi"/>
          <w:lang w:val="fr-BE"/>
        </w:rPr>
        <w:t xml:space="preserve"> </w:t>
      </w:r>
      <w:r w:rsidR="000B1729">
        <w:rPr>
          <w:rFonts w:asciiTheme="minorHAnsi" w:hAnsiTheme="minorHAnsi"/>
          <w:lang w:val="fr-BE"/>
        </w:rPr>
        <w:t>une nouvelle centrale à Bretea (Hunedoara) en décembre 2017</w:t>
      </w:r>
      <w:r w:rsidR="00A66357">
        <w:rPr>
          <w:rFonts w:asciiTheme="minorHAnsi" w:hAnsiTheme="minorHAnsi"/>
          <w:lang w:val="fr-BE"/>
        </w:rPr>
        <w:t>, d’</w:t>
      </w:r>
      <w:r w:rsidR="00BD08B8">
        <w:rPr>
          <w:rFonts w:asciiTheme="minorHAnsi" w:hAnsiTheme="minorHAnsi"/>
          <w:lang w:val="fr-BE"/>
        </w:rPr>
        <w:t>un investissement de 58 Mns EUR</w:t>
      </w:r>
      <w:r w:rsidR="000B1729">
        <w:rPr>
          <w:rFonts w:asciiTheme="minorHAnsi" w:hAnsiTheme="minorHAnsi"/>
          <w:lang w:val="fr-BE"/>
        </w:rPr>
        <w:t xml:space="preserve">. </w:t>
      </w:r>
      <w:r w:rsidR="008F728B">
        <w:rPr>
          <w:rFonts w:asciiTheme="minorHAnsi" w:hAnsiTheme="minorHAnsi"/>
          <w:lang w:val="fr-BE"/>
        </w:rPr>
        <w:t>Par ailleurs, il est à noter que</w:t>
      </w:r>
      <w:r w:rsidR="0051434E">
        <w:rPr>
          <w:rFonts w:asciiTheme="minorHAnsi" w:hAnsiTheme="minorHAnsi"/>
          <w:lang w:val="fr-BE"/>
        </w:rPr>
        <w:t xml:space="preserve"> l’intérêt pour le </w:t>
      </w:r>
      <w:r w:rsidR="008F728B">
        <w:rPr>
          <w:rFonts w:asciiTheme="minorHAnsi" w:hAnsiTheme="minorHAnsi"/>
          <w:lang w:val="fr-BE"/>
        </w:rPr>
        <w:t>micro-hydro</w:t>
      </w:r>
      <w:r w:rsidR="0051434E">
        <w:rPr>
          <w:rFonts w:asciiTheme="minorHAnsi" w:hAnsiTheme="minorHAnsi"/>
          <w:lang w:val="fr-BE"/>
        </w:rPr>
        <w:t xml:space="preserve"> (avec un potentiel </w:t>
      </w:r>
      <w:r w:rsidR="007A7CEC">
        <w:rPr>
          <w:rFonts w:asciiTheme="minorHAnsi" w:hAnsiTheme="minorHAnsi"/>
          <w:lang w:val="fr-BE"/>
        </w:rPr>
        <w:t xml:space="preserve">estimé à </w:t>
      </w:r>
      <w:r w:rsidR="0051434E">
        <w:rPr>
          <w:rFonts w:asciiTheme="minorHAnsi" w:hAnsiTheme="minorHAnsi"/>
          <w:lang w:val="fr-BE"/>
        </w:rPr>
        <w:t>1100 MW)</w:t>
      </w:r>
      <w:r w:rsidR="008F728B">
        <w:rPr>
          <w:rFonts w:asciiTheme="minorHAnsi" w:hAnsiTheme="minorHAnsi"/>
          <w:lang w:val="fr-BE"/>
        </w:rPr>
        <w:t xml:space="preserve"> est en pleine </w:t>
      </w:r>
      <w:r w:rsidR="0051434E">
        <w:rPr>
          <w:rFonts w:asciiTheme="minorHAnsi" w:hAnsiTheme="minorHAnsi"/>
          <w:lang w:val="fr-BE"/>
        </w:rPr>
        <w:t xml:space="preserve">croissance depuis </w:t>
      </w:r>
      <w:r w:rsidR="007A7CEC">
        <w:rPr>
          <w:rFonts w:asciiTheme="minorHAnsi" w:hAnsiTheme="minorHAnsi"/>
          <w:lang w:val="fr-BE"/>
        </w:rPr>
        <w:t>2008, ainsi que les projets de</w:t>
      </w:r>
      <w:r w:rsidR="0051434E">
        <w:rPr>
          <w:rFonts w:asciiTheme="minorHAnsi" w:hAnsiTheme="minorHAnsi"/>
          <w:lang w:val="fr-BE"/>
        </w:rPr>
        <w:t xml:space="preserve"> construction de petites centrales </w:t>
      </w:r>
      <w:r w:rsidR="003C452A">
        <w:rPr>
          <w:rFonts w:asciiTheme="minorHAnsi" w:hAnsiTheme="minorHAnsi"/>
          <w:lang w:val="fr-BE"/>
        </w:rPr>
        <w:t xml:space="preserve">hydroélectriques. </w:t>
      </w:r>
    </w:p>
    <w:p w:rsidR="004A6F95" w:rsidRDefault="004A6F95" w:rsidP="006F3AAA">
      <w:pPr>
        <w:jc w:val="both"/>
        <w:rPr>
          <w:rFonts w:asciiTheme="minorHAnsi" w:hAnsiTheme="minorHAnsi"/>
          <w:lang w:val="fr-BE"/>
        </w:rPr>
      </w:pPr>
    </w:p>
    <w:p w:rsidR="004A6F95" w:rsidRDefault="008F22AF" w:rsidP="006F3AAA">
      <w:pPr>
        <w:jc w:val="both"/>
        <w:rPr>
          <w:rFonts w:asciiTheme="minorHAnsi" w:hAnsiTheme="minorHAnsi"/>
          <w:lang w:val="fr-BE"/>
        </w:rPr>
      </w:pPr>
      <w:r>
        <w:rPr>
          <w:rFonts w:asciiTheme="minorHAnsi" w:hAnsiTheme="minorHAnsi"/>
          <w:lang w:val="fr-BE"/>
        </w:rPr>
        <w:t>ENERGIE EOLIENNE</w:t>
      </w:r>
    </w:p>
    <w:p w:rsidR="004A6F95" w:rsidRPr="004A6F95" w:rsidRDefault="00304D63" w:rsidP="004A6F95">
      <w:pPr>
        <w:jc w:val="both"/>
        <w:rPr>
          <w:rFonts w:asciiTheme="minorHAnsi" w:hAnsiTheme="minorHAnsi"/>
          <w:lang w:val="fr-BE"/>
        </w:rPr>
      </w:pPr>
      <w:r>
        <w:rPr>
          <w:rFonts w:asciiTheme="minorHAnsi" w:hAnsiTheme="minorHAnsi"/>
          <w:lang w:val="fr-BE"/>
        </w:rPr>
        <w:t xml:space="preserve">Depuis </w:t>
      </w:r>
      <w:r w:rsidRPr="008E36D5">
        <w:rPr>
          <w:rFonts w:asciiTheme="minorHAnsi" w:hAnsiTheme="minorHAnsi"/>
          <w:lang w:val="fr-BE"/>
        </w:rPr>
        <w:t xml:space="preserve">l’installation des premières turbines en 2005, l’énergie éolienne a connu une importance croissante </w:t>
      </w:r>
      <w:r w:rsidR="00A01FFB" w:rsidRPr="008E36D5">
        <w:rPr>
          <w:rFonts w:asciiTheme="minorHAnsi" w:hAnsiTheme="minorHAnsi"/>
          <w:lang w:val="fr-BE"/>
        </w:rPr>
        <w:t>en Roumanie</w:t>
      </w:r>
      <w:r w:rsidR="00A66357" w:rsidRPr="008E36D5">
        <w:rPr>
          <w:rFonts w:asciiTheme="minorHAnsi" w:hAnsiTheme="minorHAnsi"/>
          <w:lang w:val="fr-BE"/>
        </w:rPr>
        <w:t>. Il s’agit du secteur qui a le plus bénéficié</w:t>
      </w:r>
      <w:r w:rsidR="00EE53B2" w:rsidRPr="008E36D5">
        <w:rPr>
          <w:rFonts w:asciiTheme="minorHAnsi" w:hAnsiTheme="minorHAnsi"/>
          <w:lang w:val="fr-BE"/>
        </w:rPr>
        <w:t xml:space="preserve"> du  boom de </w:t>
      </w:r>
      <w:r w:rsidR="00A01FFB" w:rsidRPr="008E36D5">
        <w:rPr>
          <w:rFonts w:asciiTheme="minorHAnsi" w:hAnsiTheme="minorHAnsi"/>
          <w:lang w:val="fr-BE"/>
        </w:rPr>
        <w:t xml:space="preserve">la période </w:t>
      </w:r>
      <w:r w:rsidR="00991173" w:rsidRPr="008E36D5">
        <w:rPr>
          <w:rFonts w:asciiTheme="minorHAnsi" w:hAnsiTheme="minorHAnsi"/>
          <w:lang w:val="fr-BE"/>
        </w:rPr>
        <w:t>2010</w:t>
      </w:r>
      <w:r w:rsidR="00DF34E6" w:rsidRPr="008E36D5">
        <w:rPr>
          <w:rFonts w:asciiTheme="minorHAnsi" w:hAnsiTheme="minorHAnsi"/>
          <w:lang w:val="fr-BE"/>
        </w:rPr>
        <w:t xml:space="preserve">-2013, avec </w:t>
      </w:r>
      <w:r w:rsidR="000E6F0E" w:rsidRPr="008E36D5">
        <w:rPr>
          <w:rFonts w:asciiTheme="minorHAnsi" w:hAnsiTheme="minorHAnsi"/>
          <w:lang w:val="fr-BE"/>
        </w:rPr>
        <w:t xml:space="preserve">des </w:t>
      </w:r>
      <w:r w:rsidR="00302FF5" w:rsidRPr="008E36D5">
        <w:rPr>
          <w:rFonts w:asciiTheme="minorHAnsi" w:hAnsiTheme="minorHAnsi"/>
          <w:lang w:val="fr-BE"/>
        </w:rPr>
        <w:t>milliards d’euros d’investissements</w:t>
      </w:r>
      <w:r w:rsidR="00302D2C" w:rsidRPr="008E36D5">
        <w:rPr>
          <w:rFonts w:asciiTheme="minorHAnsi" w:hAnsiTheme="minorHAnsi"/>
          <w:lang w:val="fr-BE"/>
        </w:rPr>
        <w:t xml:space="preserve">. Des </w:t>
      </w:r>
      <w:r w:rsidR="002771E3" w:rsidRPr="008E36D5">
        <w:rPr>
          <w:rFonts w:asciiTheme="minorHAnsi" w:hAnsiTheme="minorHAnsi"/>
          <w:lang w:val="fr-BE"/>
        </w:rPr>
        <w:t>parc</w:t>
      </w:r>
      <w:r w:rsidR="00302D2C" w:rsidRPr="008E36D5">
        <w:rPr>
          <w:rFonts w:asciiTheme="minorHAnsi" w:hAnsiTheme="minorHAnsi"/>
          <w:lang w:val="fr-BE"/>
        </w:rPr>
        <w:t>s</w:t>
      </w:r>
      <w:r w:rsidR="002771E3" w:rsidRPr="008E36D5">
        <w:rPr>
          <w:rFonts w:asciiTheme="minorHAnsi" w:hAnsiTheme="minorHAnsi"/>
          <w:lang w:val="fr-BE"/>
        </w:rPr>
        <w:t xml:space="preserve"> éoliens</w:t>
      </w:r>
      <w:r w:rsidR="00302D2C" w:rsidRPr="008E36D5">
        <w:rPr>
          <w:rFonts w:asciiTheme="minorHAnsi" w:hAnsiTheme="minorHAnsi"/>
          <w:lang w:val="fr-BE"/>
        </w:rPr>
        <w:t xml:space="preserve"> ont été</w:t>
      </w:r>
      <w:r w:rsidR="002771E3" w:rsidRPr="008E36D5">
        <w:rPr>
          <w:rFonts w:asciiTheme="minorHAnsi" w:hAnsiTheme="minorHAnsi"/>
          <w:lang w:val="fr-BE"/>
        </w:rPr>
        <w:t xml:space="preserve"> </w:t>
      </w:r>
      <w:r w:rsidR="000E6F0E" w:rsidRPr="008E36D5">
        <w:rPr>
          <w:rFonts w:asciiTheme="minorHAnsi" w:hAnsiTheme="minorHAnsi"/>
          <w:lang w:val="fr-BE"/>
        </w:rPr>
        <w:t xml:space="preserve">mis en place </w:t>
      </w:r>
      <w:r w:rsidR="002771E3" w:rsidRPr="008E36D5">
        <w:rPr>
          <w:rFonts w:asciiTheme="minorHAnsi" w:hAnsiTheme="minorHAnsi"/>
          <w:lang w:val="fr-BE"/>
        </w:rPr>
        <w:t>par d</w:t>
      </w:r>
      <w:r w:rsidR="00991173" w:rsidRPr="008E36D5">
        <w:rPr>
          <w:rFonts w:asciiTheme="minorHAnsi" w:hAnsiTheme="minorHAnsi"/>
          <w:lang w:val="fr-BE"/>
        </w:rPr>
        <w:t>e</w:t>
      </w:r>
      <w:r w:rsidR="002771E3" w:rsidRPr="008E36D5">
        <w:rPr>
          <w:rFonts w:asciiTheme="minorHAnsi" w:hAnsiTheme="minorHAnsi"/>
          <w:lang w:val="fr-BE"/>
        </w:rPr>
        <w:t>s</w:t>
      </w:r>
      <w:r w:rsidR="00991173" w:rsidRPr="008E36D5">
        <w:rPr>
          <w:rFonts w:asciiTheme="minorHAnsi" w:hAnsiTheme="minorHAnsi"/>
          <w:lang w:val="fr-BE"/>
        </w:rPr>
        <w:t xml:space="preserve"> compagnies internationales</w:t>
      </w:r>
      <w:r w:rsidR="000E6F0E" w:rsidRPr="008E36D5">
        <w:rPr>
          <w:rFonts w:asciiTheme="minorHAnsi" w:hAnsiTheme="minorHAnsi"/>
          <w:lang w:val="fr-BE"/>
        </w:rPr>
        <w:t xml:space="preserve"> </w:t>
      </w:r>
      <w:r w:rsidR="006C2FC8" w:rsidRPr="008E36D5">
        <w:rPr>
          <w:rFonts w:asciiTheme="minorHAnsi" w:hAnsiTheme="minorHAnsi"/>
          <w:lang w:val="fr-BE"/>
        </w:rPr>
        <w:t>telles que GDF Suez</w:t>
      </w:r>
      <w:r w:rsidR="002771E3" w:rsidRPr="008E36D5">
        <w:rPr>
          <w:rFonts w:asciiTheme="minorHAnsi" w:hAnsiTheme="minorHAnsi"/>
          <w:lang w:val="fr-BE"/>
        </w:rPr>
        <w:t xml:space="preserve"> (FR)</w:t>
      </w:r>
      <w:r w:rsidR="006C2FC8" w:rsidRPr="008E36D5">
        <w:rPr>
          <w:rFonts w:asciiTheme="minorHAnsi" w:hAnsiTheme="minorHAnsi"/>
          <w:lang w:val="fr-BE"/>
        </w:rPr>
        <w:t>, EP Global Energy</w:t>
      </w:r>
      <w:r w:rsidR="002771E3" w:rsidRPr="008E36D5">
        <w:rPr>
          <w:rFonts w:asciiTheme="minorHAnsi" w:hAnsiTheme="minorHAnsi"/>
          <w:lang w:val="fr-BE"/>
        </w:rPr>
        <w:t xml:space="preserve"> (CY)</w:t>
      </w:r>
      <w:r w:rsidR="006C2FC8" w:rsidRPr="008E36D5">
        <w:rPr>
          <w:rFonts w:asciiTheme="minorHAnsi" w:hAnsiTheme="minorHAnsi"/>
          <w:lang w:val="fr-BE"/>
        </w:rPr>
        <w:t>, Verbund</w:t>
      </w:r>
      <w:r w:rsidR="002771E3" w:rsidRPr="008E36D5">
        <w:rPr>
          <w:rFonts w:asciiTheme="minorHAnsi" w:hAnsiTheme="minorHAnsi"/>
          <w:lang w:val="fr-BE"/>
        </w:rPr>
        <w:t xml:space="preserve"> (AU)</w:t>
      </w:r>
      <w:r w:rsidR="00EF574E" w:rsidRPr="008E36D5">
        <w:rPr>
          <w:rFonts w:asciiTheme="minorHAnsi" w:hAnsiTheme="minorHAnsi"/>
          <w:lang w:val="fr-BE"/>
        </w:rPr>
        <w:t>, Lukerg</w:t>
      </w:r>
      <w:r w:rsidR="002771E3" w:rsidRPr="008E36D5">
        <w:rPr>
          <w:rFonts w:asciiTheme="minorHAnsi" w:hAnsiTheme="minorHAnsi"/>
          <w:lang w:val="fr-BE"/>
        </w:rPr>
        <w:t xml:space="preserve"> (AU)</w:t>
      </w:r>
      <w:r w:rsidR="00EF574E" w:rsidRPr="008E36D5">
        <w:rPr>
          <w:rFonts w:asciiTheme="minorHAnsi" w:hAnsiTheme="minorHAnsi"/>
          <w:lang w:val="fr-BE"/>
        </w:rPr>
        <w:t>, EDP</w:t>
      </w:r>
      <w:r w:rsidR="00DF34E6" w:rsidRPr="008E36D5">
        <w:rPr>
          <w:rFonts w:asciiTheme="minorHAnsi" w:hAnsiTheme="minorHAnsi"/>
          <w:lang w:val="fr-BE"/>
        </w:rPr>
        <w:t xml:space="preserve"> (ES)</w:t>
      </w:r>
      <w:r w:rsidR="000E6F0E" w:rsidRPr="008E36D5">
        <w:rPr>
          <w:rFonts w:asciiTheme="minorHAnsi" w:hAnsiTheme="minorHAnsi"/>
          <w:lang w:val="fr-BE"/>
        </w:rPr>
        <w:t xml:space="preserve">, </w:t>
      </w:r>
      <w:r w:rsidR="00EF574E" w:rsidRPr="008E36D5">
        <w:rPr>
          <w:rFonts w:asciiTheme="minorHAnsi" w:hAnsiTheme="minorHAnsi"/>
          <w:lang w:val="fr-BE"/>
        </w:rPr>
        <w:t>PNE Wind</w:t>
      </w:r>
      <w:r w:rsidR="00DF34E6" w:rsidRPr="008E36D5">
        <w:rPr>
          <w:rFonts w:asciiTheme="minorHAnsi" w:hAnsiTheme="minorHAnsi"/>
          <w:lang w:val="fr-BE"/>
        </w:rPr>
        <w:t xml:space="preserve"> (DE)</w:t>
      </w:r>
      <w:r w:rsidR="000E6F0E" w:rsidRPr="008E36D5">
        <w:rPr>
          <w:rFonts w:asciiTheme="minorHAnsi" w:hAnsiTheme="minorHAnsi"/>
          <w:lang w:val="fr-BE"/>
        </w:rPr>
        <w:t>, etc.</w:t>
      </w:r>
      <w:r w:rsidRPr="008E36D5">
        <w:rPr>
          <w:rFonts w:asciiTheme="minorHAnsi" w:hAnsiTheme="minorHAnsi"/>
          <w:lang w:val="fr-BE"/>
        </w:rPr>
        <w:t xml:space="preserve"> </w:t>
      </w:r>
      <w:r w:rsidR="006C2FC8" w:rsidRPr="008E36D5">
        <w:rPr>
          <w:rFonts w:asciiTheme="minorHAnsi" w:hAnsiTheme="minorHAnsi"/>
          <w:lang w:val="fr-BE"/>
        </w:rPr>
        <w:t>Toutefois, depuis 2013, le développement du secteur a été ralenti suite aux changements législatifs</w:t>
      </w:r>
      <w:r w:rsidR="00EF574E" w:rsidRPr="008E36D5">
        <w:rPr>
          <w:rFonts w:asciiTheme="minorHAnsi" w:hAnsiTheme="minorHAnsi"/>
          <w:lang w:val="fr-BE"/>
        </w:rPr>
        <w:t>.</w:t>
      </w:r>
      <w:r w:rsidR="006C2FC8" w:rsidRPr="008E36D5">
        <w:rPr>
          <w:rFonts w:asciiTheme="minorHAnsi" w:hAnsiTheme="minorHAnsi"/>
          <w:lang w:val="fr-BE"/>
        </w:rPr>
        <w:t xml:space="preserve">  </w:t>
      </w:r>
      <w:r w:rsidR="000E6F0E" w:rsidRPr="008E36D5">
        <w:rPr>
          <w:rFonts w:asciiTheme="minorHAnsi" w:hAnsiTheme="minorHAnsi"/>
          <w:lang w:val="fr-BE"/>
        </w:rPr>
        <w:t xml:space="preserve">Le pays possède </w:t>
      </w:r>
      <w:r w:rsidR="00B4570F" w:rsidRPr="008E36D5">
        <w:rPr>
          <w:rFonts w:asciiTheme="minorHAnsi" w:hAnsiTheme="minorHAnsi"/>
          <w:lang w:val="fr-BE"/>
        </w:rPr>
        <w:t xml:space="preserve">un potentiel parmi les plus élevés d’Europe du Sud-Ouest </w:t>
      </w:r>
      <w:r w:rsidR="00991173" w:rsidRPr="008E36D5">
        <w:rPr>
          <w:rFonts w:asciiTheme="minorHAnsi" w:hAnsiTheme="minorHAnsi"/>
          <w:lang w:val="fr-BE"/>
        </w:rPr>
        <w:t xml:space="preserve">(estimé à 14000 MW), </w:t>
      </w:r>
      <w:r w:rsidR="00A01FFB" w:rsidRPr="008E36D5">
        <w:rPr>
          <w:rFonts w:asciiTheme="minorHAnsi" w:hAnsiTheme="minorHAnsi"/>
          <w:lang w:val="fr-BE"/>
        </w:rPr>
        <w:t xml:space="preserve">notamment dans les régions de </w:t>
      </w:r>
      <w:r w:rsidR="00A01FFB" w:rsidRPr="008E36D5">
        <w:rPr>
          <w:rFonts w:asciiTheme="minorHAnsi" w:hAnsiTheme="minorHAnsi"/>
        </w:rPr>
        <w:t xml:space="preserve">Dobroudja et Moldavie, </w:t>
      </w:r>
      <w:r w:rsidR="000E6F0E" w:rsidRPr="008E36D5">
        <w:rPr>
          <w:rFonts w:asciiTheme="minorHAnsi" w:hAnsiTheme="minorHAnsi"/>
        </w:rPr>
        <w:t xml:space="preserve">que ce soit pour </w:t>
      </w:r>
      <w:r w:rsidR="00605E42" w:rsidRPr="008E36D5">
        <w:rPr>
          <w:rFonts w:asciiTheme="minorHAnsi" w:hAnsiTheme="minorHAnsi"/>
        </w:rPr>
        <w:t>de</w:t>
      </w:r>
      <w:r w:rsidR="000E6F0E" w:rsidRPr="008E36D5">
        <w:rPr>
          <w:rFonts w:asciiTheme="minorHAnsi" w:hAnsiTheme="minorHAnsi"/>
        </w:rPr>
        <w:t xml:space="preserve"> petites unités</w:t>
      </w:r>
      <w:r w:rsidR="00605E42" w:rsidRPr="008E36D5">
        <w:rPr>
          <w:rFonts w:asciiTheme="minorHAnsi" w:hAnsiTheme="minorHAnsi"/>
        </w:rPr>
        <w:t xml:space="preserve"> de production en zones rurales ou des grands projets offshore. </w:t>
      </w:r>
      <w:r w:rsidR="000E6F0E" w:rsidRPr="008E36D5">
        <w:rPr>
          <w:rFonts w:asciiTheme="minorHAnsi" w:hAnsiTheme="minorHAnsi"/>
        </w:rPr>
        <w:t xml:space="preserve">  </w:t>
      </w:r>
      <w:r w:rsidR="0041724E" w:rsidRPr="008E36D5">
        <w:rPr>
          <w:rFonts w:asciiTheme="minorHAnsi" w:hAnsiTheme="minorHAnsi"/>
        </w:rPr>
        <w:t>Parmi les projets en cours, il y a celui de la compagnie NERO Renewables (NL) qui prévoit la construction de trois parcs avec 362 turbines, pour une capacité totale de  1 GW</w:t>
      </w:r>
      <w:r w:rsidR="00BD08B8" w:rsidRPr="008E36D5">
        <w:rPr>
          <w:rFonts w:asciiTheme="minorHAnsi" w:hAnsiTheme="minorHAnsi"/>
        </w:rPr>
        <w:t xml:space="preserve"> et un budget de 1,4 Mds EUR.</w:t>
      </w:r>
    </w:p>
    <w:p w:rsidR="00F6430A" w:rsidRDefault="00F6430A" w:rsidP="00BD2281">
      <w:pPr>
        <w:jc w:val="both"/>
        <w:rPr>
          <w:rFonts w:asciiTheme="minorHAnsi" w:hAnsiTheme="minorHAnsi"/>
          <w:lang w:val="fr-BE"/>
        </w:rPr>
      </w:pPr>
    </w:p>
    <w:p w:rsidR="00BD08B8" w:rsidRDefault="00BD08B8" w:rsidP="00BD08B8">
      <w:pPr>
        <w:jc w:val="both"/>
        <w:rPr>
          <w:rFonts w:asciiTheme="minorHAnsi" w:hAnsiTheme="minorHAnsi"/>
          <w:lang w:val="fr-BE"/>
        </w:rPr>
      </w:pPr>
      <w:r>
        <w:rPr>
          <w:rFonts w:asciiTheme="minorHAnsi" w:hAnsiTheme="minorHAnsi"/>
          <w:lang w:val="fr-BE"/>
        </w:rPr>
        <w:t>ENERGIE SOLAIRE</w:t>
      </w:r>
    </w:p>
    <w:p w:rsidR="00302FF5" w:rsidRPr="00B02665" w:rsidRDefault="000F0B0F" w:rsidP="00BD2281">
      <w:pPr>
        <w:jc w:val="both"/>
        <w:rPr>
          <w:rFonts w:asciiTheme="minorHAnsi" w:hAnsiTheme="minorHAnsi"/>
          <w:lang w:val="fr-BE"/>
        </w:rPr>
      </w:pPr>
      <w:r>
        <w:rPr>
          <w:rFonts w:asciiTheme="minorHAnsi" w:hAnsiTheme="minorHAnsi"/>
          <w:lang w:val="fr-BE"/>
        </w:rPr>
        <w:t xml:space="preserve">La </w:t>
      </w:r>
      <w:r w:rsidRPr="00B02665">
        <w:rPr>
          <w:rFonts w:asciiTheme="minorHAnsi" w:hAnsiTheme="minorHAnsi"/>
          <w:lang w:val="fr-BE"/>
        </w:rPr>
        <w:t xml:space="preserve">Roumanie a joué un rôle avant-coureur en matière d’énergie solaire, avec de grandes installations de </w:t>
      </w:r>
      <w:r w:rsidR="00B02665" w:rsidRPr="00B02665">
        <w:rPr>
          <w:rFonts w:asciiTheme="minorHAnsi" w:hAnsiTheme="minorHAnsi"/>
          <w:lang w:val="fr-BE"/>
        </w:rPr>
        <w:t>panneaux solaires dès les années 1970. Toutefois,  le potentiel de cette source d’énergie reste modéré (avec une prédominance pour la partie sud du pays et la région de Dobroudja), les installations peu opérationnelles et les taux de productions très limités (</w:t>
      </w:r>
      <w:r w:rsidR="00B02665">
        <w:rPr>
          <w:rFonts w:asciiTheme="minorHAnsi" w:hAnsiTheme="minorHAnsi"/>
          <w:lang w:val="fr-BE"/>
        </w:rPr>
        <w:t>1 MW)</w:t>
      </w:r>
      <w:r w:rsidR="00B02665" w:rsidRPr="00B02665">
        <w:rPr>
          <w:rFonts w:asciiTheme="minorHAnsi" w:hAnsiTheme="minorHAnsi"/>
          <w:lang w:val="fr-BE"/>
        </w:rPr>
        <w:t>. La situation devrait s’améliorer avec le nouveau programme de soutien. L’année dernière, la Roumanie a procédé pour la première fois à l’installation de plus d’1GW d’énergie solaire.</w:t>
      </w:r>
      <w:r w:rsidR="001913EC" w:rsidRPr="00B02665">
        <w:rPr>
          <w:rFonts w:asciiTheme="minorHAnsi" w:hAnsiTheme="minorHAnsi"/>
          <w:lang w:val="fr-BE"/>
        </w:rPr>
        <w:t xml:space="preserve"> </w:t>
      </w:r>
    </w:p>
    <w:p w:rsidR="00A762BB" w:rsidRDefault="00A762BB" w:rsidP="00BD08B8">
      <w:pPr>
        <w:jc w:val="both"/>
        <w:rPr>
          <w:rFonts w:asciiTheme="minorHAnsi" w:hAnsiTheme="minorHAnsi"/>
          <w:lang w:val="fr-BE"/>
        </w:rPr>
      </w:pPr>
    </w:p>
    <w:p w:rsidR="00BF3178" w:rsidRDefault="00BF3178" w:rsidP="00BF3178">
      <w:pPr>
        <w:jc w:val="both"/>
        <w:rPr>
          <w:rFonts w:asciiTheme="minorHAnsi" w:hAnsiTheme="minorHAnsi"/>
          <w:lang w:val="fr-BE"/>
        </w:rPr>
      </w:pPr>
      <w:r>
        <w:rPr>
          <w:rFonts w:asciiTheme="minorHAnsi" w:hAnsiTheme="minorHAnsi"/>
          <w:lang w:val="fr-BE"/>
        </w:rPr>
        <w:t>BIOMA</w:t>
      </w:r>
      <w:r w:rsidR="005806DC">
        <w:rPr>
          <w:rFonts w:asciiTheme="minorHAnsi" w:hAnsiTheme="minorHAnsi"/>
          <w:lang w:val="fr-BE"/>
        </w:rPr>
        <w:t>SSE, BIOGAZ, ENERGIE GEOTHERMIQUE</w:t>
      </w:r>
      <w:r>
        <w:rPr>
          <w:rFonts w:asciiTheme="minorHAnsi" w:hAnsiTheme="minorHAnsi"/>
          <w:lang w:val="fr-BE"/>
        </w:rPr>
        <w:t xml:space="preserve"> et </w:t>
      </w:r>
      <w:r w:rsidR="003778F3">
        <w:rPr>
          <w:rFonts w:asciiTheme="minorHAnsi" w:hAnsiTheme="minorHAnsi"/>
          <w:lang w:val="fr-BE"/>
        </w:rPr>
        <w:t>COGENERATION A HAUT RENDEMENT</w:t>
      </w:r>
    </w:p>
    <w:p w:rsidR="00BF3178" w:rsidRDefault="00D6409C" w:rsidP="00BF3178">
      <w:pPr>
        <w:jc w:val="both"/>
        <w:rPr>
          <w:rFonts w:asciiTheme="minorHAnsi" w:hAnsiTheme="minorHAnsi"/>
          <w:lang w:val="fr-BE"/>
        </w:rPr>
      </w:pPr>
      <w:r>
        <w:rPr>
          <w:rFonts w:asciiTheme="minorHAnsi" w:hAnsiTheme="minorHAnsi"/>
          <w:lang w:val="fr-BE"/>
        </w:rPr>
        <w:t xml:space="preserve">Dans le cadre du </w:t>
      </w:r>
      <w:r w:rsidRPr="001C02DF">
        <w:rPr>
          <w:rFonts w:asciiTheme="minorHAnsi" w:hAnsiTheme="minorHAnsi"/>
          <w:lang w:val="fr-BE"/>
        </w:rPr>
        <w:t>Programme Opérationnel Grandes Infrastructures</w:t>
      </w:r>
      <w:r>
        <w:rPr>
          <w:rFonts w:asciiTheme="minorHAnsi" w:hAnsiTheme="minorHAnsi"/>
          <w:lang w:val="fr-BE"/>
        </w:rPr>
        <w:t xml:space="preserve"> (POIM) de l’UE, l</w:t>
      </w:r>
      <w:r w:rsidR="00BF3178">
        <w:rPr>
          <w:rFonts w:asciiTheme="minorHAnsi" w:hAnsiTheme="minorHAnsi"/>
          <w:lang w:val="fr-BE"/>
        </w:rPr>
        <w:t>a Roumanie bénéficie d’un budget européen de 147,38 Mns EUR</w:t>
      </w:r>
      <w:r w:rsidR="005E7DFF">
        <w:rPr>
          <w:rFonts w:asciiTheme="minorHAnsi" w:hAnsiTheme="minorHAnsi"/>
          <w:lang w:val="fr-BE"/>
        </w:rPr>
        <w:t xml:space="preserve"> pour le </w:t>
      </w:r>
      <w:r w:rsidR="003778F3">
        <w:rPr>
          <w:rFonts w:asciiTheme="minorHAnsi" w:hAnsiTheme="minorHAnsi"/>
          <w:lang w:val="fr-BE"/>
        </w:rPr>
        <w:t>développement</w:t>
      </w:r>
      <w:r w:rsidR="005E7DFF">
        <w:rPr>
          <w:rFonts w:asciiTheme="minorHAnsi" w:hAnsiTheme="minorHAnsi"/>
          <w:lang w:val="fr-BE"/>
        </w:rPr>
        <w:t xml:space="preserve"> de ces secteurs.</w:t>
      </w:r>
      <w:r w:rsidR="003778F3">
        <w:rPr>
          <w:rFonts w:asciiTheme="minorHAnsi" w:hAnsiTheme="minorHAnsi"/>
          <w:lang w:val="fr-BE"/>
        </w:rPr>
        <w:t xml:space="preserve"> Du 17 juillet 2017 au 31 décembre 2018, les producteurs d’énergie électrique et thermique </w:t>
      </w:r>
      <w:r w:rsidR="008504B9">
        <w:rPr>
          <w:rFonts w:asciiTheme="minorHAnsi" w:hAnsiTheme="minorHAnsi"/>
          <w:lang w:val="fr-BE"/>
        </w:rPr>
        <w:t>ont la possibilité</w:t>
      </w:r>
      <w:r w:rsidR="003778F3">
        <w:rPr>
          <w:rFonts w:asciiTheme="minorHAnsi" w:hAnsiTheme="minorHAnsi"/>
          <w:lang w:val="fr-BE"/>
        </w:rPr>
        <w:t xml:space="preserve"> de de</w:t>
      </w:r>
      <w:r w:rsidR="008504B9">
        <w:rPr>
          <w:rFonts w:asciiTheme="minorHAnsi" w:hAnsiTheme="minorHAnsi"/>
          <w:lang w:val="fr-BE"/>
        </w:rPr>
        <w:t>mander des financements pour la production d’énergie provenant de</w:t>
      </w:r>
      <w:r w:rsidR="00D3240D">
        <w:rPr>
          <w:rFonts w:asciiTheme="minorHAnsi" w:hAnsiTheme="minorHAnsi"/>
          <w:lang w:val="fr-BE"/>
        </w:rPr>
        <w:t xml:space="preserve"> ces sources.</w:t>
      </w:r>
      <w:r w:rsidR="001C02DF">
        <w:rPr>
          <w:rFonts w:asciiTheme="minorHAnsi" w:hAnsiTheme="minorHAnsi"/>
          <w:lang w:val="fr-BE"/>
        </w:rPr>
        <w:t xml:space="preserve"> Un grand projet </w:t>
      </w:r>
      <w:r w:rsidR="005F1F6B">
        <w:rPr>
          <w:rFonts w:asciiTheme="minorHAnsi" w:hAnsiTheme="minorHAnsi"/>
          <w:lang w:val="fr-BE"/>
        </w:rPr>
        <w:t xml:space="preserve">Romgaz </w:t>
      </w:r>
      <w:r w:rsidR="001C02DF">
        <w:rPr>
          <w:rFonts w:asciiTheme="minorHAnsi" w:hAnsiTheme="minorHAnsi"/>
          <w:lang w:val="fr-BE"/>
        </w:rPr>
        <w:t>est également en cours à l’horizon 2019, celui de la centrale</w:t>
      </w:r>
      <w:r w:rsidR="005F1F6B">
        <w:rPr>
          <w:rFonts w:asciiTheme="minorHAnsi" w:hAnsiTheme="minorHAnsi"/>
          <w:lang w:val="fr-BE"/>
        </w:rPr>
        <w:t xml:space="preserve"> </w:t>
      </w:r>
      <w:r w:rsidR="001C02DF">
        <w:rPr>
          <w:rFonts w:asciiTheme="minorHAnsi" w:hAnsiTheme="minorHAnsi"/>
          <w:lang w:val="fr-BE"/>
        </w:rPr>
        <w:t>de cogénération de 430 </w:t>
      </w:r>
      <w:r w:rsidR="005F1F6B">
        <w:rPr>
          <w:rFonts w:asciiTheme="minorHAnsi" w:hAnsiTheme="minorHAnsi"/>
          <w:lang w:val="fr-BE"/>
        </w:rPr>
        <w:t>MW de Iernut. Avec un budget de 269 Mns EUR, il s’agit du plus grand investissement de l’Etat en matière de production énergétique depuis 1989 !</w:t>
      </w:r>
      <w:r w:rsidR="00B02665">
        <w:rPr>
          <w:rFonts w:asciiTheme="minorHAnsi" w:hAnsiTheme="minorHAnsi"/>
          <w:lang w:val="fr-BE"/>
        </w:rPr>
        <w:t xml:space="preserve"> </w:t>
      </w:r>
      <w:r w:rsidR="00652B7B">
        <w:rPr>
          <w:rFonts w:asciiTheme="minorHAnsi" w:hAnsiTheme="minorHAnsi"/>
          <w:lang w:val="fr-BE"/>
        </w:rPr>
        <w:t xml:space="preserve">De manière générale, les </w:t>
      </w:r>
      <w:r w:rsidR="00B02665">
        <w:rPr>
          <w:rFonts w:asciiTheme="minorHAnsi" w:hAnsiTheme="minorHAnsi"/>
          <w:lang w:val="fr-BE"/>
        </w:rPr>
        <w:t xml:space="preserve">installations de cogénération ont connu un développement </w:t>
      </w:r>
      <w:r w:rsidR="00B02665">
        <w:rPr>
          <w:rFonts w:asciiTheme="minorHAnsi" w:hAnsiTheme="minorHAnsi"/>
          <w:lang w:val="fr-BE"/>
        </w:rPr>
        <w:lastRenderedPageBreak/>
        <w:t>remarquable ces 20 dernières années</w:t>
      </w:r>
      <w:r w:rsidR="00652B7B">
        <w:rPr>
          <w:rFonts w:asciiTheme="minorHAnsi" w:hAnsiTheme="minorHAnsi"/>
          <w:lang w:val="fr-BE"/>
        </w:rPr>
        <w:t xml:space="preserve">, </w:t>
      </w:r>
      <w:r w:rsidR="00B02665">
        <w:rPr>
          <w:rFonts w:asciiTheme="minorHAnsi" w:hAnsiTheme="minorHAnsi"/>
          <w:lang w:val="fr-BE"/>
        </w:rPr>
        <w:t>dû notamment aux crises énergétiques causées par la fluctuation des  prix du pétrole</w:t>
      </w:r>
      <w:r w:rsidR="00652B7B">
        <w:rPr>
          <w:rFonts w:asciiTheme="minorHAnsi" w:hAnsiTheme="minorHAnsi"/>
          <w:lang w:val="fr-BE"/>
        </w:rPr>
        <w:t>.</w:t>
      </w:r>
    </w:p>
    <w:p w:rsidR="008E36D5" w:rsidRDefault="008E36D5" w:rsidP="00BF3178">
      <w:pPr>
        <w:jc w:val="both"/>
        <w:rPr>
          <w:rFonts w:asciiTheme="minorHAnsi" w:hAnsiTheme="minorHAnsi"/>
          <w:lang w:val="fr-BE"/>
        </w:rPr>
      </w:pPr>
    </w:p>
    <w:p w:rsidR="00B9674A" w:rsidRDefault="00B9674A" w:rsidP="00B9674A">
      <w:pPr>
        <w:rPr>
          <w:rFonts w:asciiTheme="minorHAnsi" w:hAnsiTheme="minorHAnsi"/>
          <w:b/>
        </w:rPr>
      </w:pPr>
      <w:r>
        <w:rPr>
          <w:rFonts w:asciiTheme="minorHAnsi" w:hAnsiTheme="minorHAnsi"/>
          <w:b/>
        </w:rPr>
        <w:t>CONCLUSION – OPPORTUNITES</w:t>
      </w:r>
    </w:p>
    <w:p w:rsidR="00B9674A" w:rsidRDefault="00B9674A" w:rsidP="00B9674A">
      <w:pPr>
        <w:rPr>
          <w:rFonts w:asciiTheme="minorHAnsi" w:hAnsiTheme="minorHAnsi"/>
          <w:b/>
        </w:rPr>
      </w:pPr>
    </w:p>
    <w:p w:rsidR="00B9674A" w:rsidRDefault="00B9674A" w:rsidP="00B9674A">
      <w:pPr>
        <w:rPr>
          <w:rFonts w:asciiTheme="minorHAnsi" w:hAnsiTheme="minorHAnsi"/>
          <w:b/>
        </w:rPr>
      </w:pPr>
    </w:p>
    <w:p w:rsidR="00B9674A" w:rsidRDefault="005806DC" w:rsidP="006F0B28">
      <w:pPr>
        <w:pStyle w:val="Paragraphedeliste"/>
        <w:numPr>
          <w:ilvl w:val="0"/>
          <w:numId w:val="3"/>
        </w:numPr>
        <w:jc w:val="both"/>
        <w:rPr>
          <w:rFonts w:asciiTheme="minorHAnsi" w:hAnsiTheme="minorHAnsi"/>
          <w:lang w:val="fr-BE"/>
        </w:rPr>
      </w:pPr>
      <w:r>
        <w:rPr>
          <w:rFonts w:asciiTheme="minorHAnsi" w:hAnsiTheme="minorHAnsi"/>
          <w:lang w:val="fr-BE"/>
        </w:rPr>
        <w:t xml:space="preserve">Le potentiel du secteur est énorme </w:t>
      </w:r>
      <w:r w:rsidR="006F0B28">
        <w:rPr>
          <w:rFonts w:asciiTheme="minorHAnsi" w:hAnsiTheme="minorHAnsi"/>
          <w:lang w:val="fr-BE"/>
        </w:rPr>
        <w:t>grâce aux conditions géographiques et météorologiques. Une grande partie de la production nationale d’électricité est due aux énergies renouvelables, principalement l’</w:t>
      </w:r>
      <w:r w:rsidR="00126BB2">
        <w:rPr>
          <w:rFonts w:asciiTheme="minorHAnsi" w:hAnsiTheme="minorHAnsi"/>
          <w:lang w:val="fr-BE"/>
        </w:rPr>
        <w:t xml:space="preserve">énergie hydraulique. </w:t>
      </w:r>
    </w:p>
    <w:p w:rsidR="005806DC" w:rsidRDefault="005806DC" w:rsidP="005806DC">
      <w:pPr>
        <w:pStyle w:val="Paragraphedeliste"/>
        <w:jc w:val="both"/>
        <w:rPr>
          <w:rFonts w:asciiTheme="minorHAnsi" w:hAnsiTheme="minorHAnsi"/>
          <w:lang w:val="fr-BE"/>
        </w:rPr>
      </w:pPr>
    </w:p>
    <w:p w:rsidR="006F0B28" w:rsidRDefault="0081193B" w:rsidP="00A36F58">
      <w:pPr>
        <w:pStyle w:val="Paragraphedeliste"/>
        <w:numPr>
          <w:ilvl w:val="0"/>
          <w:numId w:val="3"/>
        </w:numPr>
        <w:jc w:val="both"/>
        <w:rPr>
          <w:rFonts w:asciiTheme="minorHAnsi" w:hAnsiTheme="minorHAnsi"/>
          <w:lang w:val="fr-BE"/>
        </w:rPr>
      </w:pPr>
      <w:r>
        <w:rPr>
          <w:rFonts w:asciiTheme="minorHAnsi" w:hAnsiTheme="minorHAnsi"/>
          <w:lang w:val="fr-BE"/>
        </w:rPr>
        <w:t>S</w:t>
      </w:r>
      <w:r w:rsidRPr="00A36F58">
        <w:rPr>
          <w:rFonts w:asciiTheme="minorHAnsi" w:hAnsiTheme="minorHAnsi"/>
          <w:lang w:val="fr-BE"/>
        </w:rPr>
        <w:t>uite aux crises des dernières</w:t>
      </w:r>
      <w:r>
        <w:rPr>
          <w:rFonts w:asciiTheme="minorHAnsi" w:hAnsiTheme="minorHAnsi"/>
          <w:lang w:val="fr-BE"/>
        </w:rPr>
        <w:t xml:space="preserve"> </w:t>
      </w:r>
      <w:r w:rsidRPr="00A36F58">
        <w:rPr>
          <w:rFonts w:asciiTheme="minorHAnsi" w:hAnsiTheme="minorHAnsi"/>
          <w:lang w:val="fr-BE"/>
        </w:rPr>
        <w:t>années</w:t>
      </w:r>
      <w:r>
        <w:rPr>
          <w:rFonts w:asciiTheme="minorHAnsi" w:hAnsiTheme="minorHAnsi"/>
          <w:lang w:val="fr-BE"/>
        </w:rPr>
        <w:t>, le secteur est en voie de redynamisation : c</w:t>
      </w:r>
      <w:r w:rsidR="006F0B28">
        <w:rPr>
          <w:rFonts w:asciiTheme="minorHAnsi" w:hAnsiTheme="minorHAnsi"/>
          <w:lang w:val="fr-BE"/>
        </w:rPr>
        <w:t>hangements récents dans la législation</w:t>
      </w:r>
      <w:r w:rsidR="005806DC">
        <w:rPr>
          <w:rFonts w:asciiTheme="minorHAnsi" w:hAnsiTheme="minorHAnsi"/>
          <w:lang w:val="fr-BE"/>
        </w:rPr>
        <w:t xml:space="preserve"> </w:t>
      </w:r>
      <w:r>
        <w:rPr>
          <w:rFonts w:asciiTheme="minorHAnsi" w:hAnsiTheme="minorHAnsi"/>
          <w:lang w:val="fr-BE"/>
        </w:rPr>
        <w:t>(2017),</w:t>
      </w:r>
      <w:r w:rsidR="00A36F58" w:rsidRPr="00A36F58">
        <w:rPr>
          <w:rFonts w:asciiTheme="minorHAnsi" w:hAnsiTheme="minorHAnsi"/>
          <w:lang w:val="fr-BE"/>
        </w:rPr>
        <w:t xml:space="preserve"> </w:t>
      </w:r>
      <w:r>
        <w:rPr>
          <w:rFonts w:asciiTheme="minorHAnsi" w:hAnsiTheme="minorHAnsi"/>
          <w:lang w:val="fr-BE"/>
        </w:rPr>
        <w:t xml:space="preserve">nouveaux objectifs </w:t>
      </w:r>
      <w:r w:rsidR="00126BB2">
        <w:rPr>
          <w:rFonts w:asciiTheme="minorHAnsi" w:hAnsiTheme="minorHAnsi"/>
          <w:lang w:val="fr-BE"/>
        </w:rPr>
        <w:t xml:space="preserve">nationaux </w:t>
      </w:r>
      <w:r>
        <w:rPr>
          <w:rFonts w:asciiTheme="minorHAnsi" w:hAnsiTheme="minorHAnsi"/>
          <w:lang w:val="fr-BE"/>
        </w:rPr>
        <w:t xml:space="preserve">mis en place pour 2030, </w:t>
      </w:r>
      <w:r w:rsidR="00A36F58" w:rsidRPr="00A36F58">
        <w:rPr>
          <w:rFonts w:asciiTheme="minorHAnsi" w:hAnsiTheme="minorHAnsi"/>
          <w:lang w:val="fr-BE"/>
        </w:rPr>
        <w:t>systèmes incitatifs</w:t>
      </w:r>
      <w:r w:rsidRPr="0081193B">
        <w:rPr>
          <w:rFonts w:asciiTheme="minorHAnsi" w:hAnsiTheme="minorHAnsi"/>
          <w:lang w:val="fr-BE"/>
        </w:rPr>
        <w:t xml:space="preserve"> </w:t>
      </w:r>
      <w:r>
        <w:rPr>
          <w:rFonts w:asciiTheme="minorHAnsi" w:hAnsiTheme="minorHAnsi"/>
          <w:lang w:val="fr-BE"/>
        </w:rPr>
        <w:t>et investissements prévus</w:t>
      </w:r>
      <w:r w:rsidR="001B0C76">
        <w:rPr>
          <w:rFonts w:asciiTheme="minorHAnsi" w:hAnsiTheme="minorHAnsi"/>
          <w:lang w:val="fr-BE"/>
        </w:rPr>
        <w:t>, dont</w:t>
      </w:r>
      <w:r w:rsidR="00126BB2">
        <w:rPr>
          <w:rFonts w:asciiTheme="minorHAnsi" w:hAnsiTheme="minorHAnsi"/>
          <w:lang w:val="fr-BE"/>
        </w:rPr>
        <w:t xml:space="preserve"> un budget européen de 525 Mns EUR</w:t>
      </w:r>
      <w:r w:rsidR="001B0C76">
        <w:rPr>
          <w:rFonts w:asciiTheme="minorHAnsi" w:hAnsiTheme="minorHAnsi"/>
          <w:lang w:val="fr-BE"/>
        </w:rPr>
        <w:t xml:space="preserve"> </w:t>
      </w:r>
      <w:r w:rsidR="00126BB2">
        <w:rPr>
          <w:rFonts w:asciiTheme="minorHAnsi" w:hAnsiTheme="minorHAnsi"/>
          <w:lang w:val="fr-BE"/>
        </w:rPr>
        <w:t xml:space="preserve"> dans le cadre du POIM. Les prévisions de développement sont positives.</w:t>
      </w:r>
    </w:p>
    <w:p w:rsidR="00EE5EAD" w:rsidRPr="00EE5EAD" w:rsidRDefault="00EE5EAD" w:rsidP="00EE5EAD">
      <w:pPr>
        <w:pStyle w:val="Paragraphedeliste"/>
        <w:rPr>
          <w:rFonts w:asciiTheme="minorHAnsi" w:hAnsiTheme="minorHAnsi"/>
          <w:lang w:val="fr-BE"/>
        </w:rPr>
      </w:pPr>
    </w:p>
    <w:p w:rsidR="00EE5EAD" w:rsidRDefault="0034233D" w:rsidP="0034233D">
      <w:pPr>
        <w:pStyle w:val="Paragraphedeliste"/>
        <w:numPr>
          <w:ilvl w:val="0"/>
          <w:numId w:val="3"/>
        </w:numPr>
        <w:jc w:val="both"/>
        <w:rPr>
          <w:rFonts w:asciiTheme="minorHAnsi" w:hAnsiTheme="minorHAnsi"/>
          <w:lang w:val="fr-BE"/>
        </w:rPr>
      </w:pPr>
      <w:r>
        <w:rPr>
          <w:rFonts w:asciiTheme="minorHAnsi" w:hAnsiTheme="minorHAnsi"/>
          <w:lang w:val="fr-BE"/>
        </w:rPr>
        <w:t xml:space="preserve">En tant que </w:t>
      </w:r>
      <w:r w:rsidRPr="0034233D">
        <w:rPr>
          <w:rFonts w:asciiTheme="minorHAnsi" w:hAnsiTheme="minorHAnsi"/>
          <w:lang w:val="fr-BE"/>
        </w:rPr>
        <w:t xml:space="preserve">principale source de </w:t>
      </w:r>
      <w:r>
        <w:rPr>
          <w:rFonts w:asciiTheme="minorHAnsi" w:hAnsiTheme="minorHAnsi"/>
          <w:lang w:val="fr-BE"/>
        </w:rPr>
        <w:t>production d’énergie électrique,</w:t>
      </w:r>
      <w:r w:rsidRPr="0034233D">
        <w:rPr>
          <w:rFonts w:asciiTheme="minorHAnsi" w:hAnsiTheme="minorHAnsi"/>
          <w:lang w:val="fr-BE"/>
        </w:rPr>
        <w:t xml:space="preserve"> l’énergie hydr</w:t>
      </w:r>
      <w:r>
        <w:rPr>
          <w:rFonts w:asciiTheme="minorHAnsi" w:hAnsiTheme="minorHAnsi"/>
          <w:lang w:val="fr-BE"/>
        </w:rPr>
        <w:t>aulique constitue un domaine d’intérêt majeur, avec une croissance spécifique du secteur micro-hydro.</w:t>
      </w:r>
    </w:p>
    <w:p w:rsidR="0034233D" w:rsidRPr="0034233D" w:rsidRDefault="0034233D" w:rsidP="0034233D">
      <w:pPr>
        <w:pStyle w:val="Paragraphedeliste"/>
        <w:rPr>
          <w:rFonts w:asciiTheme="minorHAnsi" w:hAnsiTheme="minorHAnsi"/>
          <w:lang w:val="fr-BE"/>
        </w:rPr>
      </w:pPr>
    </w:p>
    <w:p w:rsidR="0034233D" w:rsidRPr="00EE3AC5" w:rsidRDefault="00333F03" w:rsidP="00EE3AC5">
      <w:pPr>
        <w:pStyle w:val="Paragraphedeliste"/>
        <w:numPr>
          <w:ilvl w:val="0"/>
          <w:numId w:val="3"/>
        </w:numPr>
        <w:jc w:val="both"/>
        <w:rPr>
          <w:rFonts w:asciiTheme="minorHAnsi" w:hAnsiTheme="minorHAnsi"/>
          <w:lang w:val="fr-BE"/>
        </w:rPr>
      </w:pPr>
      <w:r>
        <w:rPr>
          <w:rFonts w:asciiTheme="minorHAnsi" w:hAnsiTheme="minorHAnsi"/>
          <w:lang w:val="fr-BE"/>
        </w:rPr>
        <w:t>Après avoir bénéficié de grands investissements par le passé,</w:t>
      </w:r>
      <w:r w:rsidR="00EE3AC5">
        <w:rPr>
          <w:rFonts w:asciiTheme="minorHAnsi" w:hAnsiTheme="minorHAnsi"/>
          <w:lang w:val="fr-BE"/>
        </w:rPr>
        <w:t xml:space="preserve"> suivis d’une période de stagnation,</w:t>
      </w:r>
      <w:r>
        <w:rPr>
          <w:rFonts w:asciiTheme="minorHAnsi" w:hAnsiTheme="minorHAnsi"/>
          <w:lang w:val="fr-BE"/>
        </w:rPr>
        <w:t xml:space="preserve"> les secteurs de l’éolien et du photovoltaïque </w:t>
      </w:r>
      <w:r w:rsidR="00EE3AC5">
        <w:rPr>
          <w:rFonts w:asciiTheme="minorHAnsi" w:hAnsiTheme="minorHAnsi"/>
          <w:lang w:val="fr-BE"/>
        </w:rPr>
        <w:t>connaissent un regain d’intérêt. La Roumanie bénéficie de n</w:t>
      </w:r>
      <w:r w:rsidR="008E36D5" w:rsidRPr="00EE3AC5">
        <w:rPr>
          <w:rFonts w:asciiTheme="minorHAnsi" w:hAnsiTheme="minorHAnsi"/>
          <w:lang w:val="fr-BE"/>
        </w:rPr>
        <w:t>ombreux parcs éoliens et photovoltaïques</w:t>
      </w:r>
      <w:r w:rsidR="000B3847">
        <w:rPr>
          <w:rFonts w:asciiTheme="minorHAnsi" w:hAnsiTheme="minorHAnsi"/>
          <w:lang w:val="fr-BE"/>
        </w:rPr>
        <w:t xml:space="preserve"> dont le potentiel doit encore être exploité.</w:t>
      </w:r>
    </w:p>
    <w:p w:rsidR="005806DC" w:rsidRDefault="005806DC" w:rsidP="005806DC">
      <w:pPr>
        <w:jc w:val="both"/>
        <w:rPr>
          <w:rFonts w:asciiTheme="minorHAnsi" w:hAnsiTheme="minorHAnsi"/>
          <w:lang w:val="fr-BE"/>
        </w:rPr>
      </w:pPr>
    </w:p>
    <w:p w:rsidR="00126BB2" w:rsidRDefault="005806DC" w:rsidP="00A36F58">
      <w:pPr>
        <w:pStyle w:val="Paragraphedeliste"/>
        <w:numPr>
          <w:ilvl w:val="0"/>
          <w:numId w:val="3"/>
        </w:numPr>
        <w:jc w:val="both"/>
        <w:rPr>
          <w:rFonts w:asciiTheme="minorHAnsi" w:hAnsiTheme="minorHAnsi"/>
          <w:lang w:val="fr-BE"/>
        </w:rPr>
      </w:pPr>
      <w:r>
        <w:rPr>
          <w:rFonts w:asciiTheme="minorHAnsi" w:hAnsiTheme="minorHAnsi"/>
          <w:lang w:val="fr-BE"/>
        </w:rPr>
        <w:t xml:space="preserve">Bien qu’actuellement peu développés, les secteurs de la biomasse, du géothermique et de la </w:t>
      </w:r>
      <w:r w:rsidR="00A31DD4">
        <w:rPr>
          <w:rFonts w:asciiTheme="minorHAnsi" w:hAnsiTheme="minorHAnsi"/>
          <w:lang w:val="fr-BE"/>
        </w:rPr>
        <w:t>cogénération font partie des objectifs prioritaires en termes</w:t>
      </w:r>
      <w:r w:rsidR="00EE5EAD">
        <w:rPr>
          <w:rFonts w:asciiTheme="minorHAnsi" w:hAnsiTheme="minorHAnsi"/>
          <w:lang w:val="fr-BE"/>
        </w:rPr>
        <w:t xml:space="preserve"> de développement et </w:t>
      </w:r>
      <w:r w:rsidR="00A31DD4">
        <w:rPr>
          <w:rFonts w:asciiTheme="minorHAnsi" w:hAnsiTheme="minorHAnsi"/>
          <w:lang w:val="fr-BE"/>
        </w:rPr>
        <w:t xml:space="preserve"> d’investissements nationaux et européens.  </w:t>
      </w:r>
    </w:p>
    <w:p w:rsidR="00EE5EAD" w:rsidRPr="00EE5EAD" w:rsidRDefault="00EE5EAD" w:rsidP="00EE5EAD">
      <w:pPr>
        <w:pStyle w:val="Paragraphedeliste"/>
        <w:rPr>
          <w:rFonts w:asciiTheme="minorHAnsi" w:hAnsiTheme="minorHAnsi"/>
          <w:lang w:val="fr-BE"/>
        </w:rPr>
      </w:pPr>
    </w:p>
    <w:p w:rsidR="00EE5EAD" w:rsidRPr="008E36D5" w:rsidRDefault="00EE5EAD" w:rsidP="008E36D5">
      <w:pPr>
        <w:jc w:val="both"/>
        <w:rPr>
          <w:rFonts w:asciiTheme="minorHAnsi" w:hAnsiTheme="minorHAnsi"/>
          <w:lang w:val="fr-BE"/>
        </w:rPr>
      </w:pPr>
    </w:p>
    <w:sectPr w:rsidR="00EE5EAD" w:rsidRPr="008E36D5" w:rsidSect="00930DFD">
      <w:headerReference w:type="default" r:id="rId18"/>
      <w:footerReference w:type="default" r:id="rId19"/>
      <w:pgSz w:w="11900" w:h="16840"/>
      <w:pgMar w:top="-426" w:right="985" w:bottom="1843" w:left="1134" w:header="6552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194" w:rsidRDefault="00307194" w:rsidP="004E157F">
      <w:r>
        <w:separator/>
      </w:r>
    </w:p>
  </w:endnote>
  <w:endnote w:type="continuationSeparator" w:id="0">
    <w:p w:rsidR="00307194" w:rsidRDefault="00307194" w:rsidP="004E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Gotham Rounded Book">
    <w:altName w:val="Arial"/>
    <w:panose1 w:val="00000000000000000000"/>
    <w:charset w:val="00"/>
    <w:family w:val="modern"/>
    <w:notTrueType/>
    <w:pitch w:val="variable"/>
    <w:sig w:usb0="00000001" w:usb1="4000004A" w:usb2="00000000" w:usb3="00000000" w:csb0="0000000B" w:csb1="00000000"/>
  </w:font>
  <w:font w:name="Gotham Rounded Medium">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157" w:rsidRPr="004E157F" w:rsidRDefault="002A2C39" w:rsidP="00351057">
    <w:pPr>
      <w:pStyle w:val="Pieddepage"/>
      <w:tabs>
        <w:tab w:val="clear" w:pos="9406"/>
        <w:tab w:val="right" w:pos="9923"/>
      </w:tabs>
      <w:ind w:left="-1134" w:right="-1417"/>
      <w:rPr>
        <w:rFonts w:ascii="Lucida Bright" w:hAnsi="Lucida Bright"/>
        <w:sz w:val="14"/>
        <w:szCs w:val="14"/>
      </w:rPr>
    </w:pPr>
    <w:r>
      <w:rPr>
        <w:rFonts w:ascii="Lucida Bright" w:hAnsi="Lucida Bright"/>
        <w:noProof/>
      </w:rPr>
      <mc:AlternateContent>
        <mc:Choice Requires="wps">
          <w:drawing>
            <wp:anchor distT="0" distB="0" distL="114300" distR="114300" simplePos="0" relativeHeight="251661312" behindDoc="0" locked="0" layoutInCell="1" allowOverlap="1" wp14:anchorId="60773DFD" wp14:editId="59920A58">
              <wp:simplePos x="0" y="0"/>
              <wp:positionH relativeFrom="column">
                <wp:posOffset>-289560</wp:posOffset>
              </wp:positionH>
              <wp:positionV relativeFrom="paragraph">
                <wp:posOffset>433705</wp:posOffset>
              </wp:positionV>
              <wp:extent cx="4263390" cy="1009650"/>
              <wp:effectExtent l="0" t="0" r="0" b="0"/>
              <wp:wrapTight wrapText="bothSides">
                <wp:wrapPolygon edited="0">
                  <wp:start x="193" y="1223"/>
                  <wp:lineTo x="193" y="20377"/>
                  <wp:lineTo x="21233" y="20377"/>
                  <wp:lineTo x="21233" y="1223"/>
                  <wp:lineTo x="193" y="1223"/>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A2C39" w:rsidRPr="00751D1D" w:rsidRDefault="002A2C39" w:rsidP="002A2C39">
                          <w:pPr>
                            <w:spacing w:line="360" w:lineRule="auto"/>
                            <w:rPr>
                              <w:rFonts w:ascii="Gotham Rounded Medium" w:hAnsi="Gotham Rounded Medium"/>
                              <w:sz w:val="18"/>
                              <w:szCs w:val="18"/>
                            </w:rPr>
                          </w:pPr>
                          <w:r w:rsidRPr="00751D1D">
                            <w:rPr>
                              <w:rFonts w:ascii="Gotham Rounded Medium" w:hAnsi="Gotham Rounded Medium"/>
                              <w:sz w:val="18"/>
                              <w:szCs w:val="18"/>
                            </w:rPr>
                            <w:t xml:space="preserve">Agence wallonne à l’Exportation et aux Investissements étrangers </w:t>
                          </w:r>
                        </w:p>
                        <w:p w:rsidR="006E7A99" w:rsidRDefault="006E7A99" w:rsidP="006E7A99">
                          <w:pPr>
                            <w:spacing w:line="360" w:lineRule="auto"/>
                            <w:rPr>
                              <w:rFonts w:ascii="Gotham Rounded Medium" w:hAnsi="Gotham Rounded Medium"/>
                              <w:sz w:val="18"/>
                              <w:szCs w:val="18"/>
                              <w:lang w:val="fr-BE"/>
                            </w:rPr>
                          </w:pPr>
                          <w:r w:rsidRPr="00FB7148">
                            <w:rPr>
                              <w:rFonts w:ascii="Gotham Rounded Medium" w:hAnsi="Gotham Rounded Medium"/>
                              <w:sz w:val="18"/>
                              <w:szCs w:val="18"/>
                              <w:lang w:val="fr-BE"/>
                            </w:rPr>
                            <w:t>Wallonia Export-Investment Agency</w:t>
                          </w:r>
                        </w:p>
                        <w:p w:rsidR="002A2C39" w:rsidRPr="00115900" w:rsidRDefault="00AB11E0" w:rsidP="002A2C39">
                          <w:pPr>
                            <w:rPr>
                              <w:rFonts w:ascii="Gotham Rounded Book" w:hAnsi="Gotham Rounded Book"/>
                              <w:color w:val="7F7F7F" w:themeColor="text1" w:themeTint="80"/>
                              <w:sz w:val="14"/>
                              <w:szCs w:val="14"/>
                              <w:lang w:val="en-US"/>
                            </w:rPr>
                          </w:pPr>
                          <w:r>
                            <w:rPr>
                              <w:rFonts w:ascii="Gotham Rounded Book" w:hAnsi="Gotham Rounded Book"/>
                              <w:color w:val="7F7F7F" w:themeColor="text1" w:themeTint="80"/>
                              <w:sz w:val="14"/>
                              <w:szCs w:val="14"/>
                              <w:lang w:val="en-US"/>
                            </w:rPr>
                            <w:t>Str. Stirbei Voda 26-28 et. 3 Bucarest/ROUMANIE</w:t>
                          </w:r>
                        </w:p>
                        <w:p w:rsidR="002A2C39" w:rsidRPr="00B10528" w:rsidRDefault="004B432E" w:rsidP="002A2C39">
                          <w:pPr>
                            <w:spacing w:line="360" w:lineRule="auto"/>
                            <w:rPr>
                              <w:rFonts w:ascii="Gotham Rounded Book" w:hAnsi="Gotham Rounded Book"/>
                              <w:color w:val="7F7F7F" w:themeColor="text1" w:themeTint="80"/>
                              <w:sz w:val="14"/>
                              <w:szCs w:val="14"/>
                              <w:lang w:val="en-US"/>
                            </w:rPr>
                          </w:pPr>
                          <w:r w:rsidRPr="00B10528">
                            <w:rPr>
                              <w:rFonts w:ascii="Gotham Rounded Book" w:hAnsi="Gotham Rounded Book"/>
                              <w:color w:val="7F7F7F" w:themeColor="text1" w:themeTint="80"/>
                              <w:sz w:val="14"/>
                              <w:szCs w:val="14"/>
                              <w:lang w:val="en-US"/>
                            </w:rPr>
                            <w:t>(T) +</w:t>
                          </w:r>
                          <w:r w:rsidR="00AB11E0">
                            <w:rPr>
                              <w:rFonts w:ascii="Gotham Rounded Book" w:hAnsi="Gotham Rounded Book"/>
                              <w:color w:val="7F7F7F" w:themeColor="text1" w:themeTint="80"/>
                              <w:sz w:val="14"/>
                              <w:szCs w:val="14"/>
                              <w:lang w:val="en-US"/>
                            </w:rPr>
                            <w:t>40 21 314 05 77/88</w:t>
                          </w:r>
                          <w:r w:rsidRPr="00B10528">
                            <w:rPr>
                              <w:rFonts w:ascii="Gotham Rounded Book" w:hAnsi="Gotham Rounded Book"/>
                              <w:color w:val="7F7F7F" w:themeColor="text1" w:themeTint="80"/>
                              <w:sz w:val="14"/>
                              <w:szCs w:val="14"/>
                              <w:lang w:val="en-US"/>
                            </w:rPr>
                            <w:t xml:space="preserve"> / (F) +</w:t>
                          </w:r>
                          <w:r w:rsidR="00AB11E0">
                            <w:rPr>
                              <w:rFonts w:ascii="Gotham Rounded Book" w:hAnsi="Gotham Rounded Book"/>
                              <w:color w:val="7F7F7F" w:themeColor="text1" w:themeTint="80"/>
                              <w:sz w:val="14"/>
                              <w:szCs w:val="14"/>
                              <w:lang w:val="en-US"/>
                            </w:rPr>
                            <w:t>40 21 314 05 69</w:t>
                          </w:r>
                          <w:r w:rsidRPr="00B10528">
                            <w:rPr>
                              <w:rFonts w:ascii="Gotham Rounded Book" w:hAnsi="Gotham Rounded Book"/>
                              <w:color w:val="7F7F7F" w:themeColor="text1" w:themeTint="80"/>
                              <w:sz w:val="14"/>
                              <w:szCs w:val="14"/>
                              <w:lang w:val="en-US"/>
                            </w:rPr>
                            <w:t xml:space="preserve"> / </w:t>
                          </w:r>
                          <w:hyperlink r:id="rId1" w:history="1">
                            <w:r w:rsidR="00AB11E0" w:rsidRPr="00036FBF">
                              <w:rPr>
                                <w:rStyle w:val="Lienhypertexte"/>
                                <w:rFonts w:ascii="Gotham Rounded Book" w:hAnsi="Gotham Rounded Book"/>
                                <w:sz w:val="14"/>
                                <w:szCs w:val="14"/>
                                <w:lang w:val="en-US"/>
                              </w:rPr>
                              <w:t>bucarest@awex-wallonia.com</w:t>
                            </w:r>
                          </w:hyperlink>
                          <w:r w:rsidR="00AB11E0">
                            <w:rPr>
                              <w:rFonts w:ascii="Gotham Rounded Book" w:hAnsi="Gotham Rounded Book"/>
                              <w:color w:val="7F7F7F" w:themeColor="text1" w:themeTint="80"/>
                              <w:sz w:val="14"/>
                              <w:szCs w:val="14"/>
                              <w:lang w:val="en-US"/>
                            </w:rPr>
                            <w:t xml:space="preserve"> </w:t>
                          </w:r>
                        </w:p>
                        <w:p w:rsidR="002A2C39" w:rsidRPr="006F2B5C" w:rsidRDefault="00307194" w:rsidP="002A2C39">
                          <w:pPr>
                            <w:rPr>
                              <w:rFonts w:ascii="Gotham Rounded Medium" w:hAnsi="Gotham Rounded Medium"/>
                              <w:sz w:val="14"/>
                              <w:szCs w:val="14"/>
                              <w:lang w:val="en-US"/>
                            </w:rPr>
                          </w:pPr>
                          <w:hyperlink r:id="rId2" w:history="1">
                            <w:r w:rsidR="003774A5" w:rsidRPr="00B372B5">
                              <w:rPr>
                                <w:rStyle w:val="Lienhypertexte"/>
                                <w:rFonts w:ascii="Gotham Rounded Medium" w:hAnsi="Gotham Rounded Medium"/>
                                <w:sz w:val="14"/>
                                <w:szCs w:val="14"/>
                                <w:lang w:val="en-US"/>
                              </w:rPr>
                              <w:t>www.wallonia.be</w:t>
                            </w:r>
                          </w:hyperlink>
                          <w:r w:rsidR="006F2B5C" w:rsidRPr="006F2B5C">
                            <w:rPr>
                              <w:rFonts w:ascii="Gotham Rounded Medium" w:hAnsi="Gotham Rounded Medium"/>
                              <w:sz w:val="14"/>
                              <w:szCs w:val="14"/>
                              <w:lang w:val="en-US"/>
                            </w:rPr>
                            <w:t xml:space="preserve">   </w:t>
                          </w:r>
                          <w:r w:rsidR="003774A5">
                            <w:rPr>
                              <w:rFonts w:ascii="Gotham Rounded Medium" w:hAnsi="Gotham Rounded Medium"/>
                              <w:sz w:val="14"/>
                              <w:szCs w:val="14"/>
                              <w:lang w:val="en-US"/>
                            </w:rPr>
                            <w:t xml:space="preserve"> </w:t>
                          </w:r>
                          <w:hyperlink r:id="rId3" w:history="1">
                            <w:r w:rsidR="003774A5" w:rsidRPr="00B372B5">
                              <w:rPr>
                                <w:rStyle w:val="Lienhypertexte"/>
                                <w:rFonts w:ascii="Gotham Rounded Medium" w:hAnsi="Gotham Rounded Medium"/>
                                <w:sz w:val="14"/>
                                <w:szCs w:val="14"/>
                                <w:lang w:val="en-US"/>
                              </w:rPr>
                              <w:t>http://www.awex-export.be</w:t>
                            </w:r>
                          </w:hyperlink>
                          <w:r w:rsidR="003774A5">
                            <w:rPr>
                              <w:rFonts w:ascii="Gotham Rounded Medium" w:hAnsi="Gotham Rounded Medium"/>
                              <w:sz w:val="14"/>
                              <w:szCs w:val="14"/>
                              <w:lang w:val="en-US"/>
                            </w:rPr>
                            <w:t xml:space="preserve">      </w:t>
                          </w:r>
                          <w:hyperlink r:id="rId4" w:history="1">
                            <w:r w:rsidR="003774A5" w:rsidRPr="00B372B5">
                              <w:rPr>
                                <w:rStyle w:val="Lienhypertexte"/>
                                <w:rFonts w:ascii="Gotham Rounded Medium" w:hAnsi="Gotham Rounded Medium"/>
                                <w:sz w:val="14"/>
                                <w:szCs w:val="14"/>
                                <w:lang w:val="en-US"/>
                              </w:rPr>
                              <w:t>www.investinwallonia.be</w:t>
                            </w:r>
                          </w:hyperlink>
                          <w:r w:rsidR="003774A5">
                            <w:rPr>
                              <w:rFonts w:ascii="Gotham Rounded Medium" w:hAnsi="Gotham Rounded Medium"/>
                              <w:sz w:val="14"/>
                              <w:szCs w:val="14"/>
                              <w:lang w:val="en-U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73DFD" id="_x0000_t202" coordsize="21600,21600" o:spt="202" path="m,l,21600r21600,l21600,xe">
              <v:stroke joinstyle="miter"/>
              <v:path gradientshapeok="t" o:connecttype="rect"/>
            </v:shapetype>
            <v:shape id="Text Box 2" o:spid="_x0000_s1026" type="#_x0000_t202" style="position:absolute;left:0;text-align:left;margin-left:-22.8pt;margin-top:34.15pt;width:335.7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" filled="f" stroked="f">
              <v:textbox inset=",7.2pt,,7.2pt">
                <w:txbxContent>
                  <w:p w:rsidR="002A2C39" w:rsidRPr="00751D1D" w:rsidRDefault="002A2C39" w:rsidP="002A2C39">
                    <w:pPr>
                      <w:spacing w:line="360" w:lineRule="auto"/>
                      <w:rPr>
                        <w:rFonts w:ascii="Gotham Rounded Medium" w:hAnsi="Gotham Rounded Medium"/>
                        <w:sz w:val="18"/>
                        <w:szCs w:val="18"/>
                      </w:rPr>
                    </w:pPr>
                    <w:r w:rsidRPr="00751D1D">
                      <w:rPr>
                        <w:rFonts w:ascii="Gotham Rounded Medium" w:hAnsi="Gotham Rounded Medium"/>
                        <w:sz w:val="18"/>
                        <w:szCs w:val="18"/>
                      </w:rPr>
                      <w:t xml:space="preserve">Agence wallonne à l’Exportation et aux Investissements étrangers </w:t>
                    </w:r>
                  </w:p>
                  <w:p w:rsidR="006E7A99" w:rsidRDefault="006E7A99" w:rsidP="006E7A99">
                    <w:pPr>
                      <w:spacing w:line="360" w:lineRule="auto"/>
                      <w:rPr>
                        <w:rFonts w:ascii="Gotham Rounded Medium" w:hAnsi="Gotham Rounded Medium"/>
                        <w:sz w:val="18"/>
                        <w:szCs w:val="18"/>
                        <w:lang w:val="fr-BE"/>
                      </w:rPr>
                    </w:pPr>
                    <w:r w:rsidRPr="00FB7148">
                      <w:rPr>
                        <w:rFonts w:ascii="Gotham Rounded Medium" w:hAnsi="Gotham Rounded Medium"/>
                        <w:sz w:val="18"/>
                        <w:szCs w:val="18"/>
                        <w:lang w:val="fr-BE"/>
                      </w:rPr>
                      <w:t>Wallonia Export-Investment Agency</w:t>
                    </w:r>
                  </w:p>
                  <w:p w:rsidR="002A2C39" w:rsidRPr="00115900" w:rsidRDefault="00AB11E0" w:rsidP="002A2C39">
                    <w:pPr>
                      <w:rPr>
                        <w:rFonts w:ascii="Gotham Rounded Book" w:hAnsi="Gotham Rounded Book"/>
                        <w:color w:val="7F7F7F" w:themeColor="text1" w:themeTint="80"/>
                        <w:sz w:val="14"/>
                        <w:szCs w:val="14"/>
                        <w:lang w:val="en-US"/>
                      </w:rPr>
                    </w:pPr>
                    <w:r>
                      <w:rPr>
                        <w:rFonts w:ascii="Gotham Rounded Book" w:hAnsi="Gotham Rounded Book"/>
                        <w:color w:val="7F7F7F" w:themeColor="text1" w:themeTint="80"/>
                        <w:sz w:val="14"/>
                        <w:szCs w:val="14"/>
                        <w:lang w:val="en-US"/>
                      </w:rPr>
                      <w:t>Str. Stirbei Voda 26-28 et. 3 Bucarest/ROUMANIE</w:t>
                    </w:r>
                  </w:p>
                  <w:p w:rsidR="002A2C39" w:rsidRPr="00B10528" w:rsidRDefault="004B432E" w:rsidP="002A2C39">
                    <w:pPr>
                      <w:spacing w:line="360" w:lineRule="auto"/>
                      <w:rPr>
                        <w:rFonts w:ascii="Gotham Rounded Book" w:hAnsi="Gotham Rounded Book"/>
                        <w:color w:val="7F7F7F" w:themeColor="text1" w:themeTint="80"/>
                        <w:sz w:val="14"/>
                        <w:szCs w:val="14"/>
                        <w:lang w:val="en-US"/>
                      </w:rPr>
                    </w:pPr>
                    <w:r w:rsidRPr="00B10528">
                      <w:rPr>
                        <w:rFonts w:ascii="Gotham Rounded Book" w:hAnsi="Gotham Rounded Book"/>
                        <w:color w:val="7F7F7F" w:themeColor="text1" w:themeTint="80"/>
                        <w:sz w:val="14"/>
                        <w:szCs w:val="14"/>
                        <w:lang w:val="en-US"/>
                      </w:rPr>
                      <w:t>(T) +</w:t>
                    </w:r>
                    <w:r w:rsidR="00AB11E0">
                      <w:rPr>
                        <w:rFonts w:ascii="Gotham Rounded Book" w:hAnsi="Gotham Rounded Book"/>
                        <w:color w:val="7F7F7F" w:themeColor="text1" w:themeTint="80"/>
                        <w:sz w:val="14"/>
                        <w:szCs w:val="14"/>
                        <w:lang w:val="en-US"/>
                      </w:rPr>
                      <w:t>40 21 314 05 77/88</w:t>
                    </w:r>
                    <w:r w:rsidRPr="00B10528">
                      <w:rPr>
                        <w:rFonts w:ascii="Gotham Rounded Book" w:hAnsi="Gotham Rounded Book"/>
                        <w:color w:val="7F7F7F" w:themeColor="text1" w:themeTint="80"/>
                        <w:sz w:val="14"/>
                        <w:szCs w:val="14"/>
                        <w:lang w:val="en-US"/>
                      </w:rPr>
                      <w:t xml:space="preserve"> / (F) +</w:t>
                    </w:r>
                    <w:r w:rsidR="00AB11E0">
                      <w:rPr>
                        <w:rFonts w:ascii="Gotham Rounded Book" w:hAnsi="Gotham Rounded Book"/>
                        <w:color w:val="7F7F7F" w:themeColor="text1" w:themeTint="80"/>
                        <w:sz w:val="14"/>
                        <w:szCs w:val="14"/>
                        <w:lang w:val="en-US"/>
                      </w:rPr>
                      <w:t>40 21 314 05 69</w:t>
                    </w:r>
                    <w:r w:rsidRPr="00B10528">
                      <w:rPr>
                        <w:rFonts w:ascii="Gotham Rounded Book" w:hAnsi="Gotham Rounded Book"/>
                        <w:color w:val="7F7F7F" w:themeColor="text1" w:themeTint="80"/>
                        <w:sz w:val="14"/>
                        <w:szCs w:val="14"/>
                        <w:lang w:val="en-US"/>
                      </w:rPr>
                      <w:t xml:space="preserve"> / </w:t>
                    </w:r>
                    <w:hyperlink r:id="rId5" w:history="1">
                      <w:r w:rsidR="00AB11E0" w:rsidRPr="00036FBF">
                        <w:rPr>
                          <w:rStyle w:val="Lienhypertexte"/>
                          <w:rFonts w:ascii="Gotham Rounded Book" w:hAnsi="Gotham Rounded Book"/>
                          <w:sz w:val="14"/>
                          <w:szCs w:val="14"/>
                          <w:lang w:val="en-US"/>
                        </w:rPr>
                        <w:t>bucarest@awex-wallonia.com</w:t>
                      </w:r>
                    </w:hyperlink>
                    <w:r w:rsidR="00AB11E0">
                      <w:rPr>
                        <w:rFonts w:ascii="Gotham Rounded Book" w:hAnsi="Gotham Rounded Book"/>
                        <w:color w:val="7F7F7F" w:themeColor="text1" w:themeTint="80"/>
                        <w:sz w:val="14"/>
                        <w:szCs w:val="14"/>
                        <w:lang w:val="en-US"/>
                      </w:rPr>
                      <w:t xml:space="preserve"> </w:t>
                    </w:r>
                  </w:p>
                  <w:p w:rsidR="002A2C39" w:rsidRPr="006F2B5C" w:rsidRDefault="00307194" w:rsidP="002A2C39">
                    <w:pPr>
                      <w:rPr>
                        <w:rFonts w:ascii="Gotham Rounded Medium" w:hAnsi="Gotham Rounded Medium"/>
                        <w:sz w:val="14"/>
                        <w:szCs w:val="14"/>
                        <w:lang w:val="en-US"/>
                      </w:rPr>
                    </w:pPr>
                    <w:hyperlink r:id="rId6" w:history="1">
                      <w:r w:rsidR="003774A5" w:rsidRPr="00B372B5">
                        <w:rPr>
                          <w:rStyle w:val="Lienhypertexte"/>
                          <w:rFonts w:ascii="Gotham Rounded Medium" w:hAnsi="Gotham Rounded Medium"/>
                          <w:sz w:val="14"/>
                          <w:szCs w:val="14"/>
                          <w:lang w:val="en-US"/>
                        </w:rPr>
                        <w:t>www.wallonia.be</w:t>
                      </w:r>
                    </w:hyperlink>
                    <w:r w:rsidR="006F2B5C" w:rsidRPr="006F2B5C">
                      <w:rPr>
                        <w:rFonts w:ascii="Gotham Rounded Medium" w:hAnsi="Gotham Rounded Medium"/>
                        <w:sz w:val="14"/>
                        <w:szCs w:val="14"/>
                        <w:lang w:val="en-US"/>
                      </w:rPr>
                      <w:t xml:space="preserve">   </w:t>
                    </w:r>
                    <w:r w:rsidR="003774A5">
                      <w:rPr>
                        <w:rFonts w:ascii="Gotham Rounded Medium" w:hAnsi="Gotham Rounded Medium"/>
                        <w:sz w:val="14"/>
                        <w:szCs w:val="14"/>
                        <w:lang w:val="en-US"/>
                      </w:rPr>
                      <w:t xml:space="preserve"> </w:t>
                    </w:r>
                    <w:hyperlink r:id="rId7" w:history="1">
                      <w:r w:rsidR="003774A5" w:rsidRPr="00B372B5">
                        <w:rPr>
                          <w:rStyle w:val="Lienhypertexte"/>
                          <w:rFonts w:ascii="Gotham Rounded Medium" w:hAnsi="Gotham Rounded Medium"/>
                          <w:sz w:val="14"/>
                          <w:szCs w:val="14"/>
                          <w:lang w:val="en-US"/>
                        </w:rPr>
                        <w:t>http://www.awex-export.be</w:t>
                      </w:r>
                    </w:hyperlink>
                    <w:r w:rsidR="003774A5">
                      <w:rPr>
                        <w:rFonts w:ascii="Gotham Rounded Medium" w:hAnsi="Gotham Rounded Medium"/>
                        <w:sz w:val="14"/>
                        <w:szCs w:val="14"/>
                        <w:lang w:val="en-US"/>
                      </w:rPr>
                      <w:t xml:space="preserve">      </w:t>
                    </w:r>
                    <w:hyperlink r:id="rId8" w:history="1">
                      <w:r w:rsidR="003774A5" w:rsidRPr="00B372B5">
                        <w:rPr>
                          <w:rStyle w:val="Lienhypertexte"/>
                          <w:rFonts w:ascii="Gotham Rounded Medium" w:hAnsi="Gotham Rounded Medium"/>
                          <w:sz w:val="14"/>
                          <w:szCs w:val="14"/>
                          <w:lang w:val="en-US"/>
                        </w:rPr>
                        <w:t>www.investinwallonia.be</w:t>
                      </w:r>
                    </w:hyperlink>
                    <w:r w:rsidR="003774A5">
                      <w:rPr>
                        <w:rFonts w:ascii="Gotham Rounded Medium" w:hAnsi="Gotham Rounded Medium"/>
                        <w:sz w:val="14"/>
                        <w:szCs w:val="14"/>
                        <w:lang w:val="en-US"/>
                      </w:rPr>
                      <w:t xml:space="preserve"> </w:t>
                    </w:r>
                  </w:p>
                </w:txbxContent>
              </v:textbox>
              <w10:wrap type="tight"/>
            </v:shape>
          </w:pict>
        </mc:Fallback>
      </mc:AlternateContent>
    </w:r>
    <w:r w:rsidR="007B34F0">
      <w:rPr>
        <w:rFonts w:ascii="Lucida Bright" w:hAnsi="Lucida Bright"/>
        <w:noProof/>
        <w:sz w:val="14"/>
        <w:szCs w:val="14"/>
      </w:rPr>
      <mc:AlternateContent>
        <mc:Choice Requires="wps">
          <w:drawing>
            <wp:anchor distT="0" distB="0" distL="114300" distR="114300" simplePos="0" relativeHeight="251659264" behindDoc="0" locked="0" layoutInCell="1" allowOverlap="1" wp14:anchorId="52A3C056" wp14:editId="6F16926F">
              <wp:simplePos x="0" y="0"/>
              <wp:positionH relativeFrom="column">
                <wp:posOffset>-228600</wp:posOffset>
              </wp:positionH>
              <wp:positionV relativeFrom="paragraph">
                <wp:posOffset>264160</wp:posOffset>
              </wp:positionV>
              <wp:extent cx="5943600" cy="0"/>
              <wp:effectExtent l="0" t="0" r="25400" b="25400"/>
              <wp:wrapNone/>
              <wp:docPr id="1" name="Connecteur droit 1"/>
              <wp:cNvGraphicFramePr/>
              <a:graphic xmlns:a="http://schemas.openxmlformats.org/drawingml/2006/main">
                <a:graphicData uri="http://schemas.microsoft.com/office/word/2010/wordprocessingShape">
                  <wps:wsp>
                    <wps:cNvCnPr/>
                    <wps:spPr>
                      <a:xfrm>
                        <a:off x="0" y="0"/>
                        <a:ext cx="5943600" cy="0"/>
                      </a:xfrm>
                      <a:prstGeom prst="line">
                        <a:avLst/>
                      </a:prstGeom>
                      <a:ln w="9525" cmpd="sng">
                        <a:solidFill>
                          <a:schemeClr val="tx2">
                            <a:lumMod val="40000"/>
                            <a:lumOff val="6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4E78B6"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0.8pt" to="450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" strokecolor="#8db3e2 [1311]"/>
          </w:pict>
        </mc:Fallback>
      </mc:AlternateContent>
    </w:r>
    <w:r w:rsidRPr="002A2C39">
      <w:rPr>
        <w:rFonts w:ascii="Lucida Bright" w:hAnsi="Lucida Bright"/>
        <w:noProof/>
        <w:lang w:val="fr-BE" w:eastAsia="fr-BE"/>
      </w:rPr>
      <w:t xml:space="preserve"> </w:t>
    </w:r>
    <w:r>
      <w:rPr>
        <w:rFonts w:ascii="Lucida Bright" w:hAnsi="Lucida Bright"/>
        <w:noProof/>
        <w:sz w:val="14"/>
        <w:szCs w:val="14"/>
        <w:lang w:val="fr-BE" w:eastAsia="fr-BE"/>
      </w:rPr>
      <w:t xml:space="preserve"> </w:t>
    </w:r>
    <w:r w:rsidR="00893157">
      <w:rPr>
        <w:rFonts w:ascii="Lucida Bright" w:hAnsi="Lucida Bright"/>
        <w:noProof/>
        <w:sz w:val="14"/>
        <w:szCs w:val="14"/>
      </w:rPr>
      <w:drawing>
        <wp:inline distT="0" distB="0" distL="0" distR="0" wp14:anchorId="4FFC9B71" wp14:editId="28E42647">
          <wp:extent cx="7579224" cy="1987158"/>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_ENTETE_AWEX_V24102013.jpg"/>
                  <pic:cNvPicPr/>
                </pic:nvPicPr>
                <pic:blipFill>
                  <a:blip r:embed="rId9">
                    <a:extLst>
                      <a:ext uri="{28A0092B-C50C-407E-A947-70E740481C1C}">
                        <a14:useLocalDpi xmlns:a14="http://schemas.microsoft.com/office/drawing/2010/main" val="0"/>
                      </a:ext>
                    </a:extLst>
                  </a:blip>
                  <a:stretch>
                    <a:fillRect/>
                  </a:stretch>
                </pic:blipFill>
                <pic:spPr>
                  <a:xfrm>
                    <a:off x="0" y="0"/>
                    <a:ext cx="7579224" cy="1987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194" w:rsidRDefault="00307194" w:rsidP="004E157F">
      <w:r>
        <w:separator/>
      </w:r>
    </w:p>
  </w:footnote>
  <w:footnote w:type="continuationSeparator" w:id="0">
    <w:p w:rsidR="00307194" w:rsidRDefault="00307194" w:rsidP="004E157F">
      <w:r>
        <w:continuationSeparator/>
      </w:r>
    </w:p>
  </w:footnote>
  <w:footnote w:id="1">
    <w:p w:rsidR="0094401D" w:rsidRPr="00EC6A09" w:rsidRDefault="0094401D" w:rsidP="0094401D">
      <w:pPr>
        <w:pStyle w:val="Notedebasdepage"/>
        <w:rPr>
          <w:lang w:val="en-US"/>
        </w:rPr>
      </w:pPr>
      <w:r>
        <w:rPr>
          <w:rStyle w:val="Appelnotedebasdep"/>
        </w:rPr>
        <w:footnoteRef/>
      </w:r>
      <w:r>
        <w:t xml:space="preserve"> </w:t>
      </w:r>
      <w:r>
        <w:rPr>
          <w:lang w:val="en-US"/>
        </w:rPr>
        <w:t>Rapport ANRE</w:t>
      </w:r>
    </w:p>
  </w:footnote>
  <w:footnote w:id="2">
    <w:p w:rsidR="007E12D1" w:rsidRPr="00930DFD" w:rsidRDefault="007E12D1">
      <w:pPr>
        <w:pStyle w:val="Notedebasdepage"/>
      </w:pPr>
      <w:r>
        <w:rPr>
          <w:rStyle w:val="Appelnotedebasdep"/>
        </w:rPr>
        <w:footnoteRef/>
      </w:r>
      <w:r w:rsidR="00930DFD">
        <w:t xml:space="preserve"> </w:t>
      </w:r>
      <w:hyperlink r:id="rId1" w:history="1">
        <w:r w:rsidRPr="00DC6F54">
          <w:rPr>
            <w:rStyle w:val="Lienhypertexte"/>
          </w:rPr>
          <w:t>http://ec.europa.eu/regional_policy/en/atlas/programmes/2014-2020/romania/2014ro16m1op001</w:t>
        </w:r>
      </w:hyperlink>
      <w:r>
        <w:t xml:space="preserve"> </w:t>
      </w:r>
    </w:p>
  </w:footnote>
  <w:footnote w:id="3">
    <w:p w:rsidR="00E0213D" w:rsidRPr="00E0213D" w:rsidRDefault="00E0213D">
      <w:pPr>
        <w:pStyle w:val="Notedebasdepage"/>
        <w:rPr>
          <w:lang w:val="en-US"/>
        </w:rPr>
      </w:pPr>
      <w:r>
        <w:rPr>
          <w:rStyle w:val="Appelnotedebasdep"/>
        </w:rPr>
        <w:footnoteRef/>
      </w:r>
      <w:r>
        <w:t xml:space="preserve"> </w:t>
      </w:r>
      <w:hyperlink r:id="rId2" w:history="1">
        <w:r w:rsidRPr="00731409">
          <w:rPr>
            <w:rStyle w:val="Lienhypertexte"/>
          </w:rPr>
          <w:t>https://ec.europa.eu/clima/policies/strategies/2030_fr</w:t>
        </w:r>
      </w:hyperlink>
      <w:r>
        <w:t xml:space="preserve"> </w:t>
      </w:r>
    </w:p>
  </w:footnote>
  <w:footnote w:id="4">
    <w:p w:rsidR="006B4399" w:rsidRPr="000939FA" w:rsidRDefault="006B4399" w:rsidP="006B4399">
      <w:pPr>
        <w:pStyle w:val="Notedebasdepage"/>
        <w:rPr>
          <w:lang w:val="en-US"/>
        </w:rPr>
      </w:pPr>
      <w:r>
        <w:rPr>
          <w:rStyle w:val="Appelnotedebasdep"/>
        </w:rPr>
        <w:footnoteRef/>
      </w:r>
      <w:r>
        <w:t xml:space="preserve"> </w:t>
      </w:r>
      <w:r>
        <w:rPr>
          <w:lang w:val="en-US"/>
        </w:rPr>
        <w:t>Rapport ANRE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33"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9677"/>
    </w:tblGrid>
    <w:tr w:rsidR="00893157" w:rsidRPr="00351057" w:rsidTr="00351057">
      <w:trPr>
        <w:trHeight w:val="97"/>
      </w:trPr>
      <w:tc>
        <w:tcPr>
          <w:tcW w:w="9270" w:type="dxa"/>
          <w:shd w:val="clear" w:color="auto" w:fill="8DB3E2"/>
        </w:tcPr>
        <w:p w:rsidR="00893157" w:rsidRPr="00351057" w:rsidRDefault="00893157" w:rsidP="00351057">
          <w:pPr>
            <w:jc w:val="right"/>
            <w:rPr>
              <w:color w:val="365F91"/>
              <w:sz w:val="22"/>
              <w:szCs w:val="22"/>
              <w:lang w:val="en-GB"/>
            </w:rPr>
          </w:pPr>
          <w:r w:rsidRPr="00351057">
            <w:rPr>
              <w:rFonts w:ascii="Calibri" w:hAnsi="Calibri"/>
              <w:b/>
              <w:color w:val="FFFFFF"/>
              <w:sz w:val="22"/>
              <w:szCs w:val="22"/>
              <w:lang w:val="en-GB"/>
            </w:rPr>
            <w:fldChar w:fldCharType="begin"/>
          </w:r>
          <w:r>
            <w:rPr>
              <w:rFonts w:ascii="Calibri" w:hAnsi="Calibri"/>
              <w:b/>
              <w:color w:val="FFFFFF"/>
              <w:lang w:val="en-GB"/>
            </w:rPr>
            <w:instrText>PAGE</w:instrText>
          </w:r>
          <w:r w:rsidRPr="00351057">
            <w:rPr>
              <w:rFonts w:ascii="Calibri" w:hAnsi="Calibri"/>
              <w:b/>
              <w:color w:val="FFFFFF"/>
              <w:lang w:val="en-GB"/>
            </w:rPr>
            <w:instrText xml:space="preserve">   \* MERGEFORMAT</w:instrText>
          </w:r>
          <w:r w:rsidRPr="00351057">
            <w:rPr>
              <w:rFonts w:ascii="Calibri" w:hAnsi="Calibri"/>
              <w:b/>
              <w:color w:val="FFFFFF"/>
              <w:sz w:val="22"/>
              <w:szCs w:val="22"/>
              <w:lang w:val="en-GB"/>
            </w:rPr>
            <w:fldChar w:fldCharType="separate"/>
          </w:r>
          <w:r w:rsidR="00092606" w:rsidRPr="00092606">
            <w:rPr>
              <w:rFonts w:ascii="Calibri" w:hAnsi="Calibri"/>
              <w:b/>
              <w:noProof/>
              <w:color w:val="FFFFFF"/>
              <w:sz w:val="22"/>
              <w:szCs w:val="22"/>
              <w:lang w:val="en-GB"/>
            </w:rPr>
            <w:t>5</w:t>
          </w:r>
          <w:r w:rsidRPr="00351057">
            <w:rPr>
              <w:rFonts w:ascii="Calibri" w:hAnsi="Calibri"/>
              <w:b/>
              <w:color w:val="FFFFFF"/>
              <w:sz w:val="22"/>
              <w:szCs w:val="22"/>
              <w:lang w:val="en-GB"/>
            </w:rPr>
            <w:fldChar w:fldCharType="end"/>
          </w:r>
        </w:p>
      </w:tc>
    </w:tr>
  </w:tbl>
  <w:p w:rsidR="00893157" w:rsidRDefault="008931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1126E"/>
    <w:multiLevelType w:val="hybridMultilevel"/>
    <w:tmpl w:val="302A3852"/>
    <w:lvl w:ilvl="0" w:tplc="594871AC">
      <w:numFmt w:val="bullet"/>
      <w:lvlText w:val="-"/>
      <w:lvlJc w:val="left"/>
      <w:pPr>
        <w:ind w:left="720" w:hanging="36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A2177EA"/>
    <w:multiLevelType w:val="hybridMultilevel"/>
    <w:tmpl w:val="36C0E106"/>
    <w:lvl w:ilvl="0" w:tplc="AD9E06DA">
      <w:numFmt w:val="bullet"/>
      <w:lvlText w:val="-"/>
      <w:lvlJc w:val="left"/>
      <w:pPr>
        <w:ind w:left="720" w:hanging="36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16A46FC"/>
    <w:multiLevelType w:val="hybridMultilevel"/>
    <w:tmpl w:val="EA52E1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0"/>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BB"/>
    <w:rsid w:val="000016FF"/>
    <w:rsid w:val="000073F4"/>
    <w:rsid w:val="00045B60"/>
    <w:rsid w:val="00047F9A"/>
    <w:rsid w:val="00050B62"/>
    <w:rsid w:val="00076356"/>
    <w:rsid w:val="000775AE"/>
    <w:rsid w:val="000809F3"/>
    <w:rsid w:val="00092606"/>
    <w:rsid w:val="000939FA"/>
    <w:rsid w:val="00097C95"/>
    <w:rsid w:val="000A2EFA"/>
    <w:rsid w:val="000B0B3A"/>
    <w:rsid w:val="000B1729"/>
    <w:rsid w:val="000B368B"/>
    <w:rsid w:val="000B3847"/>
    <w:rsid w:val="000E6821"/>
    <w:rsid w:val="000E6F0E"/>
    <w:rsid w:val="000F05C8"/>
    <w:rsid w:val="000F0B0F"/>
    <w:rsid w:val="001079BA"/>
    <w:rsid w:val="00114872"/>
    <w:rsid w:val="00115259"/>
    <w:rsid w:val="00115900"/>
    <w:rsid w:val="00116A42"/>
    <w:rsid w:val="00125E6F"/>
    <w:rsid w:val="00126BB2"/>
    <w:rsid w:val="0013182E"/>
    <w:rsid w:val="001340EC"/>
    <w:rsid w:val="00152C92"/>
    <w:rsid w:val="00163CF0"/>
    <w:rsid w:val="00167A40"/>
    <w:rsid w:val="00180790"/>
    <w:rsid w:val="00180913"/>
    <w:rsid w:val="001913EC"/>
    <w:rsid w:val="001931A6"/>
    <w:rsid w:val="001A5F8F"/>
    <w:rsid w:val="001A600C"/>
    <w:rsid w:val="001B0C76"/>
    <w:rsid w:val="001C02DF"/>
    <w:rsid w:val="001D17D1"/>
    <w:rsid w:val="001D3C65"/>
    <w:rsid w:val="001D4FB4"/>
    <w:rsid w:val="001D5078"/>
    <w:rsid w:val="001E76FB"/>
    <w:rsid w:val="00247A50"/>
    <w:rsid w:val="00251EAD"/>
    <w:rsid w:val="00254A69"/>
    <w:rsid w:val="00262235"/>
    <w:rsid w:val="0026438C"/>
    <w:rsid w:val="002771E3"/>
    <w:rsid w:val="00277CB3"/>
    <w:rsid w:val="00294EBC"/>
    <w:rsid w:val="002A11F0"/>
    <w:rsid w:val="002A2C39"/>
    <w:rsid w:val="002D7E4D"/>
    <w:rsid w:val="002E30DF"/>
    <w:rsid w:val="002F2424"/>
    <w:rsid w:val="00302D2C"/>
    <w:rsid w:val="00302FF5"/>
    <w:rsid w:val="00304D63"/>
    <w:rsid w:val="00307194"/>
    <w:rsid w:val="00333F03"/>
    <w:rsid w:val="00335B50"/>
    <w:rsid w:val="0034233D"/>
    <w:rsid w:val="00351057"/>
    <w:rsid w:val="00351629"/>
    <w:rsid w:val="00360957"/>
    <w:rsid w:val="00365A31"/>
    <w:rsid w:val="003774A5"/>
    <w:rsid w:val="003778F3"/>
    <w:rsid w:val="003818A6"/>
    <w:rsid w:val="00391C39"/>
    <w:rsid w:val="003A596C"/>
    <w:rsid w:val="003B3E27"/>
    <w:rsid w:val="003C25DA"/>
    <w:rsid w:val="003C452A"/>
    <w:rsid w:val="003D6050"/>
    <w:rsid w:val="003E5242"/>
    <w:rsid w:val="003F0471"/>
    <w:rsid w:val="00405E2C"/>
    <w:rsid w:val="0041724E"/>
    <w:rsid w:val="00436989"/>
    <w:rsid w:val="0043764A"/>
    <w:rsid w:val="00486D28"/>
    <w:rsid w:val="004A6F95"/>
    <w:rsid w:val="004B3B78"/>
    <w:rsid w:val="004B432E"/>
    <w:rsid w:val="004C3FA5"/>
    <w:rsid w:val="004C5305"/>
    <w:rsid w:val="004C6A3C"/>
    <w:rsid w:val="004D476B"/>
    <w:rsid w:val="004E1273"/>
    <w:rsid w:val="004E157F"/>
    <w:rsid w:val="00503748"/>
    <w:rsid w:val="0051434E"/>
    <w:rsid w:val="005159C4"/>
    <w:rsid w:val="0053065A"/>
    <w:rsid w:val="00532C9E"/>
    <w:rsid w:val="005415ED"/>
    <w:rsid w:val="0055758A"/>
    <w:rsid w:val="005806DC"/>
    <w:rsid w:val="005B0BB7"/>
    <w:rsid w:val="005B59FB"/>
    <w:rsid w:val="005C008C"/>
    <w:rsid w:val="005D19C5"/>
    <w:rsid w:val="005D59AB"/>
    <w:rsid w:val="005E7DFF"/>
    <w:rsid w:val="005F1F6B"/>
    <w:rsid w:val="00605E42"/>
    <w:rsid w:val="0062018B"/>
    <w:rsid w:val="00620F82"/>
    <w:rsid w:val="00652B7B"/>
    <w:rsid w:val="006569A4"/>
    <w:rsid w:val="00665358"/>
    <w:rsid w:val="00686C3C"/>
    <w:rsid w:val="006B2358"/>
    <w:rsid w:val="006B4399"/>
    <w:rsid w:val="006B4679"/>
    <w:rsid w:val="006C2FC8"/>
    <w:rsid w:val="006C33B8"/>
    <w:rsid w:val="006C7098"/>
    <w:rsid w:val="006D46CA"/>
    <w:rsid w:val="006E7A99"/>
    <w:rsid w:val="006F0779"/>
    <w:rsid w:val="006F0B28"/>
    <w:rsid w:val="006F2B5C"/>
    <w:rsid w:val="006F3AAA"/>
    <w:rsid w:val="006F6B42"/>
    <w:rsid w:val="007103D1"/>
    <w:rsid w:val="00727649"/>
    <w:rsid w:val="007278F8"/>
    <w:rsid w:val="00743334"/>
    <w:rsid w:val="00751D1D"/>
    <w:rsid w:val="00772063"/>
    <w:rsid w:val="00786BC6"/>
    <w:rsid w:val="00787274"/>
    <w:rsid w:val="007A0578"/>
    <w:rsid w:val="007A2144"/>
    <w:rsid w:val="007A3E16"/>
    <w:rsid w:val="007A69E5"/>
    <w:rsid w:val="007A7CEC"/>
    <w:rsid w:val="007B252D"/>
    <w:rsid w:val="007B34F0"/>
    <w:rsid w:val="007C2399"/>
    <w:rsid w:val="007D33FB"/>
    <w:rsid w:val="007D583E"/>
    <w:rsid w:val="007E12D1"/>
    <w:rsid w:val="007E193E"/>
    <w:rsid w:val="007E2951"/>
    <w:rsid w:val="007E750E"/>
    <w:rsid w:val="007F5B80"/>
    <w:rsid w:val="008116B6"/>
    <w:rsid w:val="0081193B"/>
    <w:rsid w:val="00822E16"/>
    <w:rsid w:val="008504B9"/>
    <w:rsid w:val="00855E3D"/>
    <w:rsid w:val="00867A03"/>
    <w:rsid w:val="008809D2"/>
    <w:rsid w:val="00893157"/>
    <w:rsid w:val="0089603A"/>
    <w:rsid w:val="008A5763"/>
    <w:rsid w:val="008A78DF"/>
    <w:rsid w:val="008B5807"/>
    <w:rsid w:val="008C75F9"/>
    <w:rsid w:val="008D4ED3"/>
    <w:rsid w:val="008E36D5"/>
    <w:rsid w:val="008F22AF"/>
    <w:rsid w:val="008F4DB3"/>
    <w:rsid w:val="008F728B"/>
    <w:rsid w:val="0092205B"/>
    <w:rsid w:val="009269F4"/>
    <w:rsid w:val="009308D9"/>
    <w:rsid w:val="00930DFD"/>
    <w:rsid w:val="00932B80"/>
    <w:rsid w:val="00934412"/>
    <w:rsid w:val="0094401D"/>
    <w:rsid w:val="00955F80"/>
    <w:rsid w:val="00970E0B"/>
    <w:rsid w:val="00972D78"/>
    <w:rsid w:val="0097324E"/>
    <w:rsid w:val="00991173"/>
    <w:rsid w:val="009924B4"/>
    <w:rsid w:val="009948E6"/>
    <w:rsid w:val="00995087"/>
    <w:rsid w:val="009B0708"/>
    <w:rsid w:val="009B0BB2"/>
    <w:rsid w:val="009B4EE6"/>
    <w:rsid w:val="009B7683"/>
    <w:rsid w:val="009D01B8"/>
    <w:rsid w:val="009D1A6C"/>
    <w:rsid w:val="009E6584"/>
    <w:rsid w:val="00A01FFB"/>
    <w:rsid w:val="00A05152"/>
    <w:rsid w:val="00A12B26"/>
    <w:rsid w:val="00A1750F"/>
    <w:rsid w:val="00A20D3A"/>
    <w:rsid w:val="00A31DD4"/>
    <w:rsid w:val="00A36F58"/>
    <w:rsid w:val="00A47743"/>
    <w:rsid w:val="00A57CE6"/>
    <w:rsid w:val="00A6392B"/>
    <w:rsid w:val="00A66357"/>
    <w:rsid w:val="00A762BB"/>
    <w:rsid w:val="00A96F11"/>
    <w:rsid w:val="00AA1741"/>
    <w:rsid w:val="00AA4CA0"/>
    <w:rsid w:val="00AB11E0"/>
    <w:rsid w:val="00AB3A23"/>
    <w:rsid w:val="00AB677B"/>
    <w:rsid w:val="00AC2A24"/>
    <w:rsid w:val="00AC3C4F"/>
    <w:rsid w:val="00AE314F"/>
    <w:rsid w:val="00AF080A"/>
    <w:rsid w:val="00AF3BCC"/>
    <w:rsid w:val="00B02665"/>
    <w:rsid w:val="00B10528"/>
    <w:rsid w:val="00B24F74"/>
    <w:rsid w:val="00B3095B"/>
    <w:rsid w:val="00B35AA1"/>
    <w:rsid w:val="00B4570F"/>
    <w:rsid w:val="00B506B0"/>
    <w:rsid w:val="00B56FAA"/>
    <w:rsid w:val="00B62E35"/>
    <w:rsid w:val="00B65801"/>
    <w:rsid w:val="00B80548"/>
    <w:rsid w:val="00B87A9C"/>
    <w:rsid w:val="00B9674A"/>
    <w:rsid w:val="00BB2D80"/>
    <w:rsid w:val="00BB695C"/>
    <w:rsid w:val="00BC21E4"/>
    <w:rsid w:val="00BC5484"/>
    <w:rsid w:val="00BD08B8"/>
    <w:rsid w:val="00BD2281"/>
    <w:rsid w:val="00BE4A35"/>
    <w:rsid w:val="00BF3178"/>
    <w:rsid w:val="00C00403"/>
    <w:rsid w:val="00C0679B"/>
    <w:rsid w:val="00C10FA0"/>
    <w:rsid w:val="00C21DEC"/>
    <w:rsid w:val="00C40F5D"/>
    <w:rsid w:val="00C75003"/>
    <w:rsid w:val="00C8049E"/>
    <w:rsid w:val="00CC1069"/>
    <w:rsid w:val="00CC5E40"/>
    <w:rsid w:val="00CD36C8"/>
    <w:rsid w:val="00CE278E"/>
    <w:rsid w:val="00D02A01"/>
    <w:rsid w:val="00D1310A"/>
    <w:rsid w:val="00D20506"/>
    <w:rsid w:val="00D20710"/>
    <w:rsid w:val="00D23A0F"/>
    <w:rsid w:val="00D3240D"/>
    <w:rsid w:val="00D6409C"/>
    <w:rsid w:val="00D91A9A"/>
    <w:rsid w:val="00D95B99"/>
    <w:rsid w:val="00DA3F37"/>
    <w:rsid w:val="00DC47BF"/>
    <w:rsid w:val="00DE4CE4"/>
    <w:rsid w:val="00DF34E6"/>
    <w:rsid w:val="00E0213D"/>
    <w:rsid w:val="00E13A81"/>
    <w:rsid w:val="00E1446E"/>
    <w:rsid w:val="00E1628C"/>
    <w:rsid w:val="00E17A0D"/>
    <w:rsid w:val="00E24E88"/>
    <w:rsid w:val="00E40344"/>
    <w:rsid w:val="00E41A70"/>
    <w:rsid w:val="00E56543"/>
    <w:rsid w:val="00E76D9B"/>
    <w:rsid w:val="00E82EE2"/>
    <w:rsid w:val="00E833EC"/>
    <w:rsid w:val="00EB28C8"/>
    <w:rsid w:val="00EC6A09"/>
    <w:rsid w:val="00ED1385"/>
    <w:rsid w:val="00ED3B77"/>
    <w:rsid w:val="00EE3AC5"/>
    <w:rsid w:val="00EE53B2"/>
    <w:rsid w:val="00EE5406"/>
    <w:rsid w:val="00EE5EAD"/>
    <w:rsid w:val="00EE6146"/>
    <w:rsid w:val="00EF574E"/>
    <w:rsid w:val="00F5234A"/>
    <w:rsid w:val="00F5733A"/>
    <w:rsid w:val="00F6430A"/>
    <w:rsid w:val="00F7414C"/>
    <w:rsid w:val="00F809A4"/>
    <w:rsid w:val="00F83944"/>
    <w:rsid w:val="00F87D55"/>
    <w:rsid w:val="00FA2042"/>
    <w:rsid w:val="00FA3EBB"/>
    <w:rsid w:val="00FC1356"/>
    <w:rsid w:val="00FE002B"/>
    <w:rsid w:val="00FE63B0"/>
    <w:rsid w:val="00FE7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4955000-D92C-4BF3-8982-60F80C03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157F"/>
    <w:rPr>
      <w:rFonts w:ascii="Lucida Grande" w:hAnsi="Lucida Grande"/>
      <w:sz w:val="18"/>
      <w:szCs w:val="18"/>
    </w:rPr>
  </w:style>
  <w:style w:type="character" w:customStyle="1" w:styleId="TextedebullesCar">
    <w:name w:val="Texte de bulles Car"/>
    <w:link w:val="Textedebulles"/>
    <w:uiPriority w:val="99"/>
    <w:semiHidden/>
    <w:rsid w:val="004E157F"/>
    <w:rPr>
      <w:rFonts w:ascii="Lucida Grande" w:hAnsi="Lucida Grande"/>
      <w:sz w:val="18"/>
      <w:szCs w:val="18"/>
    </w:rPr>
  </w:style>
  <w:style w:type="paragraph" w:styleId="Titre">
    <w:name w:val="Title"/>
    <w:basedOn w:val="Normal"/>
    <w:next w:val="Normal"/>
    <w:link w:val="TitreCar"/>
    <w:uiPriority w:val="10"/>
    <w:qFormat/>
    <w:rsid w:val="004E157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reCar">
    <w:name w:val="Titre Car"/>
    <w:link w:val="Titre"/>
    <w:uiPriority w:val="10"/>
    <w:rsid w:val="004E157F"/>
    <w:rPr>
      <w:rFonts w:ascii="Calibri" w:eastAsia="MS Gothic" w:hAnsi="Calibri" w:cs="Times New Roman"/>
      <w:color w:val="17365D"/>
      <w:spacing w:val="5"/>
      <w:kern w:val="28"/>
      <w:sz w:val="52"/>
      <w:szCs w:val="52"/>
    </w:rPr>
  </w:style>
  <w:style w:type="paragraph" w:styleId="En-tte">
    <w:name w:val="header"/>
    <w:basedOn w:val="Normal"/>
    <w:link w:val="En-tteCar"/>
    <w:uiPriority w:val="99"/>
    <w:unhideWhenUsed/>
    <w:rsid w:val="004E157F"/>
    <w:pPr>
      <w:tabs>
        <w:tab w:val="center" w:pos="4703"/>
        <w:tab w:val="right" w:pos="9406"/>
      </w:tabs>
    </w:pPr>
  </w:style>
  <w:style w:type="character" w:customStyle="1" w:styleId="En-tteCar">
    <w:name w:val="En-tête Car"/>
    <w:basedOn w:val="Policepardfaut"/>
    <w:link w:val="En-tte"/>
    <w:uiPriority w:val="99"/>
    <w:rsid w:val="004E157F"/>
  </w:style>
  <w:style w:type="paragraph" w:styleId="Pieddepage">
    <w:name w:val="footer"/>
    <w:basedOn w:val="Normal"/>
    <w:link w:val="PieddepageCar"/>
    <w:uiPriority w:val="99"/>
    <w:unhideWhenUsed/>
    <w:rsid w:val="004E157F"/>
    <w:pPr>
      <w:tabs>
        <w:tab w:val="center" w:pos="4703"/>
        <w:tab w:val="right" w:pos="9406"/>
      </w:tabs>
    </w:pPr>
  </w:style>
  <w:style w:type="character" w:customStyle="1" w:styleId="PieddepageCar">
    <w:name w:val="Pied de page Car"/>
    <w:basedOn w:val="Policepardfaut"/>
    <w:link w:val="Pieddepage"/>
    <w:uiPriority w:val="99"/>
    <w:rsid w:val="004E157F"/>
  </w:style>
  <w:style w:type="table" w:styleId="Trameclaire-Accent1">
    <w:name w:val="Light Shading Accent 1"/>
    <w:basedOn w:val="TableauNormal"/>
    <w:uiPriority w:val="60"/>
    <w:rsid w:val="00FE63B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enhypertexte">
    <w:name w:val="Hyperlink"/>
    <w:basedOn w:val="Policepardfaut"/>
    <w:uiPriority w:val="99"/>
    <w:unhideWhenUsed/>
    <w:rsid w:val="00E24E88"/>
    <w:rPr>
      <w:color w:val="0000FF" w:themeColor="hyperlink"/>
      <w:u w:val="single"/>
    </w:rPr>
  </w:style>
  <w:style w:type="character" w:styleId="Lienhypertextesuivivisit">
    <w:name w:val="FollowedHyperlink"/>
    <w:basedOn w:val="Policepardfaut"/>
    <w:uiPriority w:val="99"/>
    <w:semiHidden/>
    <w:unhideWhenUsed/>
    <w:rsid w:val="00751D1D"/>
    <w:rPr>
      <w:color w:val="800080" w:themeColor="followedHyperlink"/>
      <w:u w:val="single"/>
    </w:rPr>
  </w:style>
  <w:style w:type="table" w:styleId="Grilledutableau">
    <w:name w:val="Table Grid"/>
    <w:basedOn w:val="TableauNormal"/>
    <w:uiPriority w:val="59"/>
    <w:rsid w:val="00BC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6D28"/>
    <w:pPr>
      <w:ind w:left="720"/>
      <w:contextualSpacing/>
    </w:pPr>
  </w:style>
  <w:style w:type="paragraph" w:styleId="Notedebasdepage">
    <w:name w:val="footnote text"/>
    <w:basedOn w:val="Normal"/>
    <w:link w:val="NotedebasdepageCar"/>
    <w:uiPriority w:val="99"/>
    <w:semiHidden/>
    <w:unhideWhenUsed/>
    <w:rsid w:val="00EC6A09"/>
    <w:rPr>
      <w:sz w:val="20"/>
      <w:szCs w:val="20"/>
    </w:rPr>
  </w:style>
  <w:style w:type="character" w:customStyle="1" w:styleId="NotedebasdepageCar">
    <w:name w:val="Note de bas de page Car"/>
    <w:basedOn w:val="Policepardfaut"/>
    <w:link w:val="Notedebasdepage"/>
    <w:uiPriority w:val="99"/>
    <w:semiHidden/>
    <w:rsid w:val="00EC6A09"/>
    <w:rPr>
      <w:lang w:val="fr-FR"/>
    </w:rPr>
  </w:style>
  <w:style w:type="character" w:styleId="Appelnotedebasdep">
    <w:name w:val="footnote reference"/>
    <w:basedOn w:val="Policepardfaut"/>
    <w:uiPriority w:val="99"/>
    <w:semiHidden/>
    <w:unhideWhenUsed/>
    <w:rsid w:val="00EC6A09"/>
    <w:rPr>
      <w:vertAlign w:val="superscript"/>
    </w:rPr>
  </w:style>
  <w:style w:type="paragraph" w:customStyle="1" w:styleId="Default">
    <w:name w:val="Default"/>
    <w:rsid w:val="00BD2281"/>
    <w:pPr>
      <w:autoSpaceDE w:val="0"/>
      <w:autoSpaceDN w:val="0"/>
      <w:adjustRightInd w:val="0"/>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on-energie-romania.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inmar.ro" TargetMode="External"/><Relationship Id="rId17" Type="http://schemas.openxmlformats.org/officeDocument/2006/relationships/hyperlink" Target="http://www.transelectrica.ro" TargetMode="External"/><Relationship Id="rId2" Type="http://schemas.openxmlformats.org/officeDocument/2006/relationships/numbering" Target="numbering.xml"/><Relationship Id="rId16" Type="http://schemas.openxmlformats.org/officeDocument/2006/relationships/hyperlink" Target="http://www.afm.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icafurnizare.ro" TargetMode="External"/><Relationship Id="rId5" Type="http://schemas.openxmlformats.org/officeDocument/2006/relationships/webSettings" Target="webSettings.xml"/><Relationship Id="rId15" Type="http://schemas.openxmlformats.org/officeDocument/2006/relationships/hyperlink" Target="http://www.anre.ro"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C:\Users\mba\AppData\Local\Microsoft\Windows\Temporary%20Internet%20Files\Content.Outlook\0XGIZEZA\energie.gov.ro"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investinwallonia.be" TargetMode="External"/><Relationship Id="rId3" Type="http://schemas.openxmlformats.org/officeDocument/2006/relationships/hyperlink" Target="http://www.awex-export.be" TargetMode="External"/><Relationship Id="rId7" Type="http://schemas.openxmlformats.org/officeDocument/2006/relationships/hyperlink" Target="http://www.awex-export.be" TargetMode="External"/><Relationship Id="rId2" Type="http://schemas.openxmlformats.org/officeDocument/2006/relationships/hyperlink" Target="http://www.wallonia.be" TargetMode="External"/><Relationship Id="rId1" Type="http://schemas.openxmlformats.org/officeDocument/2006/relationships/hyperlink" Target="mailto:bucarest@awex-wallonia.com" TargetMode="External"/><Relationship Id="rId6" Type="http://schemas.openxmlformats.org/officeDocument/2006/relationships/hyperlink" Target="http://www.wallonia.be" TargetMode="External"/><Relationship Id="rId5" Type="http://schemas.openxmlformats.org/officeDocument/2006/relationships/hyperlink" Target="mailto:bucarest@awex-wallonia.com" TargetMode="External"/><Relationship Id="rId4" Type="http://schemas.openxmlformats.org/officeDocument/2006/relationships/hyperlink" Target="http://www.investinwallonia.be" TargetMode="External"/><Relationship Id="rId9"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lima/policies/strategies/2030_fr" TargetMode="External"/><Relationship Id="rId1" Type="http://schemas.openxmlformats.org/officeDocument/2006/relationships/hyperlink" Target="http://ec.europa.eu/regional_policy/en/atlas/programmes/2014-2020/romania/2014ro16m1op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Desktop\AWEX_NEUTRAL_MODELE_DEF2910201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C3EB-C4CD-48CA-A827-D29BC5CE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AWEX_NEUTRAL_MODELE_DEF29102013.dotx</Template>
  <TotalTime>1</TotalTime>
  <Pages>5</Pages>
  <Words>2018</Words>
  <Characters>11099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qian</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AUDEVAL Grégory</dc:creator>
  <cp:lastModifiedBy>François CHARLES</cp:lastModifiedBy>
  <cp:revision>2</cp:revision>
  <cp:lastPrinted>2018-02-15T15:11:00Z</cp:lastPrinted>
  <dcterms:created xsi:type="dcterms:W3CDTF">2018-07-22T18:05:00Z</dcterms:created>
  <dcterms:modified xsi:type="dcterms:W3CDTF">2018-07-22T18:05:00Z</dcterms:modified>
</cp:coreProperties>
</file>