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4SemiLight" w:hAnsi="TheAntiquaB-W4SemiLight" w:cs="TheAntiquaB-W4SemiLight"/>
          <w:color w:val="1F1600"/>
          <w:sz w:val="60"/>
          <w:szCs w:val="60"/>
        </w:rPr>
      </w:pPr>
      <w:bookmarkStart w:id="0" w:name="_GoBack"/>
      <w:r>
        <w:rPr>
          <w:rFonts w:ascii="TheAntiquaB-W4SemiLight" w:hAnsi="TheAntiquaB-W4SemiLight" w:cs="TheAntiquaB-W4SemiLight"/>
          <w:color w:val="1F1600"/>
          <w:sz w:val="60"/>
          <w:szCs w:val="60"/>
        </w:rPr>
        <w:t>Pierre Boulez,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4SemiLight" w:hAnsi="TheAntiquaB-W4SemiLight" w:cs="TheAntiquaB-W4SemiLight"/>
          <w:color w:val="1F1600"/>
          <w:sz w:val="60"/>
          <w:szCs w:val="60"/>
        </w:rPr>
      </w:pPr>
      <w:proofErr w:type="gramStart"/>
      <w:r>
        <w:rPr>
          <w:rFonts w:ascii="TheAntiquaB-W4SemiLight" w:hAnsi="TheAntiquaB-W4SemiLight" w:cs="TheAntiquaB-W4SemiLight"/>
          <w:color w:val="1F1600"/>
          <w:sz w:val="60"/>
          <w:szCs w:val="60"/>
        </w:rPr>
        <w:t>un</w:t>
      </w:r>
      <w:proofErr w:type="gramEnd"/>
      <w:r>
        <w:rPr>
          <w:rFonts w:ascii="TheAntiquaB-W4SemiLight" w:hAnsi="TheAntiquaB-W4SemiLight" w:cs="TheAntiquaB-W4SemiLight"/>
          <w:color w:val="1F1600"/>
          <w:sz w:val="60"/>
          <w:szCs w:val="60"/>
        </w:rPr>
        <w:t xml:space="preserve"> an après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4SemiLight" w:hAnsi="TheAntiquaB-W4SemiLight" w:cs="TheAntiquaB-W4SemiLight"/>
          <w:color w:val="1F1600"/>
          <w:sz w:val="28"/>
          <w:szCs w:val="28"/>
        </w:rPr>
      </w:pPr>
      <w:r>
        <w:rPr>
          <w:rFonts w:ascii="TheAntiquaB-W4SemiLight" w:hAnsi="TheAntiquaB-W4SemiLight" w:cs="TheAntiquaB-W4SemiLight"/>
          <w:color w:val="1F1600"/>
          <w:sz w:val="28"/>
          <w:szCs w:val="28"/>
        </w:rPr>
        <w:t xml:space="preserve">Mezzo propose un concert, hommage 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4SemiLight" w:hAnsi="TheAntiquaB-W4SemiLight" w:cs="TheAntiquaB-W4SemiLight"/>
          <w:color w:val="1F1600"/>
          <w:sz w:val="28"/>
          <w:szCs w:val="28"/>
        </w:rPr>
      </w:pPr>
      <w:proofErr w:type="gramStart"/>
      <w:r>
        <w:rPr>
          <w:rFonts w:ascii="TheAntiquaB-W4SemiLight" w:hAnsi="TheAntiquaB-W4SemiLight" w:cs="TheAntiquaB-W4SemiLight"/>
          <w:color w:val="1F1600"/>
          <w:sz w:val="28"/>
          <w:szCs w:val="28"/>
        </w:rPr>
        <w:t>au</w:t>
      </w:r>
      <w:proofErr w:type="gramEnd"/>
      <w:r>
        <w:rPr>
          <w:rFonts w:ascii="TheAntiquaB-W4SemiLight" w:hAnsi="TheAntiquaB-W4SemiLight" w:cs="TheAntiquaB-W4SemiLight"/>
          <w:color w:val="1F1600"/>
          <w:sz w:val="28"/>
          <w:szCs w:val="28"/>
        </w:rPr>
        <w:t xml:space="preserve"> grand compositeur français, 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4SemiLight" w:hAnsi="TheAntiquaB-W4SemiLight" w:cs="TheAntiquaB-W4SemiLight"/>
          <w:color w:val="1F1600"/>
          <w:sz w:val="28"/>
          <w:szCs w:val="28"/>
        </w:rPr>
      </w:pPr>
      <w:proofErr w:type="gramStart"/>
      <w:r>
        <w:rPr>
          <w:rFonts w:ascii="TheAntiquaB-W4SemiLight" w:hAnsi="TheAntiquaB-W4SemiLight" w:cs="TheAntiquaB-W4SemiLight"/>
          <w:color w:val="1F1600"/>
          <w:sz w:val="28"/>
          <w:szCs w:val="28"/>
        </w:rPr>
        <w:t>disparu</w:t>
      </w:r>
      <w:proofErr w:type="gramEnd"/>
      <w:r>
        <w:rPr>
          <w:rFonts w:ascii="TheAntiquaB-W4SemiLight" w:hAnsi="TheAntiquaB-W4SemiLight" w:cs="TheAntiquaB-W4SemiLight"/>
          <w:color w:val="1F1600"/>
          <w:sz w:val="28"/>
          <w:szCs w:val="28"/>
        </w:rPr>
        <w:t xml:space="preserve"> il y a un an, le 5 janvier 2016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006386"/>
          <w:sz w:val="20"/>
          <w:szCs w:val="20"/>
        </w:rPr>
      </w:pPr>
      <w:r>
        <w:rPr>
          <w:rFonts w:ascii="StagSans-Semibold" w:hAnsi="StagSans-Semibold" w:cs="StagSans-Semibold"/>
          <w:color w:val="006386"/>
          <w:sz w:val="20"/>
          <w:szCs w:val="20"/>
        </w:rPr>
        <w:t>MEZZO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F1600"/>
          <w:sz w:val="20"/>
          <w:szCs w:val="20"/>
        </w:rPr>
      </w:pPr>
      <w:r>
        <w:rPr>
          <w:rFonts w:ascii="SourceSansPro-Regular" w:hAnsi="SourceSansPro-Regular" w:cs="SourceSansPro-Regular"/>
          <w:color w:val="1F1600"/>
          <w:sz w:val="20"/>
          <w:szCs w:val="20"/>
        </w:rPr>
        <w:t>VENDREDI 6 – 20 H 30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1F1600"/>
          <w:sz w:val="20"/>
          <w:szCs w:val="20"/>
        </w:rPr>
      </w:pPr>
      <w:r>
        <w:rPr>
          <w:rFonts w:ascii="SourceSansPro-Light" w:hAnsi="SourceSansPro-Light" w:cs="SourceSansPro-Light"/>
          <w:color w:val="1F1600"/>
          <w:sz w:val="20"/>
          <w:szCs w:val="20"/>
        </w:rPr>
        <w:t>CONCERT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3Light" w:hAnsi="TheAntiquaB-W3Light" w:cs="TheAntiquaB-W3Light"/>
          <w:color w:val="1F1600"/>
          <w:sz w:val="112"/>
          <w:szCs w:val="112"/>
        </w:rPr>
        <w:t>U</w:t>
      </w:r>
      <w:r>
        <w:rPr>
          <w:rFonts w:ascii="TheAntiquaB-W5Plain" w:hAnsi="TheAntiquaB-W5Plain" w:cs="TheAntiquaB-W5Plain"/>
          <w:color w:val="1F1600"/>
          <w:sz w:val="17"/>
          <w:szCs w:val="17"/>
        </w:rPr>
        <w:t>n an après sa mort, le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5 janvier 2016, à l’âge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90 ans, le compositeur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et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chef d’orchestre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Pierre Boulez est une figure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musicale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qui demeure mythique,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notamment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pour son rôle dans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l’avant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>-garde musicale du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XX</w:t>
      </w:r>
      <w:r>
        <w:rPr>
          <w:rFonts w:ascii="TheAntiquaB-W5Plain" w:hAnsi="TheAntiquaB-W5Plain" w:cs="TheAntiquaB-W5Plain"/>
          <w:color w:val="1F1600"/>
          <w:sz w:val="10"/>
          <w:szCs w:val="10"/>
        </w:rPr>
        <w:t xml:space="preserve">e </w:t>
      </w:r>
      <w:r>
        <w:rPr>
          <w:rFonts w:ascii="TheAntiquaB-W5Plain" w:hAnsi="TheAntiquaB-W5Plain" w:cs="TheAntiquaB-W5Plain"/>
          <w:color w:val="1F1600"/>
          <w:sz w:val="17"/>
          <w:szCs w:val="17"/>
        </w:rPr>
        <w:t>siècle, mais qui semble déjà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en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voie d’être oubliée par le plus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grand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nombre.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C’est en tout cas ce que laissent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accroire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certains médias : ainsi le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  <w:t xml:space="preserve">New York Times </w:t>
      </w:r>
      <w:r>
        <w:rPr>
          <w:rFonts w:ascii="TheAntiquaB-W5Plain" w:hAnsi="TheAntiquaB-W5Plain" w:cs="TheAntiquaB-W5Plain"/>
          <w:color w:val="1F1600"/>
          <w:sz w:val="17"/>
          <w:szCs w:val="17"/>
        </w:rPr>
        <w:t>n’a-t-il pas inclus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le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nom du Français – qui avait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pourtant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été directeur musical de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l’Orchestre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philharmonique de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New York – dans la liste des artistes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disparus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au cours de 2016,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qu’elle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devait publier le 26 décembre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2016. Le site Internet du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quotidien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nord-américain a, depuis,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heureusement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rectifié le tir.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Mais celui dont l’inscription sur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la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croix de bois qui orna un temps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sa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tombe, à Baden-Baden, a été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modifiée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par un anonyme (</w:t>
      </w:r>
      <w:r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  <w:t>« Ici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</w:pPr>
      <w:proofErr w:type="gramStart"/>
      <w:r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  <w:t>repose</w:t>
      </w:r>
      <w:proofErr w:type="gramEnd"/>
      <w:r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  <w:t xml:space="preserve"> en Dieu » </w:t>
      </w:r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devenant </w:t>
      </w:r>
      <w:r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  <w:t>« Ici repose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  <w:t>un</w:t>
      </w:r>
      <w:proofErr w:type="gramEnd"/>
      <w:r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  <w:t xml:space="preserve"> Dieu »</w:t>
      </w:r>
      <w:r>
        <w:rPr>
          <w:rFonts w:ascii="TheAntiquaB-W5Plain" w:hAnsi="TheAntiquaB-W5Plain" w:cs="TheAntiquaB-W5Plain"/>
          <w:color w:val="1F1600"/>
          <w:sz w:val="17"/>
          <w:szCs w:val="17"/>
        </w:rPr>
        <w:t>) n’aura jamais eu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tant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d’aficionados autour du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monde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que les musiciens pop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David Bowie, Prince et Leonard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Cohen, également emportés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en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2016 par la charrette surchargée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la Grande Faucheuse.</w:t>
      </w:r>
    </w:p>
    <w:bookmarkEnd w:id="0"/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On se souviendra sûrement davantage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Boulez comme chef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d’orchestre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>, polémiste et homme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d’institution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>, tirant pas mal de ficelles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en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coulisses mais s’engageant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sans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relâche pour des causes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qui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lui tenaient à </w:t>
      </w:r>
      <w:proofErr w:type="spellStart"/>
      <w:r>
        <w:rPr>
          <w:rFonts w:ascii="TheAntiquaB-W5Plain" w:hAnsi="TheAntiquaB-W5Plain" w:cs="TheAntiquaB-W5Plain"/>
          <w:color w:val="1F1600"/>
          <w:sz w:val="17"/>
          <w:szCs w:val="17"/>
        </w:rPr>
        <w:t>coeur</w:t>
      </w:r>
      <w:proofErr w:type="spell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et dépassaient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sa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personne. Ainsi se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sera-t-il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beaucoup battu pour que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la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grande salle de la Cité de la musique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– qui porte aujourd’hui son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nom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– soit construite.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lastRenderedPageBreak/>
        <w:t>C’est dans cette excellente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acoustique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que fut enregistré,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trois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semaines après la mort de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Boulez, le concert hommage que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diffuse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la chaîne Mezzo. L’Ensemble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spellStart"/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intercontemporain</w:t>
      </w:r>
      <w:proofErr w:type="spellEnd"/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>, fondé et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présidé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par Boulez, est naturellement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la partie, mené par l’Allemand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Matthias </w:t>
      </w:r>
      <w:proofErr w:type="spellStart"/>
      <w:r>
        <w:rPr>
          <w:rFonts w:ascii="TheAntiquaB-W5Plain" w:hAnsi="TheAntiquaB-W5Plain" w:cs="TheAntiquaB-W5Plain"/>
          <w:color w:val="1F1600"/>
          <w:sz w:val="17"/>
          <w:szCs w:val="17"/>
        </w:rPr>
        <w:t>Pintscher</w:t>
      </w:r>
      <w:proofErr w:type="spellEnd"/>
      <w:r>
        <w:rPr>
          <w:rFonts w:ascii="TheAntiquaB-W5Plain" w:hAnsi="TheAntiquaB-W5Plain" w:cs="TheAntiquaB-W5Plain"/>
          <w:color w:val="1F1600"/>
          <w:sz w:val="17"/>
          <w:szCs w:val="17"/>
        </w:rPr>
        <w:t>, son actuel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directeur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musical.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Le programme, au cours duquel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interviennent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des élèves du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Conservatoire national supérieur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musique et de danse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Paris (CNSMDP), est aussi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interprété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par l’Orchestre de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Paris, l’une des rares formations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françaises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que Pierre Boulez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affectionnait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>, qu’il a souvent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dirigé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pendant les dernières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années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de sa carrière, avant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qu’une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partie de sa santé déclinante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ne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l’empêche de se produire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en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public.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Sous la direction de Matthias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spellStart"/>
      <w:r>
        <w:rPr>
          <w:rFonts w:ascii="TheAntiquaB-W5Plain" w:hAnsi="TheAntiquaB-W5Plain" w:cs="TheAntiquaB-W5Plain"/>
          <w:color w:val="1F1600"/>
          <w:sz w:val="17"/>
          <w:szCs w:val="17"/>
        </w:rPr>
        <w:t>Pintscher</w:t>
      </w:r>
      <w:proofErr w:type="spell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et de </w:t>
      </w:r>
      <w:proofErr w:type="spellStart"/>
      <w:r>
        <w:rPr>
          <w:rFonts w:ascii="TheAntiquaB-W5Plain" w:hAnsi="TheAntiquaB-W5Plain" w:cs="TheAntiquaB-W5Plain"/>
          <w:color w:val="1F1600"/>
          <w:sz w:val="17"/>
          <w:szCs w:val="17"/>
        </w:rPr>
        <w:t>Paavo</w:t>
      </w:r>
      <w:proofErr w:type="spell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</w:t>
      </w:r>
      <w:proofErr w:type="spellStart"/>
      <w:r>
        <w:rPr>
          <w:rFonts w:ascii="TheAntiquaB-W5Plain" w:hAnsi="TheAntiquaB-W5Plain" w:cs="TheAntiquaB-W5Plain"/>
          <w:color w:val="1F1600"/>
          <w:sz w:val="17"/>
          <w:szCs w:val="17"/>
        </w:rPr>
        <w:t>Järvi</w:t>
      </w:r>
      <w:proofErr w:type="spellEnd"/>
      <w:r>
        <w:rPr>
          <w:rFonts w:ascii="TheAntiquaB-W5Plain" w:hAnsi="TheAntiquaB-W5Plain" w:cs="TheAntiquaB-W5Plain"/>
          <w:color w:val="1F1600"/>
          <w:sz w:val="17"/>
          <w:szCs w:val="17"/>
        </w:rPr>
        <w:t>, qui en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était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alors le patron, l’orchestre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joue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quelques-unes des </w:t>
      </w:r>
      <w:r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  <w:t>Notations</w:t>
      </w:r>
      <w:r>
        <w:rPr>
          <w:rFonts w:ascii="TheAntiquaB-W5Plain" w:hAnsi="TheAntiquaB-W5Plain" w:cs="TheAntiquaB-W5Plain"/>
          <w:color w:val="1F1600"/>
          <w:sz w:val="17"/>
          <w:szCs w:val="17"/>
        </w:rPr>
        <w:t>,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qui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sont parmi les rares compositions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orchestrales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de Boulez régulièrement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données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en concert.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On entendra également l’austère,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voire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granitique, musicien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des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</w:t>
      </w:r>
      <w:r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  <w:t>Improvisations sur Mallarmé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– l’un de ses deux poètes de prédilection,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avec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René Char –, extraites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du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cycle </w:t>
      </w:r>
      <w:r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  <w:t>Pli selon pli</w:t>
      </w:r>
      <w:r>
        <w:rPr>
          <w:rFonts w:ascii="TheAntiquaB-W5Plain" w:hAnsi="TheAntiquaB-W5Plain" w:cs="TheAntiquaB-W5Plain"/>
          <w:color w:val="1F1600"/>
          <w:sz w:val="17"/>
          <w:szCs w:val="17"/>
        </w:rPr>
        <w:t>, où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des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coins de ciel bleu sonore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éclairent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la grisaille assez tenace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cette musique.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1F1600"/>
          <w:sz w:val="16"/>
          <w:szCs w:val="16"/>
        </w:rPr>
      </w:pPr>
      <w:r>
        <w:rPr>
          <w:rFonts w:ascii="StagSans-Semibold" w:hAnsi="StagSans-Semibold" w:cs="StagSans-Semibold"/>
          <w:color w:val="1F1600"/>
          <w:sz w:val="16"/>
          <w:szCs w:val="16"/>
        </w:rPr>
        <w:t>Une partition poétique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  <w:t xml:space="preserve">Dérive 1 </w:t>
      </w:r>
      <w:r>
        <w:rPr>
          <w:rFonts w:ascii="TheAntiquaB-W5Plain" w:hAnsi="TheAntiquaB-W5Plain" w:cs="TheAntiquaB-W5Plain"/>
          <w:color w:val="1F1600"/>
          <w:sz w:val="17"/>
          <w:szCs w:val="17"/>
        </w:rPr>
        <w:t>est en revanche l’une de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ses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plus poétiques et plus claires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partitions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>, jouée par les étudiants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du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CNSMDP, sous la direction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du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directeur actuel de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l’établissement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>, le compositeur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Bruno </w:t>
      </w:r>
      <w:proofErr w:type="spellStart"/>
      <w:r>
        <w:rPr>
          <w:rFonts w:ascii="TheAntiquaB-W5Plain" w:hAnsi="TheAntiquaB-W5Plain" w:cs="TheAntiquaB-W5Plain"/>
          <w:color w:val="1F1600"/>
          <w:sz w:val="17"/>
          <w:szCs w:val="17"/>
        </w:rPr>
        <w:t>Mantovani</w:t>
      </w:r>
      <w:proofErr w:type="spellEnd"/>
      <w:r>
        <w:rPr>
          <w:rFonts w:ascii="TheAntiquaB-W5Plain" w:hAnsi="TheAntiquaB-W5Plain" w:cs="TheAntiquaB-W5Plain"/>
          <w:color w:val="1F1600"/>
          <w:sz w:val="17"/>
          <w:szCs w:val="17"/>
        </w:rPr>
        <w:t>.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Enfin, </w:t>
      </w:r>
      <w:proofErr w:type="spellStart"/>
      <w:r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  <w:t>Messagesquisse</w:t>
      </w:r>
      <w:proofErr w:type="spellEnd"/>
      <w:r>
        <w:rPr>
          <w:rFonts w:ascii="TheAntiquaB-W5Plain" w:hAnsi="TheAntiquaB-W5Plain" w:cs="TheAntiquaB-W5Plain"/>
          <w:color w:val="1F1600"/>
          <w:sz w:val="17"/>
          <w:szCs w:val="17"/>
        </w:rPr>
        <w:t>, pour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sept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violoncelles, une partition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poétique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à sa manière, que lui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avait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</w:t>
      </w:r>
      <w:proofErr w:type="spellStart"/>
      <w:r>
        <w:rPr>
          <w:rFonts w:ascii="TheAntiquaB-W5Plain" w:hAnsi="TheAntiquaB-W5Plain" w:cs="TheAntiquaB-W5Plain"/>
          <w:color w:val="1F1600"/>
          <w:sz w:val="17"/>
          <w:szCs w:val="17"/>
        </w:rPr>
        <w:t>commandée</w:t>
      </w:r>
      <w:proofErr w:type="spell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le violoncelliste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russe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</w:t>
      </w:r>
      <w:proofErr w:type="spellStart"/>
      <w:r>
        <w:rPr>
          <w:rFonts w:ascii="TheAntiquaB-W5Plain" w:hAnsi="TheAntiquaB-W5Plain" w:cs="TheAntiquaB-W5Plain"/>
          <w:color w:val="1F1600"/>
          <w:sz w:val="17"/>
          <w:szCs w:val="17"/>
        </w:rPr>
        <w:t>Mstislav</w:t>
      </w:r>
      <w:proofErr w:type="spell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Rostropovitch,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et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</w:t>
      </w:r>
      <w:r>
        <w:rPr>
          <w:rFonts w:ascii="TheAntiquaB-W5PlainItalic" w:hAnsi="TheAntiquaB-W5PlainItalic" w:cs="TheAntiquaB-W5PlainItalic"/>
          <w:i/>
          <w:iCs/>
          <w:color w:val="1F1600"/>
          <w:sz w:val="17"/>
          <w:szCs w:val="17"/>
        </w:rPr>
        <w:t>Dialogue de l’ombre double</w:t>
      </w:r>
      <w:r>
        <w:rPr>
          <w:rFonts w:ascii="TheAntiquaB-W5Plain" w:hAnsi="TheAntiquaB-W5Plain" w:cs="TheAntiquaB-W5Plain"/>
          <w:color w:val="1F1600"/>
          <w:sz w:val="17"/>
          <w:szCs w:val="17"/>
        </w:rPr>
        <w:t>,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échange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ludique entre la clarinette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et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l’électronique en temps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réel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– l’une des technologies chéries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de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Boulez, que celui-ci aura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fait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développer dans le cadre de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l’Institut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de recherche et coordination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>acoustique/musique (IRCAM),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le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laboratoire musical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5Plain" w:hAnsi="TheAntiquaB-W5Plain" w:cs="TheAntiquaB-W5Plain"/>
          <w:color w:val="1F1600"/>
          <w:sz w:val="17"/>
          <w:szCs w:val="17"/>
        </w:rPr>
      </w:pPr>
      <w:proofErr w:type="gramStart"/>
      <w:r>
        <w:rPr>
          <w:rFonts w:ascii="TheAntiquaB-W5Plain" w:hAnsi="TheAntiquaB-W5Plain" w:cs="TheAntiquaB-W5Plain"/>
          <w:color w:val="1F1600"/>
          <w:sz w:val="17"/>
          <w:szCs w:val="17"/>
        </w:rPr>
        <w:t>fondé</w:t>
      </w:r>
      <w:proofErr w:type="gramEnd"/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 par ses soins et associé au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LeMondePuce" w:hAnsi="LeMondePuce" w:cs="LeMondePuce"/>
          <w:color w:val="1F1600"/>
          <w:sz w:val="14"/>
          <w:szCs w:val="14"/>
        </w:rPr>
      </w:pPr>
      <w:r>
        <w:rPr>
          <w:rFonts w:ascii="TheAntiquaB-W5Plain" w:hAnsi="TheAntiquaB-W5Plain" w:cs="TheAntiquaB-W5Plain"/>
          <w:color w:val="1F1600"/>
          <w:sz w:val="17"/>
          <w:szCs w:val="17"/>
        </w:rPr>
        <w:t xml:space="preserve">Centre Pompidou, à Paris. </w:t>
      </w:r>
      <w:r>
        <w:rPr>
          <w:rFonts w:ascii="LeMondePuce" w:hAnsi="LeMondePuce" w:cs="LeMondePuce"/>
          <w:color w:val="1F1600"/>
          <w:sz w:val="14"/>
          <w:szCs w:val="14"/>
        </w:rPr>
        <w:t>p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7cBold" w:hAnsi="TheAntiquaB-W7cBold" w:cs="TheAntiquaB-W7cBold"/>
          <w:b/>
          <w:bCs/>
          <w:color w:val="1F1600"/>
          <w:sz w:val="16"/>
          <w:szCs w:val="16"/>
        </w:rPr>
      </w:pPr>
      <w:proofErr w:type="spellStart"/>
      <w:proofErr w:type="gramStart"/>
      <w:r>
        <w:rPr>
          <w:rFonts w:ascii="TheAntiquaB-W7cBold" w:hAnsi="TheAntiquaB-W7cBold" w:cs="TheAntiquaB-W7cBold"/>
          <w:b/>
          <w:bCs/>
          <w:color w:val="1F1600"/>
          <w:sz w:val="16"/>
          <w:szCs w:val="16"/>
        </w:rPr>
        <w:t>renaud</w:t>
      </w:r>
      <w:proofErr w:type="spellEnd"/>
      <w:proofErr w:type="gramEnd"/>
      <w:r>
        <w:rPr>
          <w:rFonts w:ascii="TheAntiquaB-W7cBold" w:hAnsi="TheAntiquaB-W7cBold" w:cs="TheAntiquaB-W7cBold"/>
          <w:b/>
          <w:bCs/>
          <w:color w:val="1F1600"/>
          <w:sz w:val="16"/>
          <w:szCs w:val="16"/>
        </w:rPr>
        <w:t xml:space="preserve"> </w:t>
      </w:r>
      <w:proofErr w:type="spellStart"/>
      <w:r>
        <w:rPr>
          <w:rFonts w:ascii="TheAntiquaB-W7cBold" w:hAnsi="TheAntiquaB-W7cBold" w:cs="TheAntiquaB-W7cBold"/>
          <w:b/>
          <w:bCs/>
          <w:color w:val="1F1600"/>
          <w:sz w:val="16"/>
          <w:szCs w:val="16"/>
        </w:rPr>
        <w:t>machart</w:t>
      </w:r>
      <w:proofErr w:type="spellEnd"/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6SemiBoldItalic" w:hAnsi="TheAntiquaB-W6SemiBoldItalic" w:cs="TheAntiquaB-W6SemiBoldItalic"/>
          <w:b/>
          <w:bCs/>
          <w:i/>
          <w:iCs/>
          <w:color w:val="1F1600"/>
          <w:sz w:val="17"/>
          <w:szCs w:val="17"/>
        </w:rPr>
      </w:pPr>
      <w:r>
        <w:rPr>
          <w:rFonts w:ascii="TheAntiquaB-W6SemiBoldItalic" w:hAnsi="TheAntiquaB-W6SemiBoldItalic" w:cs="TheAntiquaB-W6SemiBoldItalic"/>
          <w:b/>
          <w:bCs/>
          <w:i/>
          <w:iCs/>
          <w:color w:val="1F1600"/>
          <w:sz w:val="17"/>
          <w:szCs w:val="17"/>
        </w:rPr>
        <w:t xml:space="preserve">Hommage à Pierre Boulez, 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4SemiLightItalic" w:hAnsi="TheAntiquaB-W4SemiLightItalic" w:cs="TheAntiquaB-W4SemiLightItalic"/>
          <w:i/>
          <w:iCs/>
          <w:color w:val="1F1600"/>
          <w:sz w:val="17"/>
          <w:szCs w:val="17"/>
        </w:rPr>
      </w:pPr>
      <w:proofErr w:type="gramStart"/>
      <w:r>
        <w:rPr>
          <w:rFonts w:ascii="TheAntiquaB-W4SemiLightItalic" w:hAnsi="TheAntiquaB-W4SemiLightItalic" w:cs="TheAntiquaB-W4SemiLightItalic"/>
          <w:i/>
          <w:iCs/>
          <w:color w:val="1F1600"/>
          <w:sz w:val="17"/>
          <w:szCs w:val="17"/>
        </w:rPr>
        <w:t>enregistré</w:t>
      </w:r>
      <w:proofErr w:type="gramEnd"/>
      <w:r>
        <w:rPr>
          <w:rFonts w:ascii="TheAntiquaB-W4SemiLightItalic" w:hAnsi="TheAntiquaB-W4SemiLightItalic" w:cs="TheAntiquaB-W4SemiLightItalic"/>
          <w:i/>
          <w:iCs/>
          <w:color w:val="1F1600"/>
          <w:sz w:val="17"/>
          <w:szCs w:val="17"/>
        </w:rPr>
        <w:t xml:space="preserve"> à la Philharmonie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4SemiLightItalic" w:hAnsi="TheAntiquaB-W4SemiLightItalic" w:cs="TheAntiquaB-W4SemiLightItalic"/>
          <w:i/>
          <w:iCs/>
          <w:color w:val="1F1600"/>
          <w:sz w:val="17"/>
          <w:szCs w:val="17"/>
        </w:rPr>
      </w:pPr>
      <w:proofErr w:type="gramStart"/>
      <w:r>
        <w:rPr>
          <w:rFonts w:ascii="TheAntiquaB-W4SemiLightItalic" w:hAnsi="TheAntiquaB-W4SemiLightItalic" w:cs="TheAntiquaB-W4SemiLightItalic"/>
          <w:i/>
          <w:iCs/>
          <w:color w:val="1F1600"/>
          <w:sz w:val="17"/>
          <w:szCs w:val="17"/>
        </w:rPr>
        <w:t>de</w:t>
      </w:r>
      <w:proofErr w:type="gramEnd"/>
      <w:r>
        <w:rPr>
          <w:rFonts w:ascii="TheAntiquaB-W4SemiLightItalic" w:hAnsi="TheAntiquaB-W4SemiLightItalic" w:cs="TheAntiquaB-W4SemiLightItalic"/>
          <w:i/>
          <w:iCs/>
          <w:color w:val="1F1600"/>
          <w:sz w:val="17"/>
          <w:szCs w:val="17"/>
        </w:rPr>
        <w:t xml:space="preserve"> Paris, le 26 janvier 2016.</w:t>
      </w:r>
    </w:p>
    <w:p w:rsidR="00A077E6" w:rsidRDefault="00A077E6" w:rsidP="00A077E6">
      <w:pPr>
        <w:autoSpaceDE w:val="0"/>
        <w:autoSpaceDN w:val="0"/>
        <w:adjustRightInd w:val="0"/>
        <w:spacing w:after="0" w:line="240" w:lineRule="auto"/>
        <w:rPr>
          <w:rFonts w:ascii="TheAntiquaB-W4SemiLightItalic" w:hAnsi="TheAntiquaB-W4SemiLightItalic" w:cs="TheAntiquaB-W4SemiLightItalic"/>
          <w:i/>
          <w:iCs/>
          <w:color w:val="1F1600"/>
          <w:sz w:val="17"/>
          <w:szCs w:val="17"/>
        </w:rPr>
      </w:pPr>
      <w:r>
        <w:rPr>
          <w:rFonts w:ascii="TheAntiquaB-W4SemiLightItalic" w:hAnsi="TheAntiquaB-W4SemiLightItalic" w:cs="TheAntiquaB-W4SemiLightItalic"/>
          <w:i/>
          <w:iCs/>
          <w:color w:val="1F1600"/>
          <w:sz w:val="17"/>
          <w:szCs w:val="17"/>
        </w:rPr>
        <w:t xml:space="preserve">Réalisation : Jean-Pierre </w:t>
      </w:r>
      <w:proofErr w:type="spellStart"/>
      <w:r>
        <w:rPr>
          <w:rFonts w:ascii="TheAntiquaB-W4SemiLightItalic" w:hAnsi="TheAntiquaB-W4SemiLightItalic" w:cs="TheAntiquaB-W4SemiLightItalic"/>
          <w:i/>
          <w:iCs/>
          <w:color w:val="1F1600"/>
          <w:sz w:val="17"/>
          <w:szCs w:val="17"/>
        </w:rPr>
        <w:t>Loisil</w:t>
      </w:r>
      <w:proofErr w:type="spellEnd"/>
    </w:p>
    <w:p w:rsidR="00F56C6D" w:rsidRDefault="00A077E6" w:rsidP="00A077E6">
      <w:r>
        <w:rPr>
          <w:rFonts w:ascii="TheAntiquaB-W4SemiLightItalic" w:hAnsi="TheAntiquaB-W4SemiLightItalic" w:cs="TheAntiquaB-W4SemiLightItalic"/>
          <w:i/>
          <w:iCs/>
          <w:color w:val="1F1600"/>
          <w:sz w:val="17"/>
          <w:szCs w:val="17"/>
        </w:rPr>
        <w:t>(France, 2016, 69 minutes).</w:t>
      </w:r>
    </w:p>
    <w:sectPr w:rsidR="00F56C6D" w:rsidSect="003445E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AntiquaB-W4Sem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agSa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AntiquaB-W3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AntiquaB-W5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AntiquaB-W5Plain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MondePuc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AntiquaB-W7c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AntiquaB-W6Semi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AntiquaB-W4Semi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E6"/>
    <w:rsid w:val="003445E1"/>
    <w:rsid w:val="003A2B84"/>
    <w:rsid w:val="00590EE5"/>
    <w:rsid w:val="006C174D"/>
    <w:rsid w:val="00A077E6"/>
    <w:rsid w:val="00B070F8"/>
    <w:rsid w:val="00EE30F3"/>
    <w:rsid w:val="00F56C6D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BnF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CORLAIX</dc:creator>
  <cp:lastModifiedBy>Omer CORLAIX</cp:lastModifiedBy>
  <cp:revision>1</cp:revision>
  <dcterms:created xsi:type="dcterms:W3CDTF">2017-01-06T10:19:00Z</dcterms:created>
  <dcterms:modified xsi:type="dcterms:W3CDTF">2017-01-06T10:44:00Z</dcterms:modified>
</cp:coreProperties>
</file>