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1CB53E08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D1405F">
        <w:rPr>
          <w:rFonts w:ascii="Janda Safe and Sound" w:hAnsi="Janda Safe and Sound"/>
          <w:sz w:val="36"/>
          <w:szCs w:val="36"/>
        </w:rPr>
        <w:t>4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proofErr w:type="spellStart"/>
      <w:r w:rsidR="00D1405F">
        <w:rPr>
          <w:rFonts w:ascii="Janda Safe and Sound" w:hAnsi="Janda Safe and Sound"/>
          <w:sz w:val="36"/>
          <w:szCs w:val="36"/>
        </w:rPr>
        <w:t>Fév</w:t>
      </w:r>
      <w:proofErr w:type="spellEnd"/>
      <w:r w:rsidR="00B05EF9">
        <w:rPr>
          <w:rFonts w:ascii="Janda Safe and Sound" w:hAnsi="Janda Safe and Sound"/>
          <w:sz w:val="36"/>
          <w:szCs w:val="36"/>
        </w:rPr>
        <w:t>-</w:t>
      </w:r>
      <w:r w:rsidR="00D1405F">
        <w:rPr>
          <w:rFonts w:ascii="Janda Safe and Sound" w:hAnsi="Janda Safe and Sound"/>
          <w:sz w:val="36"/>
          <w:szCs w:val="36"/>
        </w:rPr>
        <w:t>Mars</w:t>
      </w:r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FF5BCEB" w14:textId="44F5CC1E" w:rsidR="001F74A1" w:rsidRDefault="00D1405F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>Agir, s’exprimer, comprendre à travers l’ activité physique</w:t>
      </w:r>
      <w:bookmarkStart w:id="0" w:name="_GoBack"/>
      <w:bookmarkEnd w:id="0"/>
    </w:p>
    <w:p w14:paraId="49CB3179" w14:textId="215D6441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proofErr w:type="gramStart"/>
      <w:r w:rsidR="0099692B" w:rsidRPr="0099692B">
        <w:rPr>
          <w:rFonts w:ascii="Janda Safe and Sound" w:hAnsi="Janda Safe and Sound"/>
          <w:sz w:val="28"/>
          <w:szCs w:val="28"/>
        </w:rPr>
        <w:t>avec</w:t>
      </w:r>
      <w:proofErr w:type="gramEnd"/>
      <w:r w:rsidR="0099692B" w:rsidRPr="0099692B">
        <w:rPr>
          <w:rFonts w:ascii="Janda Safe and Sound" w:hAnsi="Janda Safe and Sound"/>
          <w:sz w:val="28"/>
          <w:szCs w:val="28"/>
        </w:rPr>
        <w:t xml:space="preserve">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356E5C28" w14:textId="77777777" w:rsidR="005F7819" w:rsidRDefault="005F7819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457490">
        <w:trPr>
          <w:trHeight w:val="2235"/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457490">
        <w:trPr>
          <w:jc w:val="center"/>
        </w:trPr>
        <w:tc>
          <w:tcPr>
            <w:tcW w:w="1557" w:type="dxa"/>
          </w:tcPr>
          <w:p w14:paraId="7FFA3555" w14:textId="1DFC4680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A42399"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  <w:r w:rsidR="0075796F"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</w:p>
          <w:p w14:paraId="01FB80C3" w14:textId="094EC44D" w:rsidR="00FD1292" w:rsidRPr="00A42399" w:rsidRDefault="00A42399">
            <w:pPr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</w:t>
            </w:r>
            <w:r w:rsidR="00132FD4"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onstruire et conserver une séquence d’actions et de déplacements en relation avec d’autres partenaires, avec ou sans support musical.</w:t>
            </w:r>
          </w:p>
        </w:tc>
        <w:tc>
          <w:tcPr>
            <w:tcW w:w="1458" w:type="dxa"/>
          </w:tcPr>
          <w:p w14:paraId="28875FF4" w14:textId="3FC54605" w:rsidR="00DD29F0" w:rsidRPr="00ED29A5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124F0ABC" w:rsidR="00DD29F0" w:rsidRPr="00960937" w:rsidRDefault="004D536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E4CAA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Visionner la séance d'EPS /distinguer bouger-rester immobile/ chanter en bougeant</w:t>
            </w: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3F71A456" w:rsidR="00DD29F0" w:rsidRPr="00A42399" w:rsidRDefault="00A42399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Teinter son t-shirt de loup d'</w:t>
            </w:r>
            <w:proofErr w:type="spellStart"/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Haring</w:t>
            </w:r>
            <w:proofErr w:type="spellEnd"/>
          </w:p>
        </w:tc>
        <w:tc>
          <w:tcPr>
            <w:tcW w:w="1689" w:type="dxa"/>
          </w:tcPr>
          <w:p w14:paraId="76E16052" w14:textId="4B030EAF" w:rsidR="00DD29F0" w:rsidRPr="00960937" w:rsidRDefault="00A42399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Teinter son t-shirt de loup d'</w:t>
            </w:r>
            <w:proofErr w:type="spellStart"/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Haring</w:t>
            </w:r>
            <w:proofErr w:type="spellEnd"/>
          </w:p>
        </w:tc>
        <w:tc>
          <w:tcPr>
            <w:tcW w:w="1444" w:type="dxa"/>
          </w:tcPr>
          <w:p w14:paraId="3F391071" w14:textId="66A78988" w:rsidR="00DD29F0" w:rsidRPr="005E4CAA" w:rsidRDefault="005E4CAA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E4CAA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Visionner la séance d'EPS /distinguer bouger-rester immobile/ chanter en bougeant</w:t>
            </w:r>
          </w:p>
        </w:tc>
        <w:tc>
          <w:tcPr>
            <w:tcW w:w="1420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663034C0" w:rsidR="00DD29F0" w:rsidRPr="00B2232A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75796F">
        <w:trPr>
          <w:trHeight w:val="2192"/>
          <w:jc w:val="center"/>
        </w:trPr>
        <w:tc>
          <w:tcPr>
            <w:tcW w:w="1557" w:type="dxa"/>
          </w:tcPr>
          <w:p w14:paraId="7EFE88A4" w14:textId="727C31A1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A42399"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  <w:r w:rsidR="0075796F">
              <w:rPr>
                <w:rFonts w:ascii="Janda Safe and Sound" w:hAnsi="Janda Safe and Sound"/>
                <w:b/>
                <w:sz w:val="18"/>
                <w:szCs w:val="18"/>
              </w:rPr>
              <w:t>3</w:t>
            </w:r>
          </w:p>
          <w:p w14:paraId="05CCECCC" w14:textId="4276A33A" w:rsidR="000E7094" w:rsidRPr="00960937" w:rsidRDefault="00A42399" w:rsidP="00DC7CBD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A42399">
              <w:rPr>
                <w:rFonts w:ascii="Arial" w:hAnsi="Arial" w:cs="Arial"/>
                <w:color w:val="333333"/>
                <w:sz w:val="18"/>
                <w:szCs w:val="18"/>
                <w:u w:val="single" w:color="333333"/>
                <w:lang w:eastAsia="fr-FR"/>
              </w:rPr>
              <w:t>Courir</w:t>
            </w:r>
            <w:r w:rsidRPr="00A42399">
              <w:rPr>
                <w:rFonts w:ascii="Arial" w:hAnsi="Arial" w:cs="Arial"/>
                <w:color w:val="333333"/>
                <w:sz w:val="18"/>
                <w:szCs w:val="18"/>
                <w:u w:color="333333"/>
                <w:lang w:eastAsia="fr-FR"/>
              </w:rPr>
              <w:t>, sauter, lancer de différentes façons, dans des espaces et avec des matériels variés, dans un but précis.</w:t>
            </w:r>
          </w:p>
        </w:tc>
        <w:tc>
          <w:tcPr>
            <w:tcW w:w="1458" w:type="dxa"/>
          </w:tcPr>
          <w:p w14:paraId="21A51345" w14:textId="30D9A810" w:rsidR="00DD29F0" w:rsidRPr="00960937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8354870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1DE18561" w:rsidR="00DD29F0" w:rsidRPr="00782C3B" w:rsidRDefault="00782C3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82C3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Fabriquer sa casquette de loup</w:t>
            </w:r>
          </w:p>
        </w:tc>
        <w:tc>
          <w:tcPr>
            <w:tcW w:w="1444" w:type="dxa"/>
          </w:tcPr>
          <w:p w14:paraId="188242CB" w14:textId="1085E20B" w:rsidR="00DD29F0" w:rsidRPr="00A42399" w:rsidRDefault="00A42399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Mettre en place et utiliser une maquette du parcours de course</w:t>
            </w:r>
          </w:p>
        </w:tc>
        <w:tc>
          <w:tcPr>
            <w:tcW w:w="1420" w:type="dxa"/>
          </w:tcPr>
          <w:p w14:paraId="58493458" w14:textId="04301986" w:rsidR="00DD29F0" w:rsidRPr="00DC7CBD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6A0291" w14:textId="01B1618B" w:rsidR="00C170F2" w:rsidRPr="00A42399" w:rsidRDefault="00A42399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A42399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Mettre en place et utiliser une maquette du parcours de course</w:t>
            </w:r>
          </w:p>
        </w:tc>
      </w:tr>
      <w:tr w:rsidR="0075796F" w:rsidRPr="00886BEC" w14:paraId="7BA5336F" w14:textId="77777777" w:rsidTr="00457490">
        <w:trPr>
          <w:jc w:val="center"/>
        </w:trPr>
        <w:tc>
          <w:tcPr>
            <w:tcW w:w="1557" w:type="dxa"/>
          </w:tcPr>
          <w:p w14:paraId="4B33AB1D" w14:textId="3794887B" w:rsidR="0075796F" w:rsidRPr="00886BEC" w:rsidRDefault="0075796F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24</w:t>
            </w:r>
          </w:p>
          <w:p w14:paraId="183860F6" w14:textId="1C1E44EF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5796F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 xml:space="preserve">Courir, sauter, </w:t>
            </w:r>
            <w:r w:rsidRPr="0075796F">
              <w:rPr>
                <w:rFonts w:ascii="Arial" w:hAnsi="Arial" w:cs="Arial"/>
                <w:color w:val="333333"/>
                <w:sz w:val="18"/>
                <w:szCs w:val="18"/>
                <w:u w:val="single"/>
                <w:lang w:eastAsia="fr-FR"/>
              </w:rPr>
              <w:t>lancer</w:t>
            </w:r>
            <w:r w:rsidRPr="0075796F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 xml:space="preserve"> de différentes façons, dans </w:t>
            </w:r>
            <w:r w:rsidRPr="0075796F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lastRenderedPageBreak/>
              <w:t>des espaces et avec des matériels variés, dans un but précis.</w:t>
            </w:r>
          </w:p>
        </w:tc>
        <w:tc>
          <w:tcPr>
            <w:tcW w:w="1458" w:type="dxa"/>
          </w:tcPr>
          <w:p w14:paraId="45EC86A6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504752E6" w:rsidR="0075796F" w:rsidRPr="005A5184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EFAFCA7" w14:textId="42ADDF3B" w:rsidR="0075796F" w:rsidRPr="00267C4A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Lancer sa balle en suivant les indications verbales du copain</w:t>
            </w:r>
          </w:p>
        </w:tc>
        <w:tc>
          <w:tcPr>
            <w:tcW w:w="1609" w:type="dxa"/>
          </w:tcPr>
          <w:p w14:paraId="4DBB5AD3" w14:textId="499C098E" w:rsidR="0075796F" w:rsidRPr="00FA685F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798276C" w14:textId="2359B77F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Peindre son t-shirt loup en utilisant la technique des traits de Keith </w:t>
            </w:r>
            <w:proofErr w:type="spellStart"/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Haring</w:t>
            </w:r>
            <w:proofErr w:type="spellEnd"/>
          </w:p>
        </w:tc>
        <w:tc>
          <w:tcPr>
            <w:tcW w:w="1444" w:type="dxa"/>
          </w:tcPr>
          <w:p w14:paraId="132D1AC0" w14:textId="7B272552" w:rsidR="0075796F" w:rsidRPr="00FA685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Lancer sa balle en suivant les indications verbales du copain</w:t>
            </w:r>
          </w:p>
        </w:tc>
        <w:tc>
          <w:tcPr>
            <w:tcW w:w="1420" w:type="dxa"/>
          </w:tcPr>
          <w:p w14:paraId="4467FA49" w14:textId="6B4AE88D" w:rsidR="0075796F" w:rsidRPr="0075796F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Lancer sa balle en suivant les indications </w:t>
            </w:r>
            <w:r w:rsidRPr="0075796F">
              <w:rPr>
                <w:rFonts w:ascii="Trebuchet MS" w:hAnsi="Trebuchet MS" w:cs="Trebuchet MS"/>
                <w:color w:val="333333"/>
                <w:sz w:val="18"/>
                <w:szCs w:val="18"/>
              </w:rPr>
              <w:lastRenderedPageBreak/>
              <w:t>verbales du copain</w:t>
            </w:r>
          </w:p>
        </w:tc>
        <w:tc>
          <w:tcPr>
            <w:tcW w:w="1420" w:type="dxa"/>
          </w:tcPr>
          <w:p w14:paraId="63F9A7BF" w14:textId="60687184" w:rsidR="0075796F" w:rsidRPr="002A75F8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5CBF65A4" w14:textId="77777777" w:rsidTr="00457490">
        <w:trPr>
          <w:jc w:val="center"/>
        </w:trPr>
        <w:tc>
          <w:tcPr>
            <w:tcW w:w="1557" w:type="dxa"/>
          </w:tcPr>
          <w:p w14:paraId="7158C84A" w14:textId="34F4FD64" w:rsidR="0075796F" w:rsidRPr="00903BA2" w:rsidRDefault="0075796F" w:rsidP="00476CDB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476CDB">
              <w:rPr>
                <w:rFonts w:ascii="Janda Safe and Sound" w:hAnsi="Janda Safe and Sound"/>
                <w:b/>
                <w:sz w:val="18"/>
                <w:szCs w:val="18"/>
              </w:rPr>
              <w:t>25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476CDB" w:rsidRPr="00476CD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ajuster et enchaîner ses actions et ses déplacements en fonction d'obstacles à franchir ou de la trajectoire d'objets sur lesquels agir</w:t>
            </w:r>
          </w:p>
        </w:tc>
        <w:tc>
          <w:tcPr>
            <w:tcW w:w="1458" w:type="dxa"/>
          </w:tcPr>
          <w:p w14:paraId="7608B9C3" w14:textId="20B2DBE2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75796F" w:rsidRPr="00886BEC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1A874FC" w14:textId="77777777" w:rsidR="0075796F" w:rsidRPr="00886BEC" w:rsidRDefault="0075796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5741A94E" w:rsidR="0075796F" w:rsidRPr="00476CDB" w:rsidRDefault="00476CDB" w:rsidP="00476CD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476CDB">
              <w:rPr>
                <w:rFonts w:ascii="Trebuchet MS" w:hAnsi="Trebuchet MS" w:cs="Trebuchet MS"/>
                <w:color w:val="333333"/>
                <w:sz w:val="18"/>
                <w:szCs w:val="18"/>
              </w:rPr>
              <w:t>Finaliser son déguisement</w:t>
            </w:r>
          </w:p>
        </w:tc>
        <w:tc>
          <w:tcPr>
            <w:tcW w:w="1444" w:type="dxa"/>
          </w:tcPr>
          <w:p w14:paraId="75ACC637" w14:textId="29F31862" w:rsidR="0075796F" w:rsidRPr="00476CDB" w:rsidRDefault="00476CD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76CD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Comparer des poids et anticiper sur les équilibres</w:t>
            </w:r>
          </w:p>
        </w:tc>
        <w:tc>
          <w:tcPr>
            <w:tcW w:w="1420" w:type="dxa"/>
          </w:tcPr>
          <w:p w14:paraId="003D1DCD" w14:textId="03710B44" w:rsidR="0075796F" w:rsidRPr="0075796F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ACF1A7" w14:textId="4D793663" w:rsidR="0075796F" w:rsidRPr="00476CDB" w:rsidRDefault="00476CDB" w:rsidP="00476CD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476CDB">
              <w:rPr>
                <w:rFonts w:ascii="Trebuchet MS" w:hAnsi="Trebuchet MS" w:cs="Trebuchet MS"/>
                <w:color w:val="333333"/>
                <w:sz w:val="18"/>
                <w:szCs w:val="18"/>
              </w:rPr>
              <w:t>Comparer des poids et anticiper sur les équilibres</w:t>
            </w:r>
          </w:p>
        </w:tc>
      </w:tr>
      <w:tr w:rsidR="0075796F" w:rsidRPr="00886BEC" w14:paraId="74DB2BB6" w14:textId="77777777" w:rsidTr="00457490">
        <w:trPr>
          <w:jc w:val="center"/>
        </w:trPr>
        <w:tc>
          <w:tcPr>
            <w:tcW w:w="1557" w:type="dxa"/>
          </w:tcPr>
          <w:p w14:paraId="3C4201AD" w14:textId="77777777" w:rsidR="00F31382" w:rsidRDefault="0075796F" w:rsidP="00F31382">
            <w:pPr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  <w:r w:rsidR="00F31382">
              <w:rPr>
                <w:rFonts w:ascii="Janda Safe and Sound" w:hAnsi="Janda Safe and Sound"/>
                <w:b/>
                <w:sz w:val="18"/>
                <w:szCs w:val="18"/>
              </w:rPr>
              <w:t>6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</w:p>
          <w:p w14:paraId="3181064C" w14:textId="77777777" w:rsidR="00F31382" w:rsidRDefault="00F31382" w:rsidP="00F3138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33333"/>
                <w:sz w:val="28"/>
                <w:szCs w:val="28"/>
                <w:u w:color="333333"/>
                <w:lang w:eastAsia="fr-FR"/>
              </w:rPr>
            </w:pPr>
            <w:proofErr w:type="gramStart"/>
            <w:r w:rsidRPr="00F31382">
              <w:rPr>
                <w:rFonts w:ascii="Arial" w:hAnsi="Arial" w:cs="Arial"/>
                <w:color w:val="333333"/>
                <w:sz w:val="18"/>
                <w:szCs w:val="18"/>
                <w:u w:val="single" w:color="333333"/>
                <w:lang w:eastAsia="fr-FR"/>
              </w:rPr>
              <w:t>courir</w:t>
            </w:r>
            <w:proofErr w:type="gramEnd"/>
            <w:r w:rsidRPr="00F31382">
              <w:rPr>
                <w:rFonts w:ascii="Arial" w:hAnsi="Arial" w:cs="Arial"/>
                <w:color w:val="333333"/>
                <w:sz w:val="18"/>
                <w:szCs w:val="18"/>
                <w:u w:color="333333"/>
                <w:lang w:eastAsia="fr-FR"/>
              </w:rPr>
              <w:t>, sauter, lancer de différentes façons, dans des espaces et avec des matériels variés, dans un but précis.</w:t>
            </w:r>
          </w:p>
          <w:p w14:paraId="013EFA99" w14:textId="4B472D5A" w:rsidR="0075796F" w:rsidRPr="00457490" w:rsidRDefault="0075796F" w:rsidP="00F31382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14:paraId="682074DB" w14:textId="5DB01485" w:rsidR="0075796F" w:rsidRPr="00F31382" w:rsidRDefault="00F31382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loto des ours assis-debout</w:t>
            </w:r>
          </w:p>
        </w:tc>
        <w:tc>
          <w:tcPr>
            <w:tcW w:w="1660" w:type="dxa"/>
          </w:tcPr>
          <w:p w14:paraId="402FD505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75796F" w:rsidRPr="00886BEC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6A152757" w:rsidR="0075796F" w:rsidRPr="00735E6B" w:rsidRDefault="0075796F" w:rsidP="0045749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9A6C113" w14:textId="3DDB5A97" w:rsidR="0075796F" w:rsidRPr="00F31382" w:rsidRDefault="00F31382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Se dessiner assis et debout dans le cahier de dessin et en peinture comme l'artiste </w:t>
            </w:r>
            <w:proofErr w:type="spellStart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>Bortusk</w:t>
            </w:r>
            <w:proofErr w:type="spellEnd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>Leer</w:t>
            </w:r>
            <w:proofErr w:type="spellEnd"/>
          </w:p>
        </w:tc>
        <w:tc>
          <w:tcPr>
            <w:tcW w:w="1444" w:type="dxa"/>
          </w:tcPr>
          <w:p w14:paraId="5D49B2AB" w14:textId="051EAF3A" w:rsidR="0075796F" w:rsidRPr="00735E6B" w:rsidRDefault="00F31382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Se dessiner assis et debout dans le cahier de dessin et en peinture comme l'artiste </w:t>
            </w:r>
            <w:proofErr w:type="spellStart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>Bortusk</w:t>
            </w:r>
            <w:proofErr w:type="spellEnd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31382">
              <w:rPr>
                <w:rFonts w:ascii="Trebuchet MS" w:hAnsi="Trebuchet MS" w:cs="Trebuchet MS"/>
                <w:color w:val="333333"/>
                <w:sz w:val="18"/>
                <w:szCs w:val="18"/>
              </w:rPr>
              <w:t>Leer</w:t>
            </w:r>
            <w:proofErr w:type="spellEnd"/>
          </w:p>
        </w:tc>
        <w:tc>
          <w:tcPr>
            <w:tcW w:w="1420" w:type="dxa"/>
          </w:tcPr>
          <w:p w14:paraId="6F582FDF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31717A" w14:textId="77777777" w:rsidR="0075796F" w:rsidRPr="00886BEC" w:rsidRDefault="0075796F" w:rsidP="00F3138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75796F" w:rsidRPr="00886BEC" w14:paraId="2AA201C9" w14:textId="77777777" w:rsidTr="00457490">
        <w:trPr>
          <w:jc w:val="center"/>
        </w:trPr>
        <w:tc>
          <w:tcPr>
            <w:tcW w:w="1557" w:type="dxa"/>
          </w:tcPr>
          <w:p w14:paraId="13ADD219" w14:textId="73B48926" w:rsidR="0075796F" w:rsidRPr="00E3571A" w:rsidRDefault="0075796F">
            <w:pPr>
              <w:rPr>
                <w:rFonts w:ascii="Trebuchet MS" w:hAnsi="Trebuchet MS"/>
                <w:sz w:val="16"/>
                <w:szCs w:val="16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2</w:t>
            </w:r>
            <w:r w:rsidR="0006750F">
              <w:rPr>
                <w:rFonts w:ascii="Janda Safe and Sound" w:hAnsi="Janda Safe and Sound"/>
                <w:b/>
                <w:sz w:val="18"/>
                <w:szCs w:val="18"/>
              </w:rPr>
              <w:t>7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F77627" w:rsidRPr="00F77627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ajuster et enchaîner ses actions et ses déplacements en fonction d'obstacles à franchir ou de la trajectoire d'objets sur lesquels agir.</w:t>
            </w:r>
            <w:r w:rsidR="00F77627" w:rsidRPr="00E3571A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</w:tcPr>
          <w:p w14:paraId="0E61C614" w14:textId="7957F93B" w:rsidR="0075796F" w:rsidRPr="00E3571A" w:rsidRDefault="0075796F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75796F" w:rsidRPr="00886BEC" w:rsidRDefault="0075796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6C0EAD29" w:rsidR="0075796F" w:rsidRPr="00236057" w:rsidRDefault="0023605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Réaliser un parcours codé pour les copains avec des chaises</w:t>
            </w:r>
          </w:p>
        </w:tc>
        <w:tc>
          <w:tcPr>
            <w:tcW w:w="1609" w:type="dxa"/>
          </w:tcPr>
          <w:p w14:paraId="3A1E6C25" w14:textId="77777777" w:rsidR="0075796F" w:rsidRPr="00886BEC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060FF5DF" w:rsidR="0075796F" w:rsidRPr="00236057" w:rsidRDefault="00236057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Peindre son </w:t>
            </w:r>
            <w:proofErr w:type="spellStart"/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</w:rPr>
              <w:t>Bortusk</w:t>
            </w:r>
            <w:proofErr w:type="spellEnd"/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</w:rPr>
              <w:t>Leer</w:t>
            </w:r>
            <w:proofErr w:type="spellEnd"/>
          </w:p>
        </w:tc>
        <w:tc>
          <w:tcPr>
            <w:tcW w:w="1444" w:type="dxa"/>
          </w:tcPr>
          <w:p w14:paraId="646F5FB7" w14:textId="36AD83A3" w:rsidR="0075796F" w:rsidRPr="00E55176" w:rsidRDefault="0075796F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FB7DF93" w14:textId="399FDF2E" w:rsidR="0075796F" w:rsidRPr="00886BEC" w:rsidRDefault="0075796F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C08DA0C" w14:textId="1AEC67CC" w:rsidR="0075796F" w:rsidRPr="00236057" w:rsidRDefault="00236057" w:rsidP="00F77627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236057">
              <w:rPr>
                <w:rFonts w:ascii="Trebuchet MS" w:hAnsi="Trebuchet MS" w:cs="Trebuchet MS"/>
                <w:color w:val="333333"/>
                <w:sz w:val="18"/>
                <w:szCs w:val="18"/>
              </w:rPr>
              <w:t>Réaliser un parcours codé pour les copains avec des chaises</w:t>
            </w: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4C44CF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6"/>
          <w:szCs w:val="26"/>
          <w:lang w:eastAsia="fr-FR"/>
        </w:rPr>
      </w:pPr>
    </w:p>
    <w:p w14:paraId="36DCB206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color w:val="176D7A"/>
          <w:sz w:val="26"/>
          <w:szCs w:val="26"/>
          <w:lang w:eastAsia="fr-FR"/>
        </w:rPr>
      </w:pPr>
      <w:r>
        <w:rPr>
          <w:rFonts w:ascii="Arial" w:hAnsi="Arial" w:cs="Arial"/>
          <w:color w:val="176D7A"/>
          <w:sz w:val="26"/>
          <w:szCs w:val="26"/>
          <w:lang w:eastAsia="fr-FR"/>
        </w:rPr>
        <w:lastRenderedPageBreak/>
        <w:t>Ce qui est attendu des enfants en fin d'école maternelle</w:t>
      </w:r>
    </w:p>
    <w:p w14:paraId="4BA672C9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Courir, sauter, lancer de différentes façons, dans des espaces et avec des matériels variés, dans un but précis.</w:t>
      </w:r>
    </w:p>
    <w:p w14:paraId="4B8E645B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Ajuster et enchaîner ses actions et ses déplacements en fonction d'obstacles à franchir ou de la trajectoire d'objets sur lesquels agir.</w:t>
      </w:r>
    </w:p>
    <w:p w14:paraId="30ACE102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Se déplacer avec aisance dans des environnements variés, naturels ou aménagés.</w:t>
      </w:r>
    </w:p>
    <w:p w14:paraId="7340DD6B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Construire et conserver une séquence d'actions et de déplacements, en relation avec d'autres partenaires, avec ou sans support musical.</w:t>
      </w:r>
    </w:p>
    <w:p w14:paraId="1A7B4DF4" w14:textId="77777777" w:rsidR="00A60F12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Coordonner ses gestes et ses déplacements avec ceux des autres, lors de rondes et jeux chantés.</w:t>
      </w:r>
    </w:p>
    <w:p w14:paraId="6CB2A014" w14:textId="076A5BB1" w:rsidR="003C05F3" w:rsidRDefault="00A60F12" w:rsidP="00A60F12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Coopérer, exercer des rôles différents complémentaires, s'opposer, élaborer des stratégies pour viser un but ou un effet commun.</w:t>
      </w:r>
    </w:p>
    <w:p w14:paraId="685BA9B4" w14:textId="017E7DF4" w:rsidR="0094254D" w:rsidRDefault="00201474" w:rsidP="003C05F3">
      <w:pPr>
        <w:widowControl w:val="0"/>
        <w:autoSpaceDE w:val="0"/>
        <w:autoSpaceDN w:val="0"/>
        <w:adjustRightInd w:val="0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94254D">
        <w:rPr>
          <w:rFonts w:ascii="Janda Safe and Sound" w:hAnsi="Janda Safe and Sound" w:cs="Arial"/>
          <w:color w:val="000000"/>
          <w:sz w:val="20"/>
          <w:szCs w:val="20"/>
        </w:rPr>
        <w:t>, comme vous pouvez le constater sur cet organigramme qui reprend toutes les activités de la période :</w:t>
      </w:r>
    </w:p>
    <w:p w14:paraId="1F8A52D5" w14:textId="4541AED1" w:rsidR="0094254D" w:rsidRDefault="00C047F9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52231DEF" w:rsidR="00047FBE" w:rsidRPr="00C72BC1" w:rsidRDefault="00A40A82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28402A26" wp14:editId="320D442C">
            <wp:extent cx="8891270" cy="43522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7-03-14 à 14.18.5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19D"/>
    <w:rsid w:val="00013616"/>
    <w:rsid w:val="00023A2F"/>
    <w:rsid w:val="00025368"/>
    <w:rsid w:val="00047FBE"/>
    <w:rsid w:val="00056CAE"/>
    <w:rsid w:val="000604FD"/>
    <w:rsid w:val="0006750F"/>
    <w:rsid w:val="00084074"/>
    <w:rsid w:val="000901E2"/>
    <w:rsid w:val="00097007"/>
    <w:rsid w:val="000A4907"/>
    <w:rsid w:val="000A5992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32FD"/>
    <w:rsid w:val="00115623"/>
    <w:rsid w:val="00116809"/>
    <w:rsid w:val="00132FD4"/>
    <w:rsid w:val="00144786"/>
    <w:rsid w:val="0015753A"/>
    <w:rsid w:val="00165084"/>
    <w:rsid w:val="0017425B"/>
    <w:rsid w:val="00180A49"/>
    <w:rsid w:val="00182D04"/>
    <w:rsid w:val="00191610"/>
    <w:rsid w:val="001922E6"/>
    <w:rsid w:val="00196E8C"/>
    <w:rsid w:val="001B68F3"/>
    <w:rsid w:val="001C4814"/>
    <w:rsid w:val="001E3518"/>
    <w:rsid w:val="001F4E7E"/>
    <w:rsid w:val="001F53B9"/>
    <w:rsid w:val="001F74A1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36057"/>
    <w:rsid w:val="002504D0"/>
    <w:rsid w:val="00254DB6"/>
    <w:rsid w:val="00266AC9"/>
    <w:rsid w:val="00266CEC"/>
    <w:rsid w:val="00267C4A"/>
    <w:rsid w:val="002767AE"/>
    <w:rsid w:val="00280B45"/>
    <w:rsid w:val="00280C2B"/>
    <w:rsid w:val="00282DBE"/>
    <w:rsid w:val="002842CC"/>
    <w:rsid w:val="0028772C"/>
    <w:rsid w:val="0029327A"/>
    <w:rsid w:val="002A2B82"/>
    <w:rsid w:val="002A5141"/>
    <w:rsid w:val="002A75F8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05F3"/>
    <w:rsid w:val="003C3B2E"/>
    <w:rsid w:val="003D0465"/>
    <w:rsid w:val="003E4B89"/>
    <w:rsid w:val="003E5067"/>
    <w:rsid w:val="003F45B0"/>
    <w:rsid w:val="003F6049"/>
    <w:rsid w:val="00400B15"/>
    <w:rsid w:val="00404766"/>
    <w:rsid w:val="00424A32"/>
    <w:rsid w:val="00443DD2"/>
    <w:rsid w:val="004559AB"/>
    <w:rsid w:val="00457490"/>
    <w:rsid w:val="004645B6"/>
    <w:rsid w:val="004700C7"/>
    <w:rsid w:val="00476CDB"/>
    <w:rsid w:val="00485D99"/>
    <w:rsid w:val="004A1324"/>
    <w:rsid w:val="004A14A1"/>
    <w:rsid w:val="004A1FF8"/>
    <w:rsid w:val="004B5FAE"/>
    <w:rsid w:val="004B61FB"/>
    <w:rsid w:val="004C4DF1"/>
    <w:rsid w:val="004D5368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2EDC"/>
    <w:rsid w:val="00586B7A"/>
    <w:rsid w:val="00590055"/>
    <w:rsid w:val="00596839"/>
    <w:rsid w:val="00597E86"/>
    <w:rsid w:val="005A193B"/>
    <w:rsid w:val="005A5020"/>
    <w:rsid w:val="005A5184"/>
    <w:rsid w:val="005B187C"/>
    <w:rsid w:val="005B4C79"/>
    <w:rsid w:val="005B4D31"/>
    <w:rsid w:val="005C2A3E"/>
    <w:rsid w:val="005D0E36"/>
    <w:rsid w:val="005D2CF5"/>
    <w:rsid w:val="005E4CAA"/>
    <w:rsid w:val="005E6D60"/>
    <w:rsid w:val="005F0242"/>
    <w:rsid w:val="005F13EE"/>
    <w:rsid w:val="005F6232"/>
    <w:rsid w:val="005F67F5"/>
    <w:rsid w:val="005F7819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5796F"/>
    <w:rsid w:val="00763FA5"/>
    <w:rsid w:val="00766960"/>
    <w:rsid w:val="007709EF"/>
    <w:rsid w:val="007724BB"/>
    <w:rsid w:val="0077485A"/>
    <w:rsid w:val="00782C3B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3B6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8F1310"/>
    <w:rsid w:val="00900605"/>
    <w:rsid w:val="00903BA2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0937"/>
    <w:rsid w:val="00962517"/>
    <w:rsid w:val="00962F9D"/>
    <w:rsid w:val="00964832"/>
    <w:rsid w:val="00974794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0A82"/>
    <w:rsid w:val="00A42399"/>
    <w:rsid w:val="00A42CA5"/>
    <w:rsid w:val="00A47F9F"/>
    <w:rsid w:val="00A60F12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232A"/>
    <w:rsid w:val="00B23CD3"/>
    <w:rsid w:val="00B243CE"/>
    <w:rsid w:val="00B27491"/>
    <w:rsid w:val="00B40C0E"/>
    <w:rsid w:val="00B53A2E"/>
    <w:rsid w:val="00B653BB"/>
    <w:rsid w:val="00B80ACC"/>
    <w:rsid w:val="00B830E4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170F2"/>
    <w:rsid w:val="00C21E8E"/>
    <w:rsid w:val="00C30709"/>
    <w:rsid w:val="00C31051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405F"/>
    <w:rsid w:val="00D1525B"/>
    <w:rsid w:val="00D313C4"/>
    <w:rsid w:val="00D34D1D"/>
    <w:rsid w:val="00D40665"/>
    <w:rsid w:val="00D4107B"/>
    <w:rsid w:val="00D446F6"/>
    <w:rsid w:val="00D45DB3"/>
    <w:rsid w:val="00D467B9"/>
    <w:rsid w:val="00D65219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C7CBD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571A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29A5"/>
    <w:rsid w:val="00ED549B"/>
    <w:rsid w:val="00ED6A18"/>
    <w:rsid w:val="00ED7AEB"/>
    <w:rsid w:val="00EE3859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1382"/>
    <w:rsid w:val="00F42D1E"/>
    <w:rsid w:val="00F44215"/>
    <w:rsid w:val="00F5486E"/>
    <w:rsid w:val="00F57F6B"/>
    <w:rsid w:val="00F64FE8"/>
    <w:rsid w:val="00F65468"/>
    <w:rsid w:val="00F72F7B"/>
    <w:rsid w:val="00F746BB"/>
    <w:rsid w:val="00F77627"/>
    <w:rsid w:val="00F8281D"/>
    <w:rsid w:val="00F82AEC"/>
    <w:rsid w:val="00F87F74"/>
    <w:rsid w:val="00FA186E"/>
    <w:rsid w:val="00FA685F"/>
    <w:rsid w:val="00FB3E6D"/>
    <w:rsid w:val="00FB60E8"/>
    <w:rsid w:val="00FC0462"/>
    <w:rsid w:val="00FC2E66"/>
    <w:rsid w:val="00FD1292"/>
    <w:rsid w:val="00FE3C67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3</cp:revision>
  <dcterms:created xsi:type="dcterms:W3CDTF">2017-03-16T12:56:00Z</dcterms:created>
  <dcterms:modified xsi:type="dcterms:W3CDTF">2017-03-16T13:01:00Z</dcterms:modified>
</cp:coreProperties>
</file>