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CD" w:rsidRDefault="00B15DDE" w:rsidP="00B15D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5760720" cy="847430"/>
            <wp:effectExtent l="19050" t="0" r="0" b="0"/>
            <wp:docPr id="2" name="Picture 1" descr="C:\Users\Arta\Desktop\logo I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a\Desktop\logo IP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BCD"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666750" cy="942975"/>
            <wp:effectExtent l="19050" t="0" r="0" b="0"/>
            <wp:docPr id="5" name="Picture 5" descr="C:\Users\Arta\Desktop\Ihe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a\Desktop\Ihed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13" w:rsidRDefault="00291E13" w:rsidP="00CA1B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</w:p>
    <w:p w:rsidR="00291E13" w:rsidRPr="009D614E" w:rsidRDefault="00291E13" w:rsidP="00CA1BCD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eastAsia="fr-FR"/>
        </w:rPr>
      </w:pPr>
      <w:r>
        <w:rPr>
          <w:rFonts w:ascii="Times New Roman" w:hAnsi="Times New Roman"/>
          <w:b/>
          <w:sz w:val="32"/>
          <w:szCs w:val="32"/>
          <w:lang w:eastAsia="fr-FR"/>
        </w:rPr>
        <w:t xml:space="preserve">  </w:t>
      </w:r>
      <w:r w:rsidR="00991F0B" w:rsidRPr="009D614E">
        <w:rPr>
          <w:rFonts w:ascii="Times New Roman" w:hAnsi="Times New Roman"/>
          <w:b/>
          <w:color w:val="548DD4" w:themeColor="text2" w:themeTint="99"/>
          <w:sz w:val="36"/>
          <w:szCs w:val="36"/>
          <w:lang w:eastAsia="fr-FR"/>
        </w:rPr>
        <w:t xml:space="preserve">Institut  Prospective </w:t>
      </w:r>
      <w:r w:rsidRPr="009D614E">
        <w:rPr>
          <w:rFonts w:ascii="Times New Roman" w:hAnsi="Times New Roman"/>
          <w:b/>
          <w:color w:val="548DD4" w:themeColor="text2" w:themeTint="99"/>
          <w:sz w:val="36"/>
          <w:szCs w:val="36"/>
          <w:lang w:eastAsia="fr-FR"/>
        </w:rPr>
        <w:t xml:space="preserve"> Sécurité en Europe  </w:t>
      </w:r>
    </w:p>
    <w:p w:rsidR="00291E13" w:rsidRPr="009D614E" w:rsidRDefault="00291E13" w:rsidP="00CA1BC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fr-FR"/>
        </w:rPr>
      </w:pPr>
      <w:r w:rsidRPr="009D614E">
        <w:rPr>
          <w:rFonts w:ascii="Times New Roman" w:hAnsi="Times New Roman"/>
          <w:sz w:val="32"/>
          <w:szCs w:val="32"/>
          <w:lang w:eastAsia="fr-FR"/>
        </w:rPr>
        <w:t xml:space="preserve"> a le  plaisir  de</w:t>
      </w:r>
      <w:r w:rsidR="00E8690C">
        <w:rPr>
          <w:rFonts w:ascii="Times New Roman" w:hAnsi="Times New Roman"/>
          <w:sz w:val="32"/>
          <w:szCs w:val="32"/>
          <w:lang w:eastAsia="fr-FR"/>
        </w:rPr>
        <w:t xml:space="preserve">  vous  inviter au  colloque</w:t>
      </w:r>
      <w:r w:rsidRPr="009D614E">
        <w:rPr>
          <w:rFonts w:ascii="Times New Roman" w:hAnsi="Times New Roman"/>
          <w:sz w:val="32"/>
          <w:szCs w:val="32"/>
          <w:lang w:eastAsia="fr-FR"/>
        </w:rPr>
        <w:t>:</w:t>
      </w:r>
    </w:p>
    <w:p w:rsidR="00624443" w:rsidRDefault="00624443" w:rsidP="00232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</w:p>
    <w:p w:rsidR="00624443" w:rsidRDefault="00624443" w:rsidP="00232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</w:p>
    <w:p w:rsidR="004E6CCA" w:rsidRDefault="00D702EA" w:rsidP="00232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  <w:r w:rsidRPr="00B964BA">
        <w:rPr>
          <w:rFonts w:ascii="Times New Roman" w:hAnsi="Times New Roman"/>
          <w:b/>
          <w:sz w:val="32"/>
          <w:szCs w:val="32"/>
          <w:lang w:eastAsia="fr-FR"/>
        </w:rPr>
        <w:t>L’Europe Balkanique</w:t>
      </w:r>
      <w:r w:rsidR="004E6CCA" w:rsidRPr="00B964BA">
        <w:rPr>
          <w:rFonts w:ascii="Times New Roman" w:hAnsi="Times New Roman"/>
          <w:b/>
          <w:sz w:val="32"/>
          <w:szCs w:val="32"/>
          <w:lang w:eastAsia="fr-FR"/>
        </w:rPr>
        <w:t xml:space="preserve">  à l’heure des défis économiques et géopolitiques en cours</w:t>
      </w:r>
    </w:p>
    <w:p w:rsidR="00614257" w:rsidRDefault="00614257" w:rsidP="00232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  <w:r>
        <w:rPr>
          <w:rFonts w:ascii="Times New Roman" w:hAnsi="Times New Roman"/>
          <w:b/>
          <w:sz w:val="32"/>
          <w:szCs w:val="32"/>
          <w:lang w:eastAsia="fr-FR"/>
        </w:rPr>
        <w:t xml:space="preserve"> </w:t>
      </w:r>
    </w:p>
    <w:p w:rsidR="00614257" w:rsidRPr="00614257" w:rsidRDefault="00614257" w:rsidP="0061425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14257">
        <w:rPr>
          <w:rFonts w:ascii="Times New Roman" w:hAnsi="Times New Roman"/>
          <w:sz w:val="28"/>
          <w:szCs w:val="28"/>
          <w:shd w:val="clear" w:color="auto" w:fill="FFFFFF"/>
        </w:rPr>
        <w:t>EHESS,</w:t>
      </w:r>
      <w:r w:rsidRPr="00614257">
        <w:rPr>
          <w:rFonts w:ascii="Times New Roman" w:hAnsi="Times New Roman"/>
          <w:sz w:val="28"/>
          <w:szCs w:val="28"/>
        </w:rPr>
        <w:t> </w:t>
      </w:r>
      <w:r w:rsidRPr="00614257">
        <w:rPr>
          <w:rFonts w:ascii="Times New Roman" w:hAnsi="Times New Roman"/>
          <w:b/>
          <w:bCs/>
          <w:sz w:val="28"/>
          <w:szCs w:val="28"/>
        </w:rPr>
        <w:t>Amphithéâtre François</w:t>
      </w:r>
      <w:r w:rsidRPr="0061425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14257">
        <w:rPr>
          <w:rFonts w:ascii="Times New Roman" w:hAnsi="Times New Roman"/>
          <w:b/>
          <w:bCs/>
          <w:sz w:val="28"/>
          <w:szCs w:val="28"/>
        </w:rPr>
        <w:t>Furet</w:t>
      </w:r>
    </w:p>
    <w:p w:rsidR="00614257" w:rsidRPr="00614257" w:rsidRDefault="00614257" w:rsidP="0061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614257">
        <w:rPr>
          <w:rFonts w:ascii="Times New Roman" w:hAnsi="Times New Roman"/>
          <w:sz w:val="28"/>
          <w:szCs w:val="28"/>
          <w:shd w:val="clear" w:color="auto" w:fill="FFFFFF"/>
        </w:rPr>
        <w:t>105</w:t>
      </w:r>
      <w:r w:rsidRPr="00614257">
        <w:rPr>
          <w:rFonts w:ascii="Times New Roman" w:hAnsi="Times New Roman"/>
          <w:sz w:val="28"/>
          <w:szCs w:val="28"/>
        </w:rPr>
        <w:t> </w:t>
      </w:r>
      <w:r w:rsidRPr="00614257">
        <w:rPr>
          <w:rFonts w:ascii="Times New Roman" w:hAnsi="Times New Roman"/>
          <w:b/>
          <w:bCs/>
          <w:sz w:val="28"/>
          <w:szCs w:val="28"/>
        </w:rPr>
        <w:t>Bd Raspail</w:t>
      </w:r>
      <w:r w:rsidRPr="00614257">
        <w:rPr>
          <w:rFonts w:ascii="Times New Roman" w:hAnsi="Times New Roman"/>
          <w:sz w:val="28"/>
          <w:szCs w:val="28"/>
          <w:shd w:val="clear" w:color="auto" w:fill="FFFFFF"/>
        </w:rPr>
        <w:t>, 75006</w:t>
      </w:r>
    </w:p>
    <w:p w:rsidR="004E6CCA" w:rsidRPr="00B964BA" w:rsidRDefault="004E6CCA" w:rsidP="0023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</w:p>
    <w:p w:rsidR="004E6CCA" w:rsidRPr="009D614E" w:rsidRDefault="009876E9" w:rsidP="00202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  <w:r w:rsidRPr="009D614E">
        <w:rPr>
          <w:rFonts w:ascii="Times New Roman" w:hAnsi="Times New Roman"/>
          <w:sz w:val="28"/>
          <w:szCs w:val="28"/>
          <w:lang w:eastAsia="fr-FR"/>
        </w:rPr>
        <w:t>15</w:t>
      </w:r>
      <w:r w:rsidR="00964ED7" w:rsidRPr="009D614E">
        <w:rPr>
          <w:rFonts w:ascii="Times New Roman" w:hAnsi="Times New Roman"/>
          <w:sz w:val="28"/>
          <w:szCs w:val="28"/>
          <w:lang w:eastAsia="fr-FR"/>
        </w:rPr>
        <w:t xml:space="preserve"> avril</w:t>
      </w:r>
      <w:r w:rsidR="0047229E" w:rsidRPr="009D614E">
        <w:rPr>
          <w:rFonts w:ascii="Times New Roman" w:hAnsi="Times New Roman"/>
          <w:sz w:val="28"/>
          <w:szCs w:val="28"/>
          <w:lang w:eastAsia="fr-FR"/>
        </w:rPr>
        <w:t xml:space="preserve"> 2015</w:t>
      </w:r>
    </w:p>
    <w:p w:rsidR="0047229E" w:rsidRPr="009D614E" w:rsidRDefault="00614257" w:rsidP="00202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 xml:space="preserve"> 9</w:t>
      </w:r>
      <w:r w:rsidR="0047229E" w:rsidRPr="009D614E">
        <w:rPr>
          <w:rFonts w:ascii="Times New Roman" w:hAnsi="Times New Roman"/>
          <w:sz w:val="28"/>
          <w:szCs w:val="28"/>
          <w:lang w:eastAsia="fr-FR"/>
        </w:rPr>
        <w:t>h</w:t>
      </w:r>
      <w:r w:rsidR="00624443" w:rsidRPr="009D614E">
        <w:rPr>
          <w:rFonts w:ascii="Times New Roman" w:hAnsi="Times New Roman"/>
          <w:sz w:val="28"/>
          <w:szCs w:val="28"/>
          <w:lang w:eastAsia="fr-FR"/>
        </w:rPr>
        <w:t>00</w:t>
      </w:r>
      <w:r>
        <w:rPr>
          <w:rFonts w:ascii="Times New Roman" w:hAnsi="Times New Roman"/>
          <w:sz w:val="28"/>
          <w:szCs w:val="28"/>
          <w:lang w:eastAsia="fr-FR"/>
        </w:rPr>
        <w:t xml:space="preserve"> -13</w:t>
      </w:r>
      <w:r w:rsidR="0047229E" w:rsidRPr="009D614E">
        <w:rPr>
          <w:rFonts w:ascii="Times New Roman" w:hAnsi="Times New Roman"/>
          <w:sz w:val="28"/>
          <w:szCs w:val="28"/>
          <w:lang w:eastAsia="fr-FR"/>
        </w:rPr>
        <w:t>h</w:t>
      </w:r>
      <w:r w:rsidR="00624443" w:rsidRPr="009D614E">
        <w:rPr>
          <w:rFonts w:ascii="Times New Roman" w:hAnsi="Times New Roman"/>
          <w:sz w:val="28"/>
          <w:szCs w:val="28"/>
          <w:lang w:eastAsia="fr-FR"/>
        </w:rPr>
        <w:t>00</w:t>
      </w:r>
    </w:p>
    <w:p w:rsidR="004E6CCA" w:rsidRPr="00B964BA" w:rsidRDefault="004E6CCA" w:rsidP="0020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</w:p>
    <w:p w:rsidR="004E6CCA" w:rsidRPr="009D614E" w:rsidRDefault="004E6CCA" w:rsidP="00C225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fr-FR"/>
        </w:rPr>
      </w:pPr>
      <w:r w:rsidRPr="009D614E">
        <w:rPr>
          <w:rFonts w:ascii="Times New Roman" w:hAnsi="Times New Roman"/>
          <w:i/>
          <w:sz w:val="28"/>
          <w:szCs w:val="28"/>
          <w:lang w:eastAsia="fr-FR"/>
        </w:rPr>
        <w:t>A la lumière des nouvelles  données  géopolitiques  décisives pour l’avenir de l’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>Europe  Balkanique  et  au-delà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>, le débat  portera sur</w:t>
      </w:r>
      <w:r w:rsidR="00497413"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les  questions économiques et 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>sécuritaires, géopolitiques  notamment sur  les recomposition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>s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 à teneur stratégique en cours, impliquant plusieurs acteurs  déjà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existants </w:t>
      </w:r>
      <w:r w:rsidR="0010384A" w:rsidRPr="009D614E">
        <w:rPr>
          <w:rFonts w:ascii="Times New Roman" w:hAnsi="Times New Roman"/>
          <w:i/>
          <w:sz w:val="28"/>
          <w:szCs w:val="28"/>
          <w:lang w:eastAsia="fr-FR"/>
        </w:rPr>
        <w:t>(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>UE, OTAN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>) et partenaires d’importance à l’œuvre ( Turquie, Russie, Chine</w:t>
      </w:r>
      <w:r w:rsidR="00145A7C">
        <w:rPr>
          <w:rFonts w:ascii="Times New Roman" w:hAnsi="Times New Roman"/>
          <w:i/>
          <w:sz w:val="28"/>
          <w:szCs w:val="28"/>
          <w:lang w:eastAsia="fr-FR"/>
        </w:rPr>
        <w:t>)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>. Il convient de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prendre la mesure à cet égard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de l’ampleur des événements t</w:t>
      </w:r>
      <w:r w:rsidR="00D702EA" w:rsidRPr="009D614E">
        <w:rPr>
          <w:rFonts w:ascii="Times New Roman" w:hAnsi="Times New Roman"/>
          <w:i/>
          <w:sz w:val="28"/>
          <w:szCs w:val="28"/>
          <w:lang w:eastAsia="fr-FR"/>
        </w:rPr>
        <w:t>els que la crise ukrainienne et</w:t>
      </w:r>
      <w:r w:rsidRPr="009D614E">
        <w:rPr>
          <w:rFonts w:ascii="Times New Roman" w:hAnsi="Times New Roman"/>
          <w:i/>
          <w:sz w:val="28"/>
          <w:szCs w:val="28"/>
          <w:lang w:eastAsia="fr-FR"/>
        </w:rPr>
        <w:t xml:space="preserve"> la constitution d’une nouvelle coalition gouvernementale dirigée par Syriza en Grèce et de mesurer les conséquences directes et indirectes qu’ils sont susceptibles d’entraîner. </w:t>
      </w:r>
    </w:p>
    <w:p w:rsidR="00D702EA" w:rsidRPr="00B964BA" w:rsidRDefault="00D702EA" w:rsidP="001F4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fr-FR"/>
        </w:rPr>
      </w:pPr>
    </w:p>
    <w:p w:rsidR="0068617E" w:rsidRPr="008544DD" w:rsidRDefault="0068617E" w:rsidP="002501D3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4E6CCA" w:rsidRPr="008544DD" w:rsidRDefault="00D00A7D" w:rsidP="002501D3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544DD">
        <w:rPr>
          <w:rFonts w:ascii="Times New Roman" w:hAnsi="Times New Roman"/>
          <w:sz w:val="28"/>
          <w:szCs w:val="28"/>
        </w:rPr>
        <w:t>Ouverture – Emmanuel  Dupuy</w:t>
      </w:r>
    </w:p>
    <w:p w:rsidR="004E6CCA" w:rsidRPr="008544DD" w:rsidRDefault="004E6CCA" w:rsidP="001F49CB">
      <w:pPr>
        <w:ind w:left="708" w:firstLine="60"/>
        <w:jc w:val="both"/>
        <w:rPr>
          <w:rFonts w:ascii="Times New Roman" w:hAnsi="Times New Roman"/>
          <w:sz w:val="28"/>
          <w:szCs w:val="28"/>
        </w:rPr>
      </w:pPr>
      <w:r w:rsidRPr="008544DD">
        <w:rPr>
          <w:rFonts w:ascii="Times New Roman" w:hAnsi="Times New Roman"/>
          <w:sz w:val="28"/>
          <w:szCs w:val="28"/>
        </w:rPr>
        <w:t>Débats modérés  par Arta Seiti, che</w:t>
      </w:r>
      <w:r w:rsidR="002501D3" w:rsidRPr="008544DD">
        <w:rPr>
          <w:rFonts w:ascii="Times New Roman" w:hAnsi="Times New Roman"/>
          <w:sz w:val="28"/>
          <w:szCs w:val="28"/>
        </w:rPr>
        <w:t>rcheur en géopo</w:t>
      </w:r>
      <w:r w:rsidR="0068617E" w:rsidRPr="008544DD">
        <w:rPr>
          <w:rFonts w:ascii="Times New Roman" w:hAnsi="Times New Roman"/>
          <w:sz w:val="28"/>
          <w:szCs w:val="28"/>
        </w:rPr>
        <w:t xml:space="preserve">litique, </w:t>
      </w:r>
      <w:r w:rsidR="00AF5A46">
        <w:rPr>
          <w:rFonts w:ascii="Times New Roman" w:hAnsi="Times New Roman"/>
          <w:sz w:val="28"/>
          <w:szCs w:val="28"/>
        </w:rPr>
        <w:t>responsable     - G</w:t>
      </w:r>
      <w:r w:rsidR="0068617E" w:rsidRPr="008544DD">
        <w:rPr>
          <w:rFonts w:ascii="Times New Roman" w:hAnsi="Times New Roman"/>
          <w:sz w:val="28"/>
          <w:szCs w:val="28"/>
        </w:rPr>
        <w:t xml:space="preserve">roupe d’études de l’Europe balkanique au sein de l’IPSE </w:t>
      </w:r>
      <w:r w:rsidRPr="008544DD">
        <w:rPr>
          <w:rFonts w:ascii="Times New Roman" w:hAnsi="Times New Roman"/>
          <w:sz w:val="28"/>
          <w:szCs w:val="28"/>
        </w:rPr>
        <w:t xml:space="preserve">et Emmanuel Dupuy, Président de l’IPSE </w:t>
      </w:r>
    </w:p>
    <w:p w:rsidR="004E6CCA" w:rsidRPr="008544DD" w:rsidRDefault="004E6CCA" w:rsidP="001F49CB">
      <w:pPr>
        <w:jc w:val="both"/>
        <w:rPr>
          <w:rFonts w:ascii="Times New Roman" w:hAnsi="Times New Roman"/>
          <w:sz w:val="28"/>
          <w:szCs w:val="28"/>
        </w:rPr>
      </w:pPr>
      <w:r w:rsidRPr="008544DD">
        <w:rPr>
          <w:rFonts w:ascii="Times New Roman" w:hAnsi="Times New Roman"/>
          <w:sz w:val="28"/>
          <w:szCs w:val="28"/>
        </w:rPr>
        <w:t xml:space="preserve">         </w:t>
      </w:r>
    </w:p>
    <w:p w:rsidR="004E6CCA" w:rsidRPr="008544DD" w:rsidRDefault="004E6CCA" w:rsidP="001F49CB">
      <w:pPr>
        <w:jc w:val="both"/>
        <w:rPr>
          <w:rFonts w:ascii="Times New Roman" w:hAnsi="Times New Roman"/>
          <w:sz w:val="28"/>
          <w:szCs w:val="28"/>
        </w:rPr>
      </w:pPr>
      <w:r w:rsidRPr="008544DD"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9C2468" w:rsidRDefault="00D00A7D" w:rsidP="001F49CB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44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CCA" w:rsidRPr="008544DD" w:rsidRDefault="00AD4B80" w:rsidP="001F49C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Un diagnostic en profondeur  des enjeux  régionaux</w:t>
      </w:r>
    </w:p>
    <w:p w:rsidR="00DF5B43" w:rsidRDefault="004E6CCA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C5733">
        <w:rPr>
          <w:rFonts w:ascii="Times New Roman" w:hAnsi="Times New Roman"/>
          <w:b/>
          <w:sz w:val="28"/>
          <w:szCs w:val="28"/>
        </w:rPr>
        <w:t xml:space="preserve">Joseph </w:t>
      </w:r>
      <w:proofErr w:type="spellStart"/>
      <w:r w:rsidRPr="004C5733">
        <w:rPr>
          <w:rFonts w:ascii="Times New Roman" w:hAnsi="Times New Roman"/>
          <w:b/>
          <w:sz w:val="28"/>
          <w:szCs w:val="28"/>
        </w:rPr>
        <w:t>Krulic</w:t>
      </w:r>
      <w:proofErr w:type="spellEnd"/>
    </w:p>
    <w:p w:rsidR="00AB7E97" w:rsidRPr="00107B3C" w:rsidRDefault="004E6CCA" w:rsidP="00B2275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8544DD">
        <w:rPr>
          <w:rFonts w:ascii="Times New Roman" w:hAnsi="Times New Roman"/>
          <w:sz w:val="28"/>
          <w:szCs w:val="28"/>
        </w:rPr>
        <w:t xml:space="preserve"> </w:t>
      </w:r>
      <w:r w:rsidR="00915A74" w:rsidRPr="008544DD">
        <w:rPr>
          <w:rFonts w:ascii="Times New Roman" w:hAnsi="Times New Roman"/>
          <w:sz w:val="28"/>
          <w:szCs w:val="28"/>
        </w:rPr>
        <w:t xml:space="preserve">Historien et juriste, spécialiste de l’ex-Yougoslavie, ancien </w:t>
      </w:r>
      <w:r w:rsidR="00624443" w:rsidRPr="008544DD">
        <w:rPr>
          <w:rFonts w:ascii="Times New Roman" w:hAnsi="Times New Roman"/>
          <w:sz w:val="28"/>
          <w:szCs w:val="28"/>
        </w:rPr>
        <w:t>élève</w:t>
      </w:r>
      <w:r w:rsidR="004F2577">
        <w:rPr>
          <w:rFonts w:ascii="Times New Roman" w:hAnsi="Times New Roman"/>
          <w:sz w:val="28"/>
          <w:szCs w:val="28"/>
        </w:rPr>
        <w:t xml:space="preserve"> de l’</w:t>
      </w:r>
      <w:r w:rsidR="00915A74" w:rsidRPr="008544DD">
        <w:rPr>
          <w:rFonts w:ascii="Times New Roman" w:hAnsi="Times New Roman"/>
          <w:sz w:val="28"/>
          <w:szCs w:val="28"/>
        </w:rPr>
        <w:t xml:space="preserve">Ecole normale de Saint-Cloud,  ancien  </w:t>
      </w:r>
      <w:r w:rsidR="00624443" w:rsidRPr="008544DD">
        <w:rPr>
          <w:rFonts w:ascii="Times New Roman" w:hAnsi="Times New Roman"/>
          <w:sz w:val="28"/>
          <w:szCs w:val="28"/>
        </w:rPr>
        <w:t>élève</w:t>
      </w:r>
      <w:r w:rsidR="00AB7E97">
        <w:rPr>
          <w:rFonts w:ascii="Times New Roman" w:hAnsi="Times New Roman"/>
          <w:sz w:val="28"/>
          <w:szCs w:val="28"/>
        </w:rPr>
        <w:t xml:space="preserve">  de l’ENA -</w:t>
      </w:r>
      <w:r w:rsidR="00915A74" w:rsidRPr="008544DD">
        <w:rPr>
          <w:rFonts w:ascii="Times New Roman" w:hAnsi="Times New Roman"/>
          <w:sz w:val="28"/>
          <w:szCs w:val="28"/>
        </w:rPr>
        <w:t xml:space="preserve"> </w:t>
      </w:r>
      <w:r w:rsidR="00AB7E97">
        <w:rPr>
          <w:rFonts w:ascii="Times New Roman" w:hAnsi="Times New Roman"/>
          <w:sz w:val="28"/>
          <w:szCs w:val="28"/>
        </w:rPr>
        <w:t xml:space="preserve">  </w:t>
      </w:r>
      <w:r w:rsidR="00AB7E97" w:rsidRPr="00107B3C">
        <w:rPr>
          <w:rFonts w:ascii="Times New Roman" w:hAnsi="Times New Roman"/>
          <w:i/>
          <w:sz w:val="28"/>
          <w:szCs w:val="28"/>
        </w:rPr>
        <w:t xml:space="preserve">Les  Balkans occidentaux </w:t>
      </w:r>
      <w:r w:rsidR="004F2577" w:rsidRPr="00107B3C">
        <w:rPr>
          <w:rFonts w:ascii="Times New Roman" w:hAnsi="Times New Roman"/>
          <w:i/>
          <w:sz w:val="28"/>
          <w:szCs w:val="28"/>
        </w:rPr>
        <w:t>peuvent-ils suivre un chemin « </w:t>
      </w:r>
      <w:proofErr w:type="spellStart"/>
      <w:r w:rsidR="004F2577" w:rsidRPr="00107B3C">
        <w:rPr>
          <w:rFonts w:ascii="Times New Roman" w:hAnsi="Times New Roman"/>
          <w:i/>
          <w:sz w:val="28"/>
          <w:szCs w:val="28"/>
        </w:rPr>
        <w:t>s</w:t>
      </w:r>
      <w:r w:rsidR="00AB7E97" w:rsidRPr="00107B3C">
        <w:rPr>
          <w:rFonts w:ascii="Times New Roman" w:hAnsi="Times New Roman"/>
          <w:i/>
          <w:sz w:val="28"/>
          <w:szCs w:val="28"/>
        </w:rPr>
        <w:t>lovéno</w:t>
      </w:r>
      <w:proofErr w:type="spellEnd"/>
      <w:r w:rsidR="00AB7E97" w:rsidRPr="00107B3C">
        <w:rPr>
          <w:rFonts w:ascii="Times New Roman" w:hAnsi="Times New Roman"/>
          <w:i/>
          <w:sz w:val="28"/>
          <w:szCs w:val="28"/>
        </w:rPr>
        <w:t>-croate »  en  évitant</w:t>
      </w:r>
      <w:r w:rsidR="00536023" w:rsidRPr="00107B3C">
        <w:rPr>
          <w:rFonts w:ascii="Times New Roman" w:hAnsi="Times New Roman"/>
          <w:i/>
          <w:sz w:val="28"/>
          <w:szCs w:val="28"/>
        </w:rPr>
        <w:t xml:space="preserve"> la  « voie  grecque » ?  L’UE </w:t>
      </w:r>
      <w:r w:rsidR="00AB7E97" w:rsidRPr="00107B3C">
        <w:rPr>
          <w:rFonts w:ascii="Times New Roman" w:hAnsi="Times New Roman"/>
          <w:i/>
          <w:sz w:val="28"/>
          <w:szCs w:val="28"/>
        </w:rPr>
        <w:t>peut-il  être le pôle  ou le  seu</w:t>
      </w:r>
      <w:r w:rsidR="00DF5B43" w:rsidRPr="00107B3C">
        <w:rPr>
          <w:rFonts w:ascii="Times New Roman" w:hAnsi="Times New Roman"/>
          <w:i/>
          <w:sz w:val="28"/>
          <w:szCs w:val="28"/>
        </w:rPr>
        <w:t>il  de l’évolution  des Balkans ?</w:t>
      </w:r>
    </w:p>
    <w:p w:rsidR="00FC11ED" w:rsidRPr="00AA6DFB" w:rsidRDefault="00FC11ED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AA6DFB">
        <w:rPr>
          <w:rFonts w:ascii="Times New Roman" w:hAnsi="Times New Roman"/>
          <w:b/>
          <w:sz w:val="28"/>
          <w:szCs w:val="28"/>
        </w:rPr>
        <w:t xml:space="preserve">Alexis  </w:t>
      </w:r>
      <w:proofErr w:type="spellStart"/>
      <w:r w:rsidRPr="00AA6DFB">
        <w:rPr>
          <w:rFonts w:ascii="Times New Roman" w:hAnsi="Times New Roman"/>
          <w:b/>
          <w:sz w:val="28"/>
          <w:szCs w:val="28"/>
        </w:rPr>
        <w:t>Troude</w:t>
      </w:r>
      <w:proofErr w:type="spellEnd"/>
    </w:p>
    <w:p w:rsidR="00FC11ED" w:rsidRPr="00107B3C" w:rsidRDefault="00FC11ED" w:rsidP="00FC11ED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107B3C">
        <w:rPr>
          <w:rFonts w:ascii="Times New Roman" w:hAnsi="Times New Roman"/>
          <w:color w:val="444444"/>
          <w:sz w:val="28"/>
          <w:szCs w:val="28"/>
        </w:rPr>
        <w:t>Directeur du Département d’études balkaniques à l’Académie internationale de Géopolitique.</w:t>
      </w:r>
      <w:r w:rsidR="00107B3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107B3C">
        <w:rPr>
          <w:rFonts w:ascii="Times New Roman" w:hAnsi="Times New Roman"/>
          <w:color w:val="444444"/>
          <w:sz w:val="28"/>
          <w:szCs w:val="28"/>
        </w:rPr>
        <w:t>Professeur d’histoire et géographie, chargé de cours de géographie à l’Université de St Quentin-Versailles</w:t>
      </w:r>
      <w:r w:rsidR="00107B3C" w:rsidRPr="00107B3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07B3C" w:rsidRPr="00107B3C">
        <w:rPr>
          <w:rFonts w:ascii="Times New Roman" w:hAnsi="Times New Roman"/>
          <w:i/>
          <w:color w:val="444444"/>
          <w:sz w:val="28"/>
          <w:szCs w:val="28"/>
        </w:rPr>
        <w:t xml:space="preserve">- </w:t>
      </w:r>
      <w:r w:rsidR="00107B3C" w:rsidRPr="00107B3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  La  Serbie - enjeux  géopolitiques et  approche  régionale  dans  un  contexte de  mutations  stratégiques  en cours</w:t>
      </w:r>
    </w:p>
    <w:p w:rsidR="00FC11ED" w:rsidRDefault="00FC11ED" w:rsidP="00B22750">
      <w:pPr>
        <w:pStyle w:val="ListParagraph"/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DF5B43" w:rsidRDefault="002657FD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733">
        <w:rPr>
          <w:rFonts w:ascii="Times New Roman" w:hAnsi="Times New Roman"/>
          <w:b/>
          <w:sz w:val="28"/>
          <w:szCs w:val="28"/>
        </w:rPr>
        <w:t>Aleksandar</w:t>
      </w:r>
      <w:proofErr w:type="spellEnd"/>
      <w:r w:rsidR="00A52033">
        <w:rPr>
          <w:rFonts w:ascii="Times New Roman" w:hAnsi="Times New Roman"/>
          <w:b/>
          <w:sz w:val="28"/>
          <w:szCs w:val="28"/>
        </w:rPr>
        <w:t xml:space="preserve"> </w:t>
      </w:r>
      <w:r w:rsidRPr="004C5733">
        <w:rPr>
          <w:rFonts w:ascii="Times New Roman" w:hAnsi="Times New Roman"/>
          <w:b/>
          <w:sz w:val="28"/>
          <w:szCs w:val="28"/>
        </w:rPr>
        <w:t xml:space="preserve"> Le Comte</w:t>
      </w:r>
      <w:r w:rsidR="00DF5B43">
        <w:rPr>
          <w:rFonts w:ascii="Times New Roman" w:hAnsi="Times New Roman"/>
          <w:sz w:val="28"/>
          <w:szCs w:val="28"/>
        </w:rPr>
        <w:t xml:space="preserve"> </w:t>
      </w:r>
    </w:p>
    <w:p w:rsidR="002657FD" w:rsidRPr="00107B3C" w:rsidRDefault="00624443" w:rsidP="00B2275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B43">
        <w:rPr>
          <w:rFonts w:ascii="Times New Roman" w:hAnsi="Times New Roman"/>
          <w:sz w:val="28"/>
          <w:szCs w:val="28"/>
        </w:rPr>
        <w:t>S</w:t>
      </w:r>
      <w:r w:rsidRPr="008544DD">
        <w:rPr>
          <w:rFonts w:ascii="Times New Roman" w:hAnsi="Times New Roman"/>
          <w:sz w:val="28"/>
          <w:szCs w:val="28"/>
        </w:rPr>
        <w:t>pécialiste</w:t>
      </w:r>
      <w:r w:rsidR="005C1F1E" w:rsidRPr="008544DD">
        <w:rPr>
          <w:rFonts w:ascii="Times New Roman" w:hAnsi="Times New Roman"/>
          <w:sz w:val="28"/>
          <w:szCs w:val="28"/>
        </w:rPr>
        <w:t xml:space="preserve">  au sein  de l’</w:t>
      </w:r>
      <w:r w:rsidR="005A4263" w:rsidRPr="008544DD">
        <w:rPr>
          <w:rFonts w:ascii="Times New Roman" w:hAnsi="Times New Roman"/>
          <w:sz w:val="28"/>
          <w:szCs w:val="28"/>
        </w:rPr>
        <w:t>IPSE, Europe  centrale et orientale -</w:t>
      </w:r>
      <w:r w:rsidR="005C1F1E" w:rsidRPr="008544DD">
        <w:rPr>
          <w:rFonts w:ascii="Times New Roman" w:hAnsi="Times New Roman"/>
          <w:sz w:val="28"/>
          <w:szCs w:val="28"/>
        </w:rPr>
        <w:t xml:space="preserve"> </w:t>
      </w:r>
      <w:r w:rsidR="002E1821">
        <w:rPr>
          <w:rFonts w:ascii="Times New Roman" w:hAnsi="Times New Roman"/>
          <w:sz w:val="28"/>
          <w:szCs w:val="28"/>
        </w:rPr>
        <w:t xml:space="preserve">  </w:t>
      </w:r>
      <w:r w:rsidR="002E1821" w:rsidRPr="00107B3C">
        <w:rPr>
          <w:rFonts w:ascii="Times New Roman" w:hAnsi="Times New Roman"/>
          <w:i/>
          <w:sz w:val="28"/>
          <w:szCs w:val="28"/>
        </w:rPr>
        <w:t>La  route  des  Balkans  et  ses  économies   grises</w:t>
      </w:r>
    </w:p>
    <w:p w:rsidR="004E6CCA" w:rsidRPr="00A227BE" w:rsidRDefault="004E6CCA" w:rsidP="00B22750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29E5" w:rsidRPr="00A227BE" w:rsidRDefault="003629E5" w:rsidP="00B22750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A227BE">
        <w:rPr>
          <w:rFonts w:ascii="Times New Roman" w:hAnsi="Times New Roman"/>
          <w:b/>
          <w:i/>
          <w:sz w:val="28"/>
          <w:szCs w:val="28"/>
        </w:rPr>
        <w:t xml:space="preserve">  Questions </w:t>
      </w:r>
    </w:p>
    <w:p w:rsidR="004E6CCA" w:rsidRPr="008544DD" w:rsidRDefault="004E6CCA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E6CCA" w:rsidRPr="008544DD" w:rsidRDefault="002501D3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44DD">
        <w:rPr>
          <w:rFonts w:ascii="Times New Roman" w:hAnsi="Times New Roman"/>
          <w:b/>
          <w:sz w:val="28"/>
          <w:szCs w:val="28"/>
          <w:u w:val="single"/>
        </w:rPr>
        <w:t xml:space="preserve"> Enjeux</w:t>
      </w:r>
      <w:r w:rsidR="00BA7C65" w:rsidRPr="008544DD">
        <w:rPr>
          <w:rFonts w:ascii="Times New Roman" w:hAnsi="Times New Roman"/>
          <w:b/>
          <w:sz w:val="28"/>
          <w:szCs w:val="28"/>
          <w:u w:val="single"/>
        </w:rPr>
        <w:t xml:space="preserve"> écono</w:t>
      </w:r>
      <w:r w:rsidR="00107B3C">
        <w:rPr>
          <w:rFonts w:ascii="Times New Roman" w:hAnsi="Times New Roman"/>
          <w:b/>
          <w:sz w:val="28"/>
          <w:szCs w:val="28"/>
          <w:u w:val="single"/>
        </w:rPr>
        <w:t xml:space="preserve">miques, géopolitiques </w:t>
      </w:r>
      <w:r w:rsidR="00AA6D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4B80">
        <w:rPr>
          <w:rFonts w:ascii="Times New Roman" w:hAnsi="Times New Roman"/>
          <w:b/>
          <w:sz w:val="28"/>
          <w:szCs w:val="28"/>
          <w:u w:val="single"/>
        </w:rPr>
        <w:t xml:space="preserve"> à l’aune </w:t>
      </w:r>
      <w:r w:rsidR="00B40B28">
        <w:rPr>
          <w:rFonts w:ascii="Times New Roman" w:hAnsi="Times New Roman"/>
          <w:b/>
          <w:sz w:val="28"/>
          <w:szCs w:val="28"/>
          <w:u w:val="single"/>
        </w:rPr>
        <w:t>des  mutations  en  cours</w:t>
      </w:r>
    </w:p>
    <w:p w:rsidR="00AA6DFB" w:rsidRDefault="000E5B7F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CCA" w:rsidRPr="000E5B7F" w:rsidRDefault="000E5B7F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0E5B7F">
        <w:rPr>
          <w:rFonts w:ascii="Times New Roman" w:hAnsi="Times New Roman"/>
          <w:b/>
          <w:sz w:val="28"/>
          <w:szCs w:val="28"/>
        </w:rPr>
        <w:t>Jacques Sapir</w:t>
      </w:r>
    </w:p>
    <w:p w:rsidR="00DF5B43" w:rsidRPr="00107B3C" w:rsidRDefault="00444D56" w:rsidP="00CB07C6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B07C6">
        <w:rPr>
          <w:rFonts w:ascii="Times New Roman" w:hAnsi="Times New Roman"/>
          <w:sz w:val="28"/>
          <w:szCs w:val="28"/>
          <w:shd w:val="clear" w:color="auto" w:fill="FFFFFF"/>
        </w:rPr>
        <w:t>Directeur d'études à</w:t>
      </w:r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École des Hautes Études en Sciences Sociales" w:history="1">
        <w:r w:rsidRPr="00CB07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l'École des Hautes Études en Sciences Sociales</w:t>
        </w:r>
      </w:hyperlink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hyperlink r:id="rId8" w:tooltip="EHESS" w:history="1">
        <w:r w:rsidRPr="00CB07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EHESS</w:t>
        </w:r>
      </w:hyperlink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B0CDF">
        <w:rPr>
          <w:rFonts w:ascii="Times New Roman" w:hAnsi="Times New Roman"/>
          <w:sz w:val="28"/>
          <w:szCs w:val="28"/>
          <w:shd w:val="clear" w:color="auto" w:fill="FFFFFF"/>
        </w:rPr>
        <w:t xml:space="preserve">)et </w:t>
      </w:r>
      <w:r w:rsidRPr="00CB07C6">
        <w:rPr>
          <w:rFonts w:ascii="Times New Roman" w:hAnsi="Times New Roman"/>
          <w:sz w:val="28"/>
          <w:szCs w:val="28"/>
          <w:shd w:val="clear" w:color="auto" w:fill="FFFFFF"/>
        </w:rPr>
        <w:t>à la tête du</w:t>
      </w:r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Centre d'Étude des Modes d'Industrialisation (page ne existe pas)" w:history="1">
        <w:r w:rsidRPr="00CB07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Centre d'Étude des Modes d'Industrialisation</w:t>
        </w:r>
      </w:hyperlink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07C6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0" w:tooltip="CEMI-EHESS (page ne existe pas)" w:history="1">
        <w:r w:rsidRPr="00CB07C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CEMI-EHESS</w:t>
        </w:r>
      </w:hyperlink>
      <w:r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B07C6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6D72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1E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72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Economiste,</w:t>
      </w:r>
      <w:r w:rsidR="00DF5B43"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spécialiste </w:t>
      </w:r>
      <w:r w:rsidR="006D72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de</w:t>
      </w:r>
      <w:r w:rsidR="00F414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la Russie et  des </w:t>
      </w:r>
      <w:r w:rsidR="007E1B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questions  monétaires. Auteur </w:t>
      </w:r>
      <w:r w:rsidR="00F414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entre autres de la  « </w:t>
      </w:r>
      <w:proofErr w:type="spellStart"/>
      <w:r w:rsidR="00F414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Démondialisation</w:t>
      </w:r>
      <w:proofErr w:type="spellEnd"/>
      <w:r w:rsidR="00F414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»,  « Faut-il sortir de l’euro ? », « La transition russe  vingt ans après »</w:t>
      </w:r>
      <w:proofErr w:type="gramStart"/>
      <w:r w:rsidR="000715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 w:rsidR="000715BF" w:rsidRP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0715BF" w:rsidRPr="003124F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en</w:t>
      </w:r>
      <w:proofErr w:type="gramEnd"/>
      <w:r w:rsidR="000715BF" w:rsidRPr="003124F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collaboration avec V. </w:t>
      </w:r>
      <w:proofErr w:type="spellStart"/>
      <w:r w:rsidR="000715BF" w:rsidRPr="003124F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Ivan</w:t>
      </w:r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ter</w:t>
      </w:r>
      <w:proofErr w:type="spellEnd"/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D. </w:t>
      </w:r>
      <w:proofErr w:type="spellStart"/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Kuvalin</w:t>
      </w:r>
      <w:proofErr w:type="spellEnd"/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et A. </w:t>
      </w:r>
      <w:proofErr w:type="spellStart"/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Nekipelov</w:t>
      </w:r>
      <w:proofErr w:type="spellEnd"/>
      <w:r w:rsidR="000715B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</w:t>
      </w:r>
      <w:r w:rsidR="00DF5B43" w:rsidRPr="00CB07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5B43" w:rsidRPr="00107B3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107B3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E6CCA" w:rsidRPr="00107B3C">
        <w:rPr>
          <w:rFonts w:ascii="Times New Roman" w:hAnsi="Times New Roman"/>
          <w:i/>
          <w:sz w:val="28"/>
          <w:szCs w:val="28"/>
        </w:rPr>
        <w:t>Les  politiques macro-éc</w:t>
      </w:r>
      <w:r w:rsidR="00551395" w:rsidRPr="00107B3C">
        <w:rPr>
          <w:rFonts w:ascii="Times New Roman" w:hAnsi="Times New Roman"/>
          <w:i/>
          <w:sz w:val="28"/>
          <w:szCs w:val="28"/>
        </w:rPr>
        <w:t>onomiques de l’UE dans un contex</w:t>
      </w:r>
      <w:r w:rsidR="004E6CCA" w:rsidRPr="00107B3C">
        <w:rPr>
          <w:rFonts w:ascii="Times New Roman" w:hAnsi="Times New Roman"/>
          <w:i/>
          <w:sz w:val="28"/>
          <w:szCs w:val="28"/>
        </w:rPr>
        <w:t>te</w:t>
      </w:r>
      <w:r w:rsidR="00551395" w:rsidRPr="00107B3C">
        <w:rPr>
          <w:rFonts w:ascii="Times New Roman" w:hAnsi="Times New Roman"/>
          <w:i/>
          <w:sz w:val="28"/>
          <w:szCs w:val="28"/>
        </w:rPr>
        <w:t xml:space="preserve"> de tension</w:t>
      </w:r>
      <w:r w:rsidR="004E6CCA" w:rsidRPr="00107B3C">
        <w:rPr>
          <w:rFonts w:ascii="Times New Roman" w:hAnsi="Times New Roman"/>
          <w:i/>
          <w:sz w:val="28"/>
          <w:szCs w:val="28"/>
        </w:rPr>
        <w:t xml:space="preserve"> géopolitique sont- elles adapté</w:t>
      </w:r>
      <w:r w:rsidR="002501D3" w:rsidRPr="00107B3C">
        <w:rPr>
          <w:rFonts w:ascii="Times New Roman" w:hAnsi="Times New Roman"/>
          <w:i/>
          <w:sz w:val="28"/>
          <w:szCs w:val="28"/>
        </w:rPr>
        <w:t>e</w:t>
      </w:r>
      <w:r w:rsidR="004E6CCA" w:rsidRPr="00107B3C">
        <w:rPr>
          <w:rFonts w:ascii="Times New Roman" w:hAnsi="Times New Roman"/>
          <w:i/>
          <w:sz w:val="28"/>
          <w:szCs w:val="28"/>
        </w:rPr>
        <w:t>s aux  nouveaux enjeux</w:t>
      </w:r>
      <w:r w:rsidR="00DD4C2F" w:rsidRPr="00107B3C">
        <w:rPr>
          <w:rFonts w:ascii="Times New Roman" w:hAnsi="Times New Roman"/>
          <w:i/>
          <w:sz w:val="28"/>
          <w:szCs w:val="28"/>
        </w:rPr>
        <w:t xml:space="preserve">  récents</w:t>
      </w:r>
      <w:r w:rsidR="00107B3C">
        <w:rPr>
          <w:rFonts w:ascii="Times New Roman" w:hAnsi="Times New Roman"/>
          <w:i/>
          <w:sz w:val="28"/>
          <w:szCs w:val="28"/>
        </w:rPr>
        <w:t> ?</w:t>
      </w:r>
    </w:p>
    <w:p w:rsidR="00A227BE" w:rsidRDefault="00A227BE" w:rsidP="00DF5B43">
      <w:pPr>
        <w:pStyle w:val="ListParagraph"/>
        <w:ind w:left="1416" w:hanging="696"/>
        <w:rPr>
          <w:rFonts w:ascii="Times New Roman" w:hAnsi="Times New Roman"/>
          <w:b/>
          <w:sz w:val="28"/>
          <w:szCs w:val="28"/>
        </w:rPr>
      </w:pPr>
    </w:p>
    <w:p w:rsidR="00A227BE" w:rsidRDefault="00A227BE" w:rsidP="00DF5B43">
      <w:pPr>
        <w:pStyle w:val="ListParagraph"/>
        <w:ind w:left="1416" w:hanging="696"/>
        <w:rPr>
          <w:rFonts w:ascii="Times New Roman" w:hAnsi="Times New Roman"/>
          <w:b/>
          <w:sz w:val="28"/>
          <w:szCs w:val="28"/>
        </w:rPr>
      </w:pPr>
    </w:p>
    <w:p w:rsidR="00BF7C38" w:rsidRDefault="00BF7C38" w:rsidP="00DF5B43">
      <w:pPr>
        <w:pStyle w:val="ListParagraph"/>
        <w:ind w:left="1416" w:hanging="696"/>
        <w:rPr>
          <w:rFonts w:ascii="Times New Roman" w:hAnsi="Times New Roman"/>
          <w:b/>
          <w:sz w:val="28"/>
          <w:szCs w:val="28"/>
        </w:rPr>
      </w:pPr>
    </w:p>
    <w:p w:rsidR="00B131B2" w:rsidRDefault="00B131B2" w:rsidP="00DF5B43">
      <w:pPr>
        <w:pStyle w:val="ListParagraph"/>
        <w:ind w:left="1416" w:hanging="696"/>
        <w:rPr>
          <w:rFonts w:ascii="Times New Roman" w:hAnsi="Times New Roman"/>
          <w:b/>
          <w:sz w:val="28"/>
          <w:szCs w:val="28"/>
        </w:rPr>
      </w:pPr>
    </w:p>
    <w:p w:rsidR="00B131B2" w:rsidRDefault="00B131B2" w:rsidP="00DF5B43">
      <w:pPr>
        <w:pStyle w:val="ListParagraph"/>
        <w:ind w:left="1416" w:hanging="696"/>
        <w:rPr>
          <w:rFonts w:ascii="Times New Roman" w:hAnsi="Times New Roman"/>
          <w:b/>
          <w:sz w:val="28"/>
          <w:szCs w:val="28"/>
        </w:rPr>
      </w:pPr>
    </w:p>
    <w:p w:rsidR="00DF5B43" w:rsidRPr="00DF5B43" w:rsidRDefault="004E6CCA" w:rsidP="00DF5B43">
      <w:pPr>
        <w:pStyle w:val="ListParagraph"/>
        <w:ind w:left="1416" w:hanging="696"/>
        <w:rPr>
          <w:rFonts w:ascii="Times New Roman" w:hAnsi="Times New Roman"/>
          <w:sz w:val="28"/>
          <w:szCs w:val="28"/>
        </w:rPr>
      </w:pPr>
      <w:r w:rsidRPr="004C5733">
        <w:rPr>
          <w:rFonts w:ascii="Times New Roman" w:hAnsi="Times New Roman"/>
          <w:b/>
          <w:sz w:val="28"/>
          <w:szCs w:val="28"/>
        </w:rPr>
        <w:t>Céline Bayou</w:t>
      </w:r>
      <w:r w:rsidR="00DF5B43">
        <w:rPr>
          <w:rFonts w:ascii="Times New Roman" w:hAnsi="Times New Roman"/>
          <w:sz w:val="28"/>
          <w:szCs w:val="28"/>
        </w:rPr>
        <w:t xml:space="preserve"> </w:t>
      </w:r>
    </w:p>
    <w:p w:rsidR="006D3639" w:rsidRPr="00107B3C" w:rsidRDefault="00145A7C" w:rsidP="00DF5B43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Docteur </w:t>
      </w:r>
      <w:r w:rsidR="00481629" w:rsidRPr="00DF5B43">
        <w:rPr>
          <w:rFonts w:ascii="Times New Roman" w:hAnsi="Times New Roman"/>
          <w:sz w:val="28"/>
          <w:szCs w:val="28"/>
        </w:rPr>
        <w:t>en civilisatio</w:t>
      </w:r>
      <w:r w:rsidR="007718B4" w:rsidRPr="00DF5B43">
        <w:rPr>
          <w:rFonts w:ascii="Times New Roman" w:hAnsi="Times New Roman"/>
          <w:sz w:val="28"/>
          <w:szCs w:val="28"/>
        </w:rPr>
        <w:t>n</w:t>
      </w:r>
      <w:r w:rsidR="00D668D8">
        <w:rPr>
          <w:rFonts w:ascii="Times New Roman" w:hAnsi="Times New Roman"/>
          <w:sz w:val="28"/>
          <w:szCs w:val="28"/>
        </w:rPr>
        <w:t xml:space="preserve"> </w:t>
      </w:r>
      <w:r w:rsidR="00C34D82">
        <w:rPr>
          <w:rFonts w:ascii="Times New Roman" w:hAnsi="Times New Roman"/>
          <w:sz w:val="28"/>
          <w:szCs w:val="28"/>
        </w:rPr>
        <w:t>russe</w:t>
      </w:r>
      <w:r>
        <w:rPr>
          <w:rFonts w:ascii="Times New Roman" w:hAnsi="Times New Roman"/>
          <w:sz w:val="28"/>
          <w:szCs w:val="28"/>
        </w:rPr>
        <w:t xml:space="preserve"> </w:t>
      </w:r>
      <w:r w:rsidR="00481629" w:rsidRPr="00DF5B43">
        <w:rPr>
          <w:rFonts w:ascii="Times New Roman" w:hAnsi="Times New Roman"/>
          <w:sz w:val="28"/>
          <w:szCs w:val="28"/>
        </w:rPr>
        <w:t>(INALCO),</w:t>
      </w:r>
      <w:r w:rsidR="00BB0CDF">
        <w:rPr>
          <w:rFonts w:ascii="Times New Roman" w:hAnsi="Times New Roman"/>
          <w:sz w:val="28"/>
          <w:szCs w:val="28"/>
        </w:rPr>
        <w:t xml:space="preserve"> </w:t>
      </w:r>
      <w:r w:rsidR="00DF5B43">
        <w:rPr>
          <w:rFonts w:ascii="Times New Roman" w:hAnsi="Times New Roman"/>
          <w:sz w:val="28"/>
          <w:szCs w:val="28"/>
        </w:rPr>
        <w:t>analyste-</w:t>
      </w:r>
      <w:r w:rsidR="00DF5B43" w:rsidRPr="00DF5B43">
        <w:rPr>
          <w:rFonts w:ascii="Times New Roman" w:hAnsi="Times New Roman"/>
          <w:sz w:val="28"/>
          <w:szCs w:val="28"/>
        </w:rPr>
        <w:t xml:space="preserve">rédactrice à la Documentation française pour la revue </w:t>
      </w:r>
      <w:r w:rsidR="00DF5B43" w:rsidRPr="00C34D82">
        <w:rPr>
          <w:rFonts w:ascii="Times New Roman" w:hAnsi="Times New Roman"/>
          <w:i/>
          <w:sz w:val="28"/>
          <w:szCs w:val="28"/>
        </w:rPr>
        <w:t>Questions internationales</w:t>
      </w:r>
      <w:r w:rsidR="00DF5B43" w:rsidRPr="00DF5B43">
        <w:rPr>
          <w:rFonts w:ascii="Times New Roman" w:hAnsi="Times New Roman"/>
          <w:sz w:val="28"/>
          <w:szCs w:val="28"/>
        </w:rPr>
        <w:t xml:space="preserve"> et le site </w:t>
      </w:r>
      <w:proofErr w:type="spellStart"/>
      <w:r w:rsidR="00DF5B43" w:rsidRPr="00DF5B43">
        <w:rPr>
          <w:rFonts w:ascii="Times New Roman" w:hAnsi="Times New Roman"/>
          <w:sz w:val="28"/>
          <w:szCs w:val="28"/>
        </w:rPr>
        <w:t>P@ges</w:t>
      </w:r>
      <w:proofErr w:type="spellEnd"/>
      <w:r w:rsidR="005B5DA8">
        <w:rPr>
          <w:rFonts w:ascii="Times New Roman" w:hAnsi="Times New Roman"/>
          <w:sz w:val="28"/>
          <w:szCs w:val="28"/>
        </w:rPr>
        <w:t xml:space="preserve"> Europe</w:t>
      </w:r>
      <w:r w:rsidR="00BB0CDF">
        <w:rPr>
          <w:rFonts w:ascii="Times New Roman" w:hAnsi="Times New Roman"/>
          <w:sz w:val="28"/>
          <w:szCs w:val="28"/>
        </w:rPr>
        <w:t>,</w:t>
      </w:r>
      <w:r w:rsidR="00C34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82">
        <w:rPr>
          <w:rFonts w:ascii="Times New Roman" w:hAnsi="Times New Roman"/>
          <w:sz w:val="28"/>
          <w:szCs w:val="28"/>
        </w:rPr>
        <w:t>co-rédactrice</w:t>
      </w:r>
      <w:proofErr w:type="spellEnd"/>
      <w:r w:rsidR="00C34D82">
        <w:rPr>
          <w:rFonts w:ascii="Times New Roman" w:hAnsi="Times New Roman"/>
          <w:sz w:val="28"/>
          <w:szCs w:val="28"/>
        </w:rPr>
        <w:t xml:space="preserve">  en chef  de</w:t>
      </w:r>
      <w:r w:rsidR="00BB0CDF">
        <w:rPr>
          <w:rFonts w:ascii="Times New Roman" w:hAnsi="Times New Roman"/>
          <w:sz w:val="28"/>
          <w:szCs w:val="28"/>
        </w:rPr>
        <w:t xml:space="preserve"> </w:t>
      </w:r>
      <w:r w:rsidR="00DF5B43" w:rsidRPr="00C34D82">
        <w:rPr>
          <w:rFonts w:ascii="Times New Roman" w:hAnsi="Times New Roman"/>
          <w:i/>
          <w:sz w:val="28"/>
          <w:szCs w:val="28"/>
        </w:rPr>
        <w:t>Regard sur l’est</w:t>
      </w:r>
      <w:r w:rsidR="00DF5B43" w:rsidRPr="00DF5B43">
        <w:rPr>
          <w:rFonts w:ascii="Times New Roman" w:hAnsi="Times New Roman"/>
          <w:sz w:val="28"/>
          <w:szCs w:val="28"/>
        </w:rPr>
        <w:t xml:space="preserve"> et </w:t>
      </w:r>
      <w:r w:rsidR="00C34D82">
        <w:rPr>
          <w:rFonts w:ascii="Times New Roman" w:hAnsi="Times New Roman"/>
          <w:sz w:val="28"/>
          <w:szCs w:val="28"/>
        </w:rPr>
        <w:t>chargée  de cours</w:t>
      </w:r>
      <w:r w:rsidR="00DF5B43" w:rsidRPr="00DF5B43">
        <w:rPr>
          <w:rFonts w:ascii="Times New Roman" w:hAnsi="Times New Roman"/>
          <w:sz w:val="28"/>
          <w:szCs w:val="28"/>
        </w:rPr>
        <w:t xml:space="preserve"> à l’INALCO</w:t>
      </w:r>
      <w:r w:rsidR="00DF5B43">
        <w:rPr>
          <w:rFonts w:ascii="Times New Roman" w:hAnsi="Times New Roman"/>
          <w:sz w:val="28"/>
          <w:szCs w:val="28"/>
        </w:rPr>
        <w:t xml:space="preserve">  </w:t>
      </w:r>
      <w:r w:rsidR="00DF5B43" w:rsidRPr="00107B3C">
        <w:rPr>
          <w:rFonts w:ascii="Times New Roman" w:hAnsi="Times New Roman"/>
          <w:i/>
          <w:sz w:val="28"/>
          <w:szCs w:val="28"/>
        </w:rPr>
        <w:t>- Questions  de gazoducs  en Mer  Noire</w:t>
      </w:r>
    </w:p>
    <w:p w:rsidR="00DF5B43" w:rsidRDefault="004E6CCA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C5733">
        <w:rPr>
          <w:rFonts w:ascii="Times New Roman" w:hAnsi="Times New Roman"/>
          <w:b/>
          <w:sz w:val="28"/>
          <w:szCs w:val="28"/>
        </w:rPr>
        <w:t xml:space="preserve">Arta  </w:t>
      </w:r>
      <w:proofErr w:type="spellStart"/>
      <w:r w:rsidRPr="004C5733">
        <w:rPr>
          <w:rFonts w:ascii="Times New Roman" w:hAnsi="Times New Roman"/>
          <w:b/>
          <w:sz w:val="28"/>
          <w:szCs w:val="28"/>
        </w:rPr>
        <w:t>Seiti</w:t>
      </w:r>
      <w:proofErr w:type="spellEnd"/>
      <w:r w:rsidR="00DF5B43">
        <w:rPr>
          <w:rFonts w:ascii="Times New Roman" w:hAnsi="Times New Roman"/>
          <w:sz w:val="28"/>
          <w:szCs w:val="28"/>
        </w:rPr>
        <w:t xml:space="preserve"> </w:t>
      </w:r>
    </w:p>
    <w:p w:rsidR="00031475" w:rsidRPr="00107B3C" w:rsidRDefault="004C5733" w:rsidP="00B2275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DD1" w:rsidRPr="008544DD">
        <w:rPr>
          <w:rFonts w:ascii="Times New Roman" w:hAnsi="Times New Roman"/>
          <w:sz w:val="28"/>
          <w:szCs w:val="28"/>
        </w:rPr>
        <w:t>Chercheur  en géopolitique</w:t>
      </w:r>
      <w:r w:rsidR="00B15DDE">
        <w:rPr>
          <w:rFonts w:ascii="Times New Roman" w:hAnsi="Times New Roman"/>
          <w:sz w:val="28"/>
          <w:szCs w:val="28"/>
        </w:rPr>
        <w:t xml:space="preserve">,   responsable </w:t>
      </w:r>
      <w:r>
        <w:rPr>
          <w:rFonts w:ascii="Times New Roman" w:hAnsi="Times New Roman"/>
          <w:sz w:val="28"/>
          <w:szCs w:val="28"/>
        </w:rPr>
        <w:t>-G</w:t>
      </w:r>
      <w:r w:rsidR="00A07DD1" w:rsidRPr="008544DD">
        <w:rPr>
          <w:rFonts w:ascii="Times New Roman" w:hAnsi="Times New Roman"/>
          <w:sz w:val="28"/>
          <w:szCs w:val="28"/>
        </w:rPr>
        <w:t>roupe d’</w:t>
      </w:r>
      <w:r w:rsidR="005A4263" w:rsidRPr="008544DD">
        <w:rPr>
          <w:rFonts w:ascii="Times New Roman" w:hAnsi="Times New Roman"/>
          <w:sz w:val="28"/>
          <w:szCs w:val="28"/>
        </w:rPr>
        <w:t>études  de l’Europe balkanique</w:t>
      </w:r>
      <w:r w:rsidR="00573373" w:rsidRPr="008544DD">
        <w:rPr>
          <w:rFonts w:ascii="Times New Roman" w:hAnsi="Times New Roman"/>
          <w:sz w:val="28"/>
          <w:szCs w:val="28"/>
        </w:rPr>
        <w:t xml:space="preserve">  au sein de l’IPSE</w:t>
      </w:r>
      <w:r w:rsidR="00A07DD1" w:rsidRPr="008544DD">
        <w:rPr>
          <w:rFonts w:ascii="Times New Roman" w:hAnsi="Times New Roman"/>
          <w:sz w:val="28"/>
          <w:szCs w:val="28"/>
        </w:rPr>
        <w:t xml:space="preserve"> </w:t>
      </w:r>
      <w:r w:rsidR="00BF7C38">
        <w:rPr>
          <w:rFonts w:ascii="Times New Roman" w:hAnsi="Times New Roman"/>
          <w:sz w:val="28"/>
          <w:szCs w:val="28"/>
        </w:rPr>
        <w:t xml:space="preserve">–Processus de </w:t>
      </w:r>
      <w:r w:rsidR="004E6CCA" w:rsidRPr="00107B3C">
        <w:rPr>
          <w:rFonts w:ascii="Times New Roman" w:hAnsi="Times New Roman"/>
          <w:i/>
          <w:sz w:val="28"/>
          <w:szCs w:val="28"/>
        </w:rPr>
        <w:t>recompo</w:t>
      </w:r>
      <w:r w:rsidR="00BF7C38">
        <w:rPr>
          <w:rFonts w:ascii="Times New Roman" w:hAnsi="Times New Roman"/>
          <w:i/>
          <w:sz w:val="28"/>
          <w:szCs w:val="28"/>
        </w:rPr>
        <w:t>sitions géopolitique</w:t>
      </w:r>
      <w:r w:rsidR="000D0FEE">
        <w:rPr>
          <w:rFonts w:ascii="Times New Roman" w:hAnsi="Times New Roman"/>
          <w:i/>
          <w:sz w:val="28"/>
          <w:szCs w:val="28"/>
        </w:rPr>
        <w:t>s</w:t>
      </w:r>
      <w:r w:rsidR="006F3B69">
        <w:rPr>
          <w:rFonts w:ascii="Times New Roman" w:hAnsi="Times New Roman"/>
          <w:i/>
          <w:sz w:val="28"/>
          <w:szCs w:val="28"/>
        </w:rPr>
        <w:t xml:space="preserve"> et</w:t>
      </w:r>
      <w:r w:rsidR="000D0FEE">
        <w:rPr>
          <w:rFonts w:ascii="Times New Roman" w:hAnsi="Times New Roman"/>
          <w:i/>
          <w:sz w:val="28"/>
          <w:szCs w:val="28"/>
        </w:rPr>
        <w:t xml:space="preserve"> économiques régiona</w:t>
      </w:r>
      <w:r w:rsidR="004455DD">
        <w:rPr>
          <w:rFonts w:ascii="Times New Roman" w:hAnsi="Times New Roman"/>
          <w:i/>
          <w:sz w:val="28"/>
          <w:szCs w:val="28"/>
        </w:rPr>
        <w:t>ux</w:t>
      </w:r>
      <w:r w:rsidR="00BF7C38">
        <w:rPr>
          <w:rFonts w:ascii="Times New Roman" w:hAnsi="Times New Roman"/>
          <w:i/>
          <w:sz w:val="28"/>
          <w:szCs w:val="28"/>
        </w:rPr>
        <w:t xml:space="preserve"> à l’heure de la crise  grecque et ukrainienne.</w:t>
      </w:r>
    </w:p>
    <w:p w:rsidR="00031475" w:rsidRDefault="00031475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227BE" w:rsidRPr="00A227BE" w:rsidRDefault="00A227BE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A227BE">
        <w:rPr>
          <w:rFonts w:ascii="Times New Roman" w:hAnsi="Times New Roman"/>
          <w:b/>
          <w:sz w:val="28"/>
          <w:szCs w:val="28"/>
        </w:rPr>
        <w:t xml:space="preserve">  Questions</w:t>
      </w:r>
    </w:p>
    <w:p w:rsidR="004E6CCA" w:rsidRPr="00A227BE" w:rsidRDefault="00A227BE" w:rsidP="00A227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E5B7F" w:rsidRPr="00C00345" w:rsidRDefault="00AC4DBA" w:rsidP="00C00345">
      <w:pPr>
        <w:ind w:left="708"/>
        <w:jc w:val="both"/>
        <w:rPr>
          <w:rStyle w:val="Emphasis"/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8544DD">
        <w:rPr>
          <w:rFonts w:ascii="Times New Roman" w:hAnsi="Times New Roman"/>
          <w:b/>
          <w:sz w:val="28"/>
          <w:szCs w:val="28"/>
          <w:u w:val="single"/>
        </w:rPr>
        <w:t>Regards multiples</w:t>
      </w:r>
      <w:r w:rsidR="00CF5205" w:rsidRPr="008544DD">
        <w:rPr>
          <w:rFonts w:ascii="Times New Roman" w:hAnsi="Times New Roman"/>
          <w:b/>
          <w:sz w:val="28"/>
          <w:szCs w:val="28"/>
          <w:u w:val="single"/>
        </w:rPr>
        <w:t xml:space="preserve"> sur le contexte</w:t>
      </w:r>
      <w:r w:rsidRPr="008544DD">
        <w:rPr>
          <w:rFonts w:ascii="Times New Roman" w:hAnsi="Times New Roman"/>
          <w:b/>
          <w:sz w:val="28"/>
          <w:szCs w:val="28"/>
          <w:u w:val="single"/>
        </w:rPr>
        <w:t xml:space="preserve"> des  acteurs régionaux et </w:t>
      </w:r>
      <w:proofErr w:type="spellStart"/>
      <w:r w:rsidRPr="008544DD">
        <w:rPr>
          <w:rFonts w:ascii="Times New Roman" w:hAnsi="Times New Roman"/>
          <w:b/>
          <w:sz w:val="28"/>
          <w:szCs w:val="28"/>
          <w:u w:val="single"/>
        </w:rPr>
        <w:t>extra-régionaux</w:t>
      </w:r>
      <w:proofErr w:type="spellEnd"/>
    </w:p>
    <w:p w:rsidR="00DF5B43" w:rsidRDefault="003601EF" w:rsidP="00B22750">
      <w:pPr>
        <w:pStyle w:val="ListParagraph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601E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Krzysztof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601E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Soloch</w:t>
      </w:r>
      <w:proofErr w:type="spellEnd"/>
    </w:p>
    <w:p w:rsidR="00696EC9" w:rsidRDefault="003601EF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DF5B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6D3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hercheur  associé à</w:t>
      </w:r>
      <w:r w:rsidR="003B53C9" w:rsidRPr="006D3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la</w:t>
      </w:r>
      <w:r w:rsidRPr="006D3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F</w:t>
      </w:r>
      <w:r w:rsidR="003B53C9" w:rsidRPr="006D3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ondation pour la  recherche  stratégique</w:t>
      </w:r>
      <w:r w:rsidR="00DF5B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(FRS)</w:t>
      </w:r>
      <w:r w:rsidR="00573373" w:rsidRPr="006D3639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-</w:t>
      </w:r>
      <w:r w:rsidR="00C63B8D" w:rsidRPr="008544DD">
        <w:rPr>
          <w:rFonts w:ascii="Times New Roman" w:hAnsi="Times New Roman"/>
          <w:sz w:val="28"/>
          <w:szCs w:val="28"/>
        </w:rPr>
        <w:t xml:space="preserve"> </w:t>
      </w:r>
    </w:p>
    <w:p w:rsidR="00A212D9" w:rsidRPr="00AA6DFB" w:rsidRDefault="00A212D9" w:rsidP="00B2275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AA6DF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La présence de la Russie sur la scène balkanique, les enjeux stratégiques e</w:t>
      </w:r>
      <w:r w:rsidR="009D6FE5" w:rsidRPr="00AA6DF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t les objectifs poursuivis sont-</w:t>
      </w:r>
      <w:r w:rsidRPr="00AA6DF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ils complémentaires ou contradictoires avec les processus d'intégration à l'Union européenne? </w:t>
      </w:r>
    </w:p>
    <w:p w:rsidR="00561B11" w:rsidRPr="00AA6DFB" w:rsidRDefault="00087144" w:rsidP="009D6FE5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AA6DFB">
        <w:rPr>
          <w:rFonts w:ascii="Times New Roman" w:hAnsi="Times New Roman"/>
          <w:i/>
          <w:sz w:val="28"/>
          <w:szCs w:val="28"/>
        </w:rPr>
        <w:t xml:space="preserve"> </w:t>
      </w:r>
    </w:p>
    <w:p w:rsidR="00696EC9" w:rsidRPr="00031475" w:rsidRDefault="00696EC9" w:rsidP="00696EC9">
      <w:pPr>
        <w:pStyle w:val="ListParagraph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31475">
        <w:rPr>
          <w:rFonts w:ascii="Times New Roman" w:hAnsi="Times New Roman"/>
          <w:b/>
          <w:bCs/>
          <w:sz w:val="28"/>
          <w:szCs w:val="28"/>
        </w:rPr>
        <w:t>Oxana</w:t>
      </w:r>
      <w:proofErr w:type="spellEnd"/>
      <w:r w:rsidRPr="00031475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031475">
        <w:rPr>
          <w:rFonts w:ascii="Times New Roman" w:hAnsi="Times New Roman"/>
          <w:b/>
          <w:sz w:val="28"/>
          <w:szCs w:val="28"/>
          <w:shd w:val="clear" w:color="auto" w:fill="FFFFFF"/>
        </w:rPr>
        <w:t>Solomakha</w:t>
      </w:r>
      <w:proofErr w:type="spellEnd"/>
    </w:p>
    <w:p w:rsidR="00696EC9" w:rsidRDefault="009D6FE5" w:rsidP="00696EC9">
      <w:pPr>
        <w:pStyle w:val="ListParagraph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Spé</w:t>
      </w:r>
      <w:r w:rsidR="00696EC9" w:rsidRPr="008544DD">
        <w:rPr>
          <w:rFonts w:ascii="Times New Roman" w:hAnsi="Times New Roman"/>
          <w:sz w:val="28"/>
          <w:szCs w:val="28"/>
          <w:shd w:val="clear" w:color="auto" w:fill="FFFFFF"/>
        </w:rPr>
        <w:t>cialiste  des relations Chine-</w:t>
      </w:r>
      <w:r w:rsidR="00696EC9" w:rsidRPr="008544DD">
        <w:rPr>
          <w:rFonts w:ascii="Times New Roman" w:hAnsi="Times New Roman"/>
          <w:sz w:val="28"/>
          <w:szCs w:val="28"/>
        </w:rPr>
        <w:t> </w:t>
      </w:r>
      <w:r w:rsidR="00696EC9">
        <w:rPr>
          <w:rFonts w:ascii="Times New Roman" w:hAnsi="Times New Roman"/>
          <w:sz w:val="28"/>
          <w:szCs w:val="28"/>
          <w:shd w:val="clear" w:color="auto" w:fill="FFFFFF"/>
        </w:rPr>
        <w:t xml:space="preserve">Russie  </w:t>
      </w:r>
      <w:r w:rsidR="00696EC9" w:rsidRPr="008544DD">
        <w:rPr>
          <w:rFonts w:ascii="Times New Roman" w:hAnsi="Times New Roman"/>
          <w:sz w:val="28"/>
          <w:szCs w:val="28"/>
          <w:shd w:val="clear" w:color="auto" w:fill="FFFFFF"/>
        </w:rPr>
        <w:t>au  sein  de l’IPSE</w:t>
      </w:r>
    </w:p>
    <w:p w:rsidR="00AA6DFB" w:rsidRPr="00F465D8" w:rsidRDefault="00696EC9" w:rsidP="00F465D8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AA6DF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L'évolution des relations sino-russes suite à la crise ukrainienne</w:t>
      </w:r>
      <w:r w:rsidRPr="00AA6DF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-  L’impact  des  relations   Russie- Europe orientale</w:t>
      </w:r>
    </w:p>
    <w:p w:rsidR="00AA6DFB" w:rsidRDefault="00AA6DFB" w:rsidP="00A212D9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AA6DFB" w:rsidRDefault="00AA6DFB" w:rsidP="00A212D9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A212D9" w:rsidRDefault="00031475" w:rsidP="00A212D9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A04E6C">
        <w:rPr>
          <w:rFonts w:ascii="Times New Roman" w:hAnsi="Times New Roman"/>
          <w:b/>
          <w:sz w:val="28"/>
          <w:szCs w:val="28"/>
        </w:rPr>
        <w:t>Renaud  Bouchard</w:t>
      </w:r>
    </w:p>
    <w:p w:rsidR="009D6FE5" w:rsidRPr="00AA6DFB" w:rsidRDefault="00053771" w:rsidP="009D6FE5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53771">
        <w:rPr>
          <w:rFonts w:ascii="Times New Roman" w:hAnsi="Times New Roman"/>
          <w:sz w:val="28"/>
          <w:szCs w:val="28"/>
        </w:rPr>
        <w:t>Géopoliticien,  économiste</w:t>
      </w:r>
      <w:r>
        <w:rPr>
          <w:rFonts w:ascii="Times New Roman" w:hAnsi="Times New Roman"/>
          <w:sz w:val="28"/>
          <w:szCs w:val="28"/>
        </w:rPr>
        <w:t xml:space="preserve"> -</w:t>
      </w:r>
      <w:r w:rsidR="00031475" w:rsidRPr="00A212D9">
        <w:rPr>
          <w:rFonts w:ascii="Times New Roman" w:hAnsi="Times New Roman"/>
          <w:sz w:val="28"/>
          <w:szCs w:val="28"/>
        </w:rPr>
        <w:t xml:space="preserve"> </w:t>
      </w:r>
      <w:r w:rsidR="009D6F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="009D6FE5" w:rsidRPr="00AA6DF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Quelle  trajectoire  pour la Grèce  dans un contexte  économique  européen incertain  alors qu’un rapprochement  avec la  Chine  et la Russie  semble constituer  une opportunité ?</w:t>
      </w:r>
    </w:p>
    <w:p w:rsidR="009D6FE5" w:rsidRDefault="00031475" w:rsidP="009D6FE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1475">
        <w:rPr>
          <w:rFonts w:ascii="Times New Roman" w:hAnsi="Times New Roman"/>
          <w:b/>
          <w:sz w:val="28"/>
          <w:szCs w:val="28"/>
          <w:shd w:val="clear" w:color="auto" w:fill="FFFFFF"/>
        </w:rPr>
        <w:t>Pierre Arnold</w:t>
      </w:r>
    </w:p>
    <w:p w:rsidR="00031475" w:rsidRPr="00AA6DFB" w:rsidRDefault="00031475" w:rsidP="009D6FE5">
      <w:pPr>
        <w:ind w:left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D6F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Spécialiste des Balkans /Europe du Sud au sein  de l’IPSE - </w:t>
      </w:r>
      <w:r w:rsidRPr="00AA6DFB">
        <w:rPr>
          <w:rFonts w:ascii="Times New Roman" w:hAnsi="Times New Roman"/>
          <w:i/>
          <w:sz w:val="28"/>
          <w:szCs w:val="28"/>
          <w:shd w:val="clear" w:color="auto" w:fill="FFFFFF"/>
        </w:rPr>
        <w:t>Conséquences d’une éventuelle révision des Accords de Dayton/ Paris</w:t>
      </w:r>
    </w:p>
    <w:p w:rsidR="00B50C14" w:rsidRPr="00A227BE" w:rsidRDefault="00031475" w:rsidP="00A227BE">
      <w:pPr>
        <w:pStyle w:val="ListParagraph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61EC" w:rsidRPr="00624443" w:rsidRDefault="008D61EC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E6CCA" w:rsidRPr="00624443" w:rsidRDefault="004E6CCA" w:rsidP="00B2275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624443">
        <w:rPr>
          <w:rFonts w:ascii="Times New Roman" w:hAnsi="Times New Roman"/>
          <w:b/>
          <w:sz w:val="28"/>
          <w:szCs w:val="28"/>
        </w:rPr>
        <w:t xml:space="preserve">  Questions</w:t>
      </w:r>
      <w:r w:rsidR="00A227BE">
        <w:rPr>
          <w:rFonts w:ascii="Times New Roman" w:hAnsi="Times New Roman"/>
          <w:b/>
          <w:sz w:val="28"/>
          <w:szCs w:val="28"/>
        </w:rPr>
        <w:t xml:space="preserve">  et  Débat</w:t>
      </w:r>
    </w:p>
    <w:p w:rsidR="004E6CCA" w:rsidRPr="00B22750" w:rsidRDefault="004E6CCA" w:rsidP="00B2275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E6CCA" w:rsidRPr="00B22750" w:rsidRDefault="004E6CCA" w:rsidP="00B2275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E6CCA" w:rsidRPr="001265A1" w:rsidRDefault="007D7C8A" w:rsidP="00B2275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5A4263" w:rsidRPr="00704C6F">
        <w:rPr>
          <w:rFonts w:ascii="Times New Roman" w:hAnsi="Times New Roman"/>
          <w:b/>
          <w:sz w:val="28"/>
          <w:szCs w:val="28"/>
        </w:rPr>
        <w:t xml:space="preserve"> </w:t>
      </w:r>
    </w:p>
    <w:sectPr w:rsidR="004E6CCA" w:rsidRPr="001265A1" w:rsidSect="00A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8D"/>
    <w:multiLevelType w:val="hybridMultilevel"/>
    <w:tmpl w:val="7A6A9A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7502"/>
    <w:multiLevelType w:val="hybridMultilevel"/>
    <w:tmpl w:val="7C0EBEA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33F79"/>
    <w:multiLevelType w:val="hybridMultilevel"/>
    <w:tmpl w:val="CD6C387E"/>
    <w:lvl w:ilvl="0" w:tplc="63063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4397"/>
    <w:multiLevelType w:val="hybridMultilevel"/>
    <w:tmpl w:val="58C03B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6FF"/>
    <w:rsid w:val="000022B1"/>
    <w:rsid w:val="00031475"/>
    <w:rsid w:val="00044E70"/>
    <w:rsid w:val="00051609"/>
    <w:rsid w:val="00053771"/>
    <w:rsid w:val="00070558"/>
    <w:rsid w:val="000715BF"/>
    <w:rsid w:val="00087144"/>
    <w:rsid w:val="000B59A4"/>
    <w:rsid w:val="000D0FEE"/>
    <w:rsid w:val="000D420C"/>
    <w:rsid w:val="000D4C1F"/>
    <w:rsid w:val="000E3B03"/>
    <w:rsid w:val="000E5B7F"/>
    <w:rsid w:val="0010384A"/>
    <w:rsid w:val="0010520E"/>
    <w:rsid w:val="00107B3C"/>
    <w:rsid w:val="0011097D"/>
    <w:rsid w:val="001265A1"/>
    <w:rsid w:val="00145A7C"/>
    <w:rsid w:val="00150FF2"/>
    <w:rsid w:val="0019187C"/>
    <w:rsid w:val="001936CC"/>
    <w:rsid w:val="001D59C9"/>
    <w:rsid w:val="001E5B7F"/>
    <w:rsid w:val="001F49CB"/>
    <w:rsid w:val="00202185"/>
    <w:rsid w:val="00225619"/>
    <w:rsid w:val="00232A23"/>
    <w:rsid w:val="00235BD4"/>
    <w:rsid w:val="002463BD"/>
    <w:rsid w:val="002501D3"/>
    <w:rsid w:val="00250B47"/>
    <w:rsid w:val="002657FD"/>
    <w:rsid w:val="002703BF"/>
    <w:rsid w:val="00291E13"/>
    <w:rsid w:val="0029651E"/>
    <w:rsid w:val="002C5FEA"/>
    <w:rsid w:val="002C742F"/>
    <w:rsid w:val="002E1821"/>
    <w:rsid w:val="00301777"/>
    <w:rsid w:val="003255CE"/>
    <w:rsid w:val="00325978"/>
    <w:rsid w:val="0033027B"/>
    <w:rsid w:val="00330CB3"/>
    <w:rsid w:val="003318AC"/>
    <w:rsid w:val="00333F2B"/>
    <w:rsid w:val="00357574"/>
    <w:rsid w:val="00357590"/>
    <w:rsid w:val="003601EF"/>
    <w:rsid w:val="003629E5"/>
    <w:rsid w:val="003838DE"/>
    <w:rsid w:val="00384BC6"/>
    <w:rsid w:val="003A063E"/>
    <w:rsid w:val="003B5394"/>
    <w:rsid w:val="003B53C9"/>
    <w:rsid w:val="003C4D65"/>
    <w:rsid w:val="003F651E"/>
    <w:rsid w:val="0041471E"/>
    <w:rsid w:val="0042142C"/>
    <w:rsid w:val="00421F91"/>
    <w:rsid w:val="0044109D"/>
    <w:rsid w:val="00444D56"/>
    <w:rsid w:val="004455DD"/>
    <w:rsid w:val="0047229E"/>
    <w:rsid w:val="00481629"/>
    <w:rsid w:val="00497413"/>
    <w:rsid w:val="004C5733"/>
    <w:rsid w:val="004E6CCA"/>
    <w:rsid w:val="004F2577"/>
    <w:rsid w:val="004F4C94"/>
    <w:rsid w:val="0052606C"/>
    <w:rsid w:val="00536023"/>
    <w:rsid w:val="00547DC7"/>
    <w:rsid w:val="00551395"/>
    <w:rsid w:val="00561B11"/>
    <w:rsid w:val="0057003A"/>
    <w:rsid w:val="00573373"/>
    <w:rsid w:val="005A4263"/>
    <w:rsid w:val="005B5DA8"/>
    <w:rsid w:val="005C0EFF"/>
    <w:rsid w:val="005C1F1E"/>
    <w:rsid w:val="005D1C30"/>
    <w:rsid w:val="005D599F"/>
    <w:rsid w:val="005D6D63"/>
    <w:rsid w:val="005E06FF"/>
    <w:rsid w:val="005F5796"/>
    <w:rsid w:val="00614257"/>
    <w:rsid w:val="00624443"/>
    <w:rsid w:val="00634123"/>
    <w:rsid w:val="00637714"/>
    <w:rsid w:val="006450F6"/>
    <w:rsid w:val="00651313"/>
    <w:rsid w:val="006577B1"/>
    <w:rsid w:val="00661995"/>
    <w:rsid w:val="00666AA8"/>
    <w:rsid w:val="0066717D"/>
    <w:rsid w:val="0068617E"/>
    <w:rsid w:val="00686A7B"/>
    <w:rsid w:val="00696EC9"/>
    <w:rsid w:val="006B222E"/>
    <w:rsid w:val="006D3639"/>
    <w:rsid w:val="006D6CFE"/>
    <w:rsid w:val="006D7285"/>
    <w:rsid w:val="006F3B69"/>
    <w:rsid w:val="006F5ED3"/>
    <w:rsid w:val="00704C6F"/>
    <w:rsid w:val="007244C8"/>
    <w:rsid w:val="00732DA0"/>
    <w:rsid w:val="00753DFC"/>
    <w:rsid w:val="00770704"/>
    <w:rsid w:val="00770B94"/>
    <w:rsid w:val="007718B4"/>
    <w:rsid w:val="00780403"/>
    <w:rsid w:val="0078783C"/>
    <w:rsid w:val="007B7966"/>
    <w:rsid w:val="007D0872"/>
    <w:rsid w:val="007D7C8A"/>
    <w:rsid w:val="007E1B88"/>
    <w:rsid w:val="007E555E"/>
    <w:rsid w:val="00820EE1"/>
    <w:rsid w:val="00835B7B"/>
    <w:rsid w:val="00843EB8"/>
    <w:rsid w:val="00846E94"/>
    <w:rsid w:val="00850CF2"/>
    <w:rsid w:val="008544DD"/>
    <w:rsid w:val="00883EB8"/>
    <w:rsid w:val="00893141"/>
    <w:rsid w:val="008A02BE"/>
    <w:rsid w:val="008B02E7"/>
    <w:rsid w:val="008B34C3"/>
    <w:rsid w:val="008D61EC"/>
    <w:rsid w:val="00904E90"/>
    <w:rsid w:val="00915A74"/>
    <w:rsid w:val="0095069B"/>
    <w:rsid w:val="00955B09"/>
    <w:rsid w:val="00961627"/>
    <w:rsid w:val="00962261"/>
    <w:rsid w:val="00964ED7"/>
    <w:rsid w:val="0096538A"/>
    <w:rsid w:val="009876E9"/>
    <w:rsid w:val="00991F0B"/>
    <w:rsid w:val="009A224F"/>
    <w:rsid w:val="009B5448"/>
    <w:rsid w:val="009C2468"/>
    <w:rsid w:val="009D21CB"/>
    <w:rsid w:val="009D614E"/>
    <w:rsid w:val="009D6FE5"/>
    <w:rsid w:val="009F3590"/>
    <w:rsid w:val="00A04E6C"/>
    <w:rsid w:val="00A07DD1"/>
    <w:rsid w:val="00A1093C"/>
    <w:rsid w:val="00A152E3"/>
    <w:rsid w:val="00A212D9"/>
    <w:rsid w:val="00A227BE"/>
    <w:rsid w:val="00A3175E"/>
    <w:rsid w:val="00A52033"/>
    <w:rsid w:val="00A56762"/>
    <w:rsid w:val="00A61E27"/>
    <w:rsid w:val="00A8219D"/>
    <w:rsid w:val="00A83870"/>
    <w:rsid w:val="00AA0329"/>
    <w:rsid w:val="00AA5708"/>
    <w:rsid w:val="00AA6DFB"/>
    <w:rsid w:val="00AB7E97"/>
    <w:rsid w:val="00AC1709"/>
    <w:rsid w:val="00AC4381"/>
    <w:rsid w:val="00AC4DBA"/>
    <w:rsid w:val="00AD4B80"/>
    <w:rsid w:val="00AE271F"/>
    <w:rsid w:val="00AF5A46"/>
    <w:rsid w:val="00B045DA"/>
    <w:rsid w:val="00B131B2"/>
    <w:rsid w:val="00B15DDE"/>
    <w:rsid w:val="00B22750"/>
    <w:rsid w:val="00B40B28"/>
    <w:rsid w:val="00B50C14"/>
    <w:rsid w:val="00B5332B"/>
    <w:rsid w:val="00B7135D"/>
    <w:rsid w:val="00B77A10"/>
    <w:rsid w:val="00B85260"/>
    <w:rsid w:val="00B964BA"/>
    <w:rsid w:val="00BA7C65"/>
    <w:rsid w:val="00BB0CDF"/>
    <w:rsid w:val="00BB6340"/>
    <w:rsid w:val="00BF7C38"/>
    <w:rsid w:val="00C00345"/>
    <w:rsid w:val="00C0517D"/>
    <w:rsid w:val="00C075CD"/>
    <w:rsid w:val="00C1005B"/>
    <w:rsid w:val="00C225A6"/>
    <w:rsid w:val="00C34D82"/>
    <w:rsid w:val="00C358A8"/>
    <w:rsid w:val="00C63411"/>
    <w:rsid w:val="00C63B8D"/>
    <w:rsid w:val="00C67F04"/>
    <w:rsid w:val="00CA1BCD"/>
    <w:rsid w:val="00CB07C6"/>
    <w:rsid w:val="00CC26E9"/>
    <w:rsid w:val="00CC7B1D"/>
    <w:rsid w:val="00CF5205"/>
    <w:rsid w:val="00D00A7D"/>
    <w:rsid w:val="00D02CB1"/>
    <w:rsid w:val="00D129C5"/>
    <w:rsid w:val="00D57A76"/>
    <w:rsid w:val="00D668D8"/>
    <w:rsid w:val="00D702EA"/>
    <w:rsid w:val="00D74AC0"/>
    <w:rsid w:val="00DA1380"/>
    <w:rsid w:val="00DB1AED"/>
    <w:rsid w:val="00DD4C2F"/>
    <w:rsid w:val="00DE0A4F"/>
    <w:rsid w:val="00DF5B43"/>
    <w:rsid w:val="00E15A1F"/>
    <w:rsid w:val="00E54E66"/>
    <w:rsid w:val="00E61AE4"/>
    <w:rsid w:val="00E65434"/>
    <w:rsid w:val="00E77AB1"/>
    <w:rsid w:val="00E8690C"/>
    <w:rsid w:val="00ED2224"/>
    <w:rsid w:val="00ED7D4A"/>
    <w:rsid w:val="00F3072A"/>
    <w:rsid w:val="00F32B9C"/>
    <w:rsid w:val="00F41462"/>
    <w:rsid w:val="00F465D8"/>
    <w:rsid w:val="00F50BD7"/>
    <w:rsid w:val="00F870B8"/>
    <w:rsid w:val="00FA6881"/>
    <w:rsid w:val="00FC11ED"/>
    <w:rsid w:val="00FC1C73"/>
    <w:rsid w:val="00FD334A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6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7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152E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7A76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421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C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H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%C3%89cole_des_Hautes_%C3%89tudes_en_Sciences_Soci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n.wikipedia.org/w/index.php?title=CEMI-EHES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/index.php?title=Centre_d%27%C3%89tude_des_Modes_d%27Industrialisation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 Balkans occidentaux  et orientaux  à l’heure des défis économiques et géopolitiques en cours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Balkans occidentaux  et orientaux  à l’heure des défis économiques et géopolitiques en cours</dc:title>
  <dc:creator>Arta</dc:creator>
  <cp:lastModifiedBy>Arta</cp:lastModifiedBy>
  <cp:revision>85</cp:revision>
  <dcterms:created xsi:type="dcterms:W3CDTF">2015-03-19T11:47:00Z</dcterms:created>
  <dcterms:modified xsi:type="dcterms:W3CDTF">2015-04-10T00:32:00Z</dcterms:modified>
</cp:coreProperties>
</file>