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F6" w:rsidRDefault="008520F6" w:rsidP="00352B86">
      <w:pPr>
        <w:widowControl w:val="0"/>
        <w:autoSpaceDE w:val="0"/>
        <w:autoSpaceDN w:val="0"/>
        <w:adjustRightInd w:val="0"/>
        <w:spacing w:after="0" w:line="240" w:lineRule="auto"/>
        <w:jc w:val="both"/>
        <w:rPr>
          <w:rFonts w:ascii="Times New Roman" w:hAnsi="Times New Roman"/>
          <w:b/>
          <w:bCs/>
          <w:sz w:val="24"/>
          <w:szCs w:val="24"/>
        </w:rPr>
      </w:pPr>
      <w:r w:rsidRPr="008520F6">
        <w:rPr>
          <w:rFonts w:ascii="Times New Roman" w:hAnsi="Times New Roman"/>
          <w:b/>
          <w:bCs/>
          <w:sz w:val="24"/>
          <w:szCs w:val="24"/>
        </w:rPr>
        <w:t xml:space="preserve">La sélection des distributeurs : </w:t>
      </w:r>
      <w:r w:rsidR="005E4E6A">
        <w:rPr>
          <w:rFonts w:ascii="Times New Roman" w:hAnsi="Times New Roman"/>
          <w:b/>
          <w:bCs/>
          <w:sz w:val="24"/>
          <w:szCs w:val="24"/>
        </w:rPr>
        <w:t>l’autonomie des règles du droit des contrats et de droit de la concurrence</w:t>
      </w:r>
      <w:r w:rsidRPr="008520F6">
        <w:rPr>
          <w:rFonts w:ascii="Times New Roman" w:hAnsi="Times New Roman"/>
          <w:b/>
          <w:bCs/>
          <w:sz w:val="24"/>
          <w:szCs w:val="24"/>
        </w:rPr>
        <w:t xml:space="preserve">. </w:t>
      </w:r>
    </w:p>
    <w:p w:rsidR="00EF6818" w:rsidRDefault="00EF6818" w:rsidP="00352B86">
      <w:pPr>
        <w:widowControl w:val="0"/>
        <w:autoSpaceDE w:val="0"/>
        <w:autoSpaceDN w:val="0"/>
        <w:adjustRightInd w:val="0"/>
        <w:spacing w:after="0" w:line="240" w:lineRule="auto"/>
        <w:jc w:val="both"/>
        <w:rPr>
          <w:rFonts w:ascii="Times New Roman" w:hAnsi="Times New Roman"/>
          <w:bCs/>
          <w:sz w:val="24"/>
          <w:szCs w:val="24"/>
        </w:rPr>
      </w:pPr>
    </w:p>
    <w:p w:rsidR="00A66354" w:rsidRDefault="00A66354" w:rsidP="00352B86">
      <w:pPr>
        <w:widowControl w:val="0"/>
        <w:autoSpaceDE w:val="0"/>
        <w:autoSpaceDN w:val="0"/>
        <w:adjustRightInd w:val="0"/>
        <w:spacing w:after="0" w:line="240" w:lineRule="auto"/>
        <w:jc w:val="both"/>
        <w:rPr>
          <w:rFonts w:ascii="Times New Roman" w:hAnsi="Times New Roman"/>
          <w:bCs/>
          <w:sz w:val="24"/>
          <w:szCs w:val="24"/>
        </w:rPr>
      </w:pPr>
    </w:p>
    <w:p w:rsidR="005E4E6A" w:rsidRPr="005E4E6A" w:rsidRDefault="00A66354" w:rsidP="00352B86">
      <w:pPr>
        <w:widowControl w:val="0"/>
        <w:autoSpaceDE w:val="0"/>
        <w:autoSpaceDN w:val="0"/>
        <w:adjustRightInd w:val="0"/>
        <w:spacing w:after="0" w:line="240" w:lineRule="auto"/>
        <w:jc w:val="both"/>
        <w:rPr>
          <w:rFonts w:ascii="Times New Roman" w:hAnsi="Times New Roman"/>
          <w:sz w:val="20"/>
          <w:szCs w:val="20"/>
        </w:rPr>
      </w:pPr>
      <w:r w:rsidRPr="005E4E6A">
        <w:rPr>
          <w:rFonts w:ascii="Times New Roman" w:hAnsi="Times New Roman"/>
          <w:sz w:val="20"/>
          <w:szCs w:val="20"/>
        </w:rPr>
        <w:t>L</w:t>
      </w:r>
      <w:r w:rsidRPr="005E4E6A">
        <w:rPr>
          <w:rFonts w:ascii="Times New Roman" w:hAnsi="Times New Roman"/>
          <w:sz w:val="20"/>
          <w:szCs w:val="20"/>
        </w:rPr>
        <w:t xml:space="preserve">’exigence de bonne foi </w:t>
      </w:r>
      <w:r w:rsidR="005E4E6A" w:rsidRPr="005E4E6A">
        <w:rPr>
          <w:rFonts w:ascii="Times New Roman" w:hAnsi="Times New Roman"/>
          <w:sz w:val="20"/>
          <w:szCs w:val="20"/>
        </w:rPr>
        <w:t xml:space="preserve">contractuelle </w:t>
      </w:r>
      <w:r w:rsidRPr="005E4E6A">
        <w:rPr>
          <w:rFonts w:ascii="Times New Roman" w:hAnsi="Times New Roman"/>
          <w:sz w:val="20"/>
          <w:szCs w:val="20"/>
        </w:rPr>
        <w:t>ne requiert pas, de la part de la tête d’un réseau de distribution la détermination et la mise en œuvre d’un processus de sélection</w:t>
      </w:r>
      <w:r w:rsidR="005E4E6A" w:rsidRPr="005E4E6A">
        <w:rPr>
          <w:rFonts w:ascii="Times New Roman" w:hAnsi="Times New Roman"/>
          <w:sz w:val="20"/>
          <w:szCs w:val="20"/>
        </w:rPr>
        <w:t xml:space="preserve"> fondé sur l’application des règles du droit de la concurrence, </w:t>
      </w:r>
      <w:r w:rsidR="005E4E6A" w:rsidRPr="005E4E6A">
        <w:rPr>
          <w:rFonts w:ascii="Times New Roman" w:hAnsi="Times New Roman"/>
          <w:sz w:val="20"/>
          <w:szCs w:val="20"/>
        </w:rPr>
        <w:t>sur le fondement de critères définis et objectivement fixés et appliquer ceux-ci de manière non-discriminatoire</w:t>
      </w:r>
      <w:r w:rsidR="005E4E6A" w:rsidRPr="005E4E6A">
        <w:rPr>
          <w:rFonts w:ascii="Times New Roman" w:hAnsi="Times New Roman"/>
          <w:sz w:val="20"/>
          <w:szCs w:val="20"/>
        </w:rPr>
        <w:t>.</w:t>
      </w:r>
      <w:r w:rsidR="005E4E6A">
        <w:rPr>
          <w:rFonts w:ascii="Times New Roman" w:hAnsi="Times New Roman"/>
          <w:sz w:val="20"/>
          <w:szCs w:val="20"/>
        </w:rPr>
        <w:t xml:space="preserve"> La tête de réseau n’a donc pas à mettre œuvre, en droit des contrats, cette exigence purement concurrentielle.</w:t>
      </w:r>
    </w:p>
    <w:p w:rsidR="00A66354" w:rsidRDefault="005E4E6A" w:rsidP="00352B86">
      <w:pPr>
        <w:widowControl w:val="0"/>
        <w:autoSpaceDE w:val="0"/>
        <w:autoSpaceDN w:val="0"/>
        <w:adjustRightInd w:val="0"/>
        <w:spacing w:after="0" w:line="240" w:lineRule="auto"/>
        <w:jc w:val="both"/>
        <w:rPr>
          <w:rFonts w:ascii="Times New Roman" w:hAnsi="Times New Roman"/>
          <w:bCs/>
          <w:sz w:val="24"/>
          <w:szCs w:val="24"/>
        </w:rPr>
      </w:pPr>
      <w:r w:rsidRPr="00EF6818">
        <w:rPr>
          <w:rFonts w:ascii="Times New Roman" w:hAnsi="Times New Roman"/>
          <w:i/>
          <w:sz w:val="24"/>
          <w:szCs w:val="24"/>
        </w:rPr>
        <w:t> </w:t>
      </w:r>
    </w:p>
    <w:p w:rsidR="008520F6" w:rsidRPr="00EF6818" w:rsidRDefault="008520F6" w:rsidP="00352B86">
      <w:pPr>
        <w:widowControl w:val="0"/>
        <w:autoSpaceDE w:val="0"/>
        <w:autoSpaceDN w:val="0"/>
        <w:adjustRightInd w:val="0"/>
        <w:spacing w:after="0" w:line="240" w:lineRule="auto"/>
        <w:jc w:val="both"/>
        <w:rPr>
          <w:rFonts w:ascii="Times New Roman" w:hAnsi="Times New Roman"/>
          <w:bCs/>
          <w:sz w:val="24"/>
          <w:szCs w:val="24"/>
        </w:rPr>
      </w:pPr>
      <w:r w:rsidRPr="00EF6818">
        <w:rPr>
          <w:rFonts w:ascii="Times New Roman" w:hAnsi="Times New Roman"/>
          <w:bCs/>
          <w:sz w:val="24"/>
          <w:szCs w:val="24"/>
        </w:rPr>
        <w:t xml:space="preserve">D. </w:t>
      </w:r>
      <w:proofErr w:type="spellStart"/>
      <w:r w:rsidRPr="00EF6818">
        <w:rPr>
          <w:rFonts w:ascii="Times New Roman" w:hAnsi="Times New Roman"/>
          <w:bCs/>
          <w:sz w:val="24"/>
          <w:szCs w:val="24"/>
        </w:rPr>
        <w:t>Mainguy</w:t>
      </w:r>
      <w:proofErr w:type="spellEnd"/>
    </w:p>
    <w:p w:rsidR="008520F6" w:rsidRDefault="008520F6" w:rsidP="00352B86">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Professeur à la faculté de droit et science politique de Montpellier,</w:t>
      </w:r>
    </w:p>
    <w:p w:rsidR="008520F6" w:rsidRDefault="008520F6" w:rsidP="00352B86">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Centre de droit de la consommation et du marché (CDCM, UMR-CNRS 5815 « Dynamiques du droit »).</w:t>
      </w:r>
    </w:p>
    <w:p w:rsidR="008520F6" w:rsidRPr="008520F6" w:rsidRDefault="008520F6" w:rsidP="00352B86">
      <w:pPr>
        <w:widowControl w:val="0"/>
        <w:autoSpaceDE w:val="0"/>
        <w:autoSpaceDN w:val="0"/>
        <w:adjustRightInd w:val="0"/>
        <w:spacing w:after="0" w:line="240" w:lineRule="auto"/>
        <w:jc w:val="both"/>
        <w:rPr>
          <w:rFonts w:ascii="Times New Roman" w:hAnsi="Times New Roman"/>
          <w:bCs/>
          <w:sz w:val="24"/>
          <w:szCs w:val="24"/>
        </w:rPr>
      </w:pPr>
    </w:p>
    <w:p w:rsidR="00EF6818" w:rsidRDefault="00352B86" w:rsidP="00EF6818">
      <w:pPr>
        <w:widowControl w:val="0"/>
        <w:numPr>
          <w:ilvl w:val="0"/>
          <w:numId w:val="2"/>
        </w:numPr>
        <w:autoSpaceDE w:val="0"/>
        <w:autoSpaceDN w:val="0"/>
        <w:adjustRightInd w:val="0"/>
        <w:spacing w:after="0" w:line="240" w:lineRule="auto"/>
        <w:ind w:left="-3"/>
        <w:jc w:val="both"/>
        <w:rPr>
          <w:rFonts w:ascii="Times New Roman" w:hAnsi="Times New Roman"/>
          <w:bCs/>
          <w:sz w:val="24"/>
          <w:szCs w:val="24"/>
        </w:rPr>
      </w:pPr>
      <w:r w:rsidRPr="00BB2D1C">
        <w:rPr>
          <w:rFonts w:ascii="Times New Roman" w:hAnsi="Times New Roman"/>
          <w:bCs/>
          <w:sz w:val="24"/>
          <w:szCs w:val="24"/>
        </w:rPr>
        <w:t>Les contrats de distribution s’organisent en suivant des techniques contractuelles qui cherchent à épouser les contours d’un modèle économique déterminé. Les contrats les plus sophistiqués reposent sur des techniques de sélection, par la tête de réseau, des distributeurs, selon des critères particuliers</w:t>
      </w:r>
      <w:r w:rsidR="00EF7B4F">
        <w:rPr>
          <w:rFonts w:ascii="Times New Roman" w:hAnsi="Times New Roman"/>
          <w:bCs/>
          <w:sz w:val="24"/>
          <w:szCs w:val="24"/>
        </w:rPr>
        <w:t>, posés en termes d’expérience, de capacité de financement, ou purement commerciaux, comme la localisation du point de vente, etc</w:t>
      </w:r>
      <w:r w:rsidRPr="00BB2D1C">
        <w:rPr>
          <w:rFonts w:ascii="Times New Roman" w:hAnsi="Times New Roman"/>
          <w:bCs/>
          <w:sz w:val="24"/>
          <w:szCs w:val="24"/>
        </w:rPr>
        <w:t>.</w:t>
      </w:r>
      <w:r w:rsidR="00EF7B4F">
        <w:rPr>
          <w:rFonts w:ascii="Times New Roman" w:hAnsi="Times New Roman"/>
          <w:bCs/>
          <w:sz w:val="24"/>
          <w:szCs w:val="24"/>
        </w:rPr>
        <w:t>, mais également en termes purement numériques, dits, quantitatifs, parce qu’un nombre maximal de distributeurs est déterminé.</w:t>
      </w:r>
      <w:r w:rsidRPr="00BB2D1C">
        <w:rPr>
          <w:rFonts w:ascii="Times New Roman" w:hAnsi="Times New Roman"/>
          <w:bCs/>
          <w:sz w:val="24"/>
          <w:szCs w:val="24"/>
        </w:rPr>
        <w:t xml:space="preserve"> </w:t>
      </w:r>
      <w:r w:rsidR="00DA0A94" w:rsidRPr="00BB2D1C">
        <w:rPr>
          <w:rFonts w:ascii="Times New Roman" w:hAnsi="Times New Roman"/>
          <w:bCs/>
          <w:sz w:val="24"/>
          <w:szCs w:val="24"/>
        </w:rPr>
        <w:t xml:space="preserve">« Sélection », « critères de sélection », le vocabulaire ressemble à celui utilisé pour apprécier la validité, concurrentielle le plus souvent, de contrats de distribution sélective. </w:t>
      </w:r>
      <w:r w:rsidR="00D00B0C" w:rsidRPr="00BB2D1C">
        <w:rPr>
          <w:rFonts w:ascii="Times New Roman" w:hAnsi="Times New Roman"/>
          <w:bCs/>
          <w:sz w:val="24"/>
          <w:szCs w:val="24"/>
        </w:rPr>
        <w:t>En la matière en effet, un contrat de distribution sélective est, au regard des règles du droit de la concurrence, valable à condition que les critères de sélection soient appliqués de manière uniforme et de manière non discriminatoire</w:t>
      </w:r>
      <w:r w:rsidR="00D00B0C" w:rsidRPr="00BB2D1C">
        <w:rPr>
          <w:rStyle w:val="Appelnotedebasdep"/>
          <w:rFonts w:ascii="Times New Roman" w:hAnsi="Times New Roman"/>
          <w:bCs/>
          <w:sz w:val="24"/>
          <w:szCs w:val="24"/>
        </w:rPr>
        <w:footnoteReference w:id="1"/>
      </w:r>
      <w:r w:rsidR="00D00B0C" w:rsidRPr="00BB2D1C">
        <w:rPr>
          <w:rFonts w:ascii="Times New Roman" w:hAnsi="Times New Roman"/>
          <w:bCs/>
          <w:sz w:val="24"/>
          <w:szCs w:val="24"/>
        </w:rPr>
        <w:t xml:space="preserve">. </w:t>
      </w:r>
    </w:p>
    <w:p w:rsidR="00EF6818" w:rsidRDefault="00EF6818" w:rsidP="00EF6818">
      <w:pPr>
        <w:widowControl w:val="0"/>
        <w:autoSpaceDE w:val="0"/>
        <w:autoSpaceDN w:val="0"/>
        <w:adjustRightInd w:val="0"/>
        <w:spacing w:after="0" w:line="240" w:lineRule="auto"/>
        <w:ind w:left="-3"/>
        <w:jc w:val="both"/>
        <w:rPr>
          <w:rFonts w:ascii="Times New Roman" w:hAnsi="Times New Roman"/>
          <w:bCs/>
          <w:sz w:val="24"/>
          <w:szCs w:val="24"/>
        </w:rPr>
      </w:pPr>
    </w:p>
    <w:p w:rsidR="003048C3" w:rsidRDefault="00D00B0C" w:rsidP="00EF6818">
      <w:pPr>
        <w:widowControl w:val="0"/>
        <w:autoSpaceDE w:val="0"/>
        <w:autoSpaceDN w:val="0"/>
        <w:adjustRightInd w:val="0"/>
        <w:spacing w:after="0" w:line="240" w:lineRule="auto"/>
        <w:ind w:left="-3"/>
        <w:jc w:val="both"/>
        <w:rPr>
          <w:rFonts w:ascii="Times New Roman" w:hAnsi="Times New Roman"/>
          <w:bCs/>
          <w:sz w:val="24"/>
          <w:szCs w:val="24"/>
        </w:rPr>
      </w:pPr>
      <w:r w:rsidRPr="00BB2D1C">
        <w:rPr>
          <w:rFonts w:ascii="Times New Roman" w:hAnsi="Times New Roman"/>
          <w:bCs/>
          <w:sz w:val="24"/>
          <w:szCs w:val="24"/>
        </w:rPr>
        <w:t xml:space="preserve">Longtemps, cette exigence </w:t>
      </w:r>
      <w:r w:rsidR="00EF7B4F">
        <w:rPr>
          <w:rFonts w:ascii="Times New Roman" w:hAnsi="Times New Roman"/>
          <w:bCs/>
          <w:sz w:val="24"/>
          <w:szCs w:val="24"/>
        </w:rPr>
        <w:t xml:space="preserve">concurrentielle </w:t>
      </w:r>
      <w:r w:rsidRPr="00BB2D1C">
        <w:rPr>
          <w:rFonts w:ascii="Times New Roman" w:hAnsi="Times New Roman"/>
          <w:bCs/>
          <w:sz w:val="24"/>
          <w:szCs w:val="24"/>
        </w:rPr>
        <w:t>avait des conséquences contractuelles</w:t>
      </w:r>
      <w:r w:rsidR="00EF7B4F">
        <w:rPr>
          <w:rFonts w:ascii="Times New Roman" w:hAnsi="Times New Roman"/>
          <w:bCs/>
          <w:sz w:val="24"/>
          <w:szCs w:val="24"/>
        </w:rPr>
        <w:t>, du moins le pensait-on, par une surestimation des effets des règles du droit de la concurrence. Ainsi estimait-on, non sans soutien jurisprudentiels, que l</w:t>
      </w:r>
      <w:r w:rsidRPr="00BB2D1C">
        <w:rPr>
          <w:rFonts w:ascii="Times New Roman" w:hAnsi="Times New Roman"/>
          <w:bCs/>
          <w:sz w:val="24"/>
          <w:szCs w:val="24"/>
        </w:rPr>
        <w:t>e fournisseur ne pouvait refuser de conclure un contrat avec un distributeur répondant à ces critères ou de renouveler un contrat avec celui qui continuait de les respecter</w:t>
      </w:r>
      <w:r w:rsidR="00EF7B4F">
        <w:rPr>
          <w:rFonts w:ascii="Times New Roman" w:hAnsi="Times New Roman"/>
          <w:bCs/>
          <w:sz w:val="24"/>
          <w:szCs w:val="24"/>
        </w:rPr>
        <w:t>. C</w:t>
      </w:r>
      <w:r w:rsidRPr="00BB2D1C">
        <w:rPr>
          <w:rFonts w:ascii="Times New Roman" w:hAnsi="Times New Roman"/>
          <w:bCs/>
          <w:sz w:val="24"/>
          <w:szCs w:val="24"/>
        </w:rPr>
        <w:t>ette solution a cependant été récemment renversée</w:t>
      </w:r>
      <w:r w:rsidRPr="00BB2D1C">
        <w:rPr>
          <w:rStyle w:val="Appelnotedebasdep"/>
          <w:rFonts w:ascii="Times New Roman" w:hAnsi="Times New Roman"/>
          <w:bCs/>
          <w:sz w:val="24"/>
          <w:szCs w:val="24"/>
        </w:rPr>
        <w:footnoteReference w:id="2"/>
      </w:r>
      <w:r w:rsidR="003048C3" w:rsidRPr="00BB2D1C">
        <w:rPr>
          <w:rFonts w:ascii="Times New Roman" w:hAnsi="Times New Roman"/>
          <w:bCs/>
          <w:sz w:val="24"/>
          <w:szCs w:val="24"/>
        </w:rPr>
        <w:t xml:space="preserve">, renforçant donc la liberté de contracter du fournisseur, mais déconnectant cette solution de celle qui pourrait être retenue en application des règles du droit de la concurrence, à supposer toutefois que celles-ci s’appliquent. En toute hypothèse, ce renforcement de la place des règles ordinaires du droit des contrats dans </w:t>
      </w:r>
      <w:r w:rsidR="00EF7B4F">
        <w:rPr>
          <w:rFonts w:ascii="Times New Roman" w:hAnsi="Times New Roman"/>
          <w:bCs/>
          <w:sz w:val="24"/>
          <w:szCs w:val="24"/>
        </w:rPr>
        <w:t xml:space="preserve">l’élaboration et la gestion de </w:t>
      </w:r>
      <w:r w:rsidR="003048C3" w:rsidRPr="00BB2D1C">
        <w:rPr>
          <w:rFonts w:ascii="Times New Roman" w:hAnsi="Times New Roman"/>
          <w:bCs/>
          <w:sz w:val="24"/>
          <w:szCs w:val="24"/>
        </w:rPr>
        <w:t>ce contrat singulier qu’est le contrat de distribution sélective le rapproche d’autres formes de contrats de distribution, notamment les formes de distribution exclusive, dites souvent « contrats de concession commerciale ».</w:t>
      </w:r>
    </w:p>
    <w:p w:rsidR="00BB2D1C" w:rsidRPr="00BB2D1C" w:rsidRDefault="00BB2D1C" w:rsidP="00352B86">
      <w:pPr>
        <w:widowControl w:val="0"/>
        <w:autoSpaceDE w:val="0"/>
        <w:autoSpaceDN w:val="0"/>
        <w:adjustRightInd w:val="0"/>
        <w:spacing w:after="0" w:line="240" w:lineRule="auto"/>
        <w:jc w:val="both"/>
        <w:rPr>
          <w:rFonts w:ascii="Times New Roman" w:hAnsi="Times New Roman"/>
          <w:bCs/>
          <w:sz w:val="24"/>
          <w:szCs w:val="24"/>
        </w:rPr>
      </w:pPr>
    </w:p>
    <w:p w:rsidR="00E464C9" w:rsidRPr="00EF6818" w:rsidRDefault="003048C3" w:rsidP="00352B86">
      <w:pPr>
        <w:widowControl w:val="0"/>
        <w:numPr>
          <w:ilvl w:val="0"/>
          <w:numId w:val="2"/>
        </w:numPr>
        <w:autoSpaceDE w:val="0"/>
        <w:autoSpaceDN w:val="0"/>
        <w:adjustRightInd w:val="0"/>
        <w:spacing w:after="0" w:line="240" w:lineRule="auto"/>
        <w:ind w:left="-3"/>
        <w:jc w:val="both"/>
        <w:rPr>
          <w:rFonts w:ascii="Times New Roman" w:hAnsi="Times New Roman"/>
          <w:bCs/>
          <w:sz w:val="24"/>
          <w:szCs w:val="24"/>
        </w:rPr>
      </w:pPr>
      <w:r w:rsidRPr="00EF6818">
        <w:rPr>
          <w:rFonts w:ascii="Times New Roman" w:hAnsi="Times New Roman"/>
          <w:bCs/>
          <w:sz w:val="24"/>
          <w:szCs w:val="24"/>
        </w:rPr>
        <w:t>C’est d’ailleurs</w:t>
      </w:r>
      <w:r w:rsidR="00EF7B4F">
        <w:rPr>
          <w:rFonts w:ascii="Times New Roman" w:hAnsi="Times New Roman"/>
          <w:bCs/>
          <w:sz w:val="24"/>
          <w:szCs w:val="24"/>
        </w:rPr>
        <w:t xml:space="preserve"> en partie</w:t>
      </w:r>
      <w:r w:rsidRPr="00EF6818">
        <w:rPr>
          <w:rFonts w:ascii="Times New Roman" w:hAnsi="Times New Roman"/>
          <w:bCs/>
          <w:sz w:val="24"/>
          <w:szCs w:val="24"/>
        </w:rPr>
        <w:t xml:space="preserve"> cette situation qu’illustre l’arrêt ici rapporté</w:t>
      </w:r>
      <w:r w:rsidRPr="00BB2D1C">
        <w:rPr>
          <w:rStyle w:val="Appelnotedebasdep"/>
          <w:rFonts w:ascii="Times New Roman" w:hAnsi="Times New Roman"/>
          <w:bCs/>
          <w:sz w:val="24"/>
          <w:szCs w:val="24"/>
        </w:rPr>
        <w:footnoteReference w:id="3"/>
      </w:r>
      <w:r w:rsidRPr="00EF6818">
        <w:rPr>
          <w:rFonts w:ascii="Times New Roman" w:hAnsi="Times New Roman"/>
          <w:bCs/>
          <w:sz w:val="24"/>
          <w:szCs w:val="24"/>
        </w:rPr>
        <w:t xml:space="preserve">, dans le secteur, complexe, de la distribution automobile. En l’espèce, un concessionnaire automobile </w:t>
      </w:r>
      <w:r w:rsidR="00E464C9" w:rsidRPr="00EF6818">
        <w:rPr>
          <w:rFonts w:ascii="Times New Roman" w:hAnsi="Times New Roman"/>
          <w:bCs/>
          <w:sz w:val="24"/>
          <w:szCs w:val="24"/>
        </w:rPr>
        <w:t xml:space="preserve">(la société </w:t>
      </w:r>
      <w:proofErr w:type="spellStart"/>
      <w:r w:rsidR="00E464C9" w:rsidRPr="00EF6818">
        <w:rPr>
          <w:rFonts w:ascii="Times New Roman" w:hAnsi="Times New Roman"/>
          <w:bCs/>
          <w:sz w:val="24"/>
          <w:szCs w:val="24"/>
        </w:rPr>
        <w:t>Catia</w:t>
      </w:r>
      <w:proofErr w:type="spellEnd"/>
      <w:r w:rsidR="00E464C9" w:rsidRPr="00EF6818">
        <w:rPr>
          <w:rFonts w:ascii="Times New Roman" w:hAnsi="Times New Roman"/>
          <w:bCs/>
          <w:sz w:val="24"/>
          <w:szCs w:val="24"/>
        </w:rPr>
        <w:t xml:space="preserve">) </w:t>
      </w:r>
      <w:r w:rsidRPr="00EF6818">
        <w:rPr>
          <w:rFonts w:ascii="Times New Roman" w:hAnsi="Times New Roman"/>
          <w:bCs/>
          <w:sz w:val="24"/>
          <w:szCs w:val="24"/>
        </w:rPr>
        <w:t xml:space="preserve">des marques Chrysler, Jeep et </w:t>
      </w:r>
      <w:proofErr w:type="spellStart"/>
      <w:r w:rsidRPr="00EF6818">
        <w:rPr>
          <w:rFonts w:ascii="Times New Roman" w:hAnsi="Times New Roman"/>
          <w:bCs/>
          <w:sz w:val="24"/>
          <w:szCs w:val="24"/>
        </w:rPr>
        <w:t>Dodge</w:t>
      </w:r>
      <w:proofErr w:type="spellEnd"/>
      <w:r w:rsidRPr="00EF6818">
        <w:rPr>
          <w:rFonts w:ascii="Times New Roman" w:hAnsi="Times New Roman"/>
          <w:bCs/>
          <w:sz w:val="24"/>
          <w:szCs w:val="24"/>
        </w:rPr>
        <w:t xml:space="preserve"> a subi la résiliation de l’ensemble des contrats de distribution conclus avec l’importateur français, dans la mesure où ce dernier avait cédé son fonds de commerce à la société Fiat (FCA). Ce</w:t>
      </w:r>
      <w:r w:rsidR="00EF7B4F">
        <w:rPr>
          <w:rFonts w:ascii="Times New Roman" w:hAnsi="Times New Roman"/>
          <w:bCs/>
          <w:sz w:val="24"/>
          <w:szCs w:val="24"/>
        </w:rPr>
        <w:t>lle</w:t>
      </w:r>
      <w:r w:rsidRPr="00EF6818">
        <w:rPr>
          <w:rFonts w:ascii="Times New Roman" w:hAnsi="Times New Roman"/>
          <w:bCs/>
          <w:sz w:val="24"/>
          <w:szCs w:val="24"/>
        </w:rPr>
        <w:t xml:space="preserve">-ci avait alors invité les distributeurs </w:t>
      </w:r>
      <w:r w:rsidR="00E464C9" w:rsidRPr="00EF6818">
        <w:rPr>
          <w:rFonts w:ascii="Times New Roman" w:hAnsi="Times New Roman"/>
          <w:bCs/>
          <w:sz w:val="24"/>
          <w:szCs w:val="24"/>
        </w:rPr>
        <w:t xml:space="preserve">à candidater pour la conclusion de </w:t>
      </w:r>
      <w:r w:rsidR="00D64B51">
        <w:rPr>
          <w:rFonts w:ascii="Times New Roman" w:hAnsi="Times New Roman"/>
          <w:bCs/>
          <w:sz w:val="24"/>
          <w:szCs w:val="24"/>
        </w:rPr>
        <w:t xml:space="preserve">nouveaux </w:t>
      </w:r>
      <w:r w:rsidR="00E464C9" w:rsidRPr="00EF6818">
        <w:rPr>
          <w:rFonts w:ascii="Times New Roman" w:hAnsi="Times New Roman"/>
          <w:bCs/>
          <w:sz w:val="24"/>
          <w:szCs w:val="24"/>
        </w:rPr>
        <w:t xml:space="preserve">contrats de distribution portant sur les marques Jeep et Lancia. La société </w:t>
      </w:r>
      <w:proofErr w:type="spellStart"/>
      <w:r w:rsidR="00E464C9" w:rsidRPr="00EF6818">
        <w:rPr>
          <w:rFonts w:ascii="Times New Roman" w:hAnsi="Times New Roman"/>
          <w:bCs/>
          <w:sz w:val="24"/>
          <w:szCs w:val="24"/>
        </w:rPr>
        <w:t>Catia</w:t>
      </w:r>
      <w:proofErr w:type="spellEnd"/>
      <w:r w:rsidR="00E464C9" w:rsidRPr="00EF6818">
        <w:rPr>
          <w:rFonts w:ascii="Times New Roman" w:hAnsi="Times New Roman"/>
          <w:bCs/>
          <w:sz w:val="24"/>
          <w:szCs w:val="24"/>
        </w:rPr>
        <w:t xml:space="preserve"> adressait un tel acte de candidature mais subissait un refus d’agrément, intervenant avant la prise d’effet de la rupture des précédents contrats. Pour la Cour d’appel de Paris, pareil comportement illustrait une faute délictuelle, appelant réparation (assez faible toutefois) dans la mesure où il s’agissa</w:t>
      </w:r>
      <w:r w:rsidR="004307EA" w:rsidRPr="00EF6818">
        <w:rPr>
          <w:rFonts w:ascii="Times New Roman" w:hAnsi="Times New Roman"/>
          <w:bCs/>
          <w:sz w:val="24"/>
          <w:szCs w:val="24"/>
        </w:rPr>
        <w:t>i</w:t>
      </w:r>
      <w:r w:rsidR="00E464C9" w:rsidRPr="00EF6818">
        <w:rPr>
          <w:rFonts w:ascii="Times New Roman" w:hAnsi="Times New Roman"/>
          <w:bCs/>
          <w:sz w:val="24"/>
          <w:szCs w:val="24"/>
        </w:rPr>
        <w:t xml:space="preserve">t d’un comportement intervenant avant la conclusion du contrat souhaité sur le fondement que </w:t>
      </w:r>
      <w:r w:rsidR="00E464C9" w:rsidRPr="00EF6818">
        <w:rPr>
          <w:rFonts w:ascii="Times New Roman" w:hAnsi="Times New Roman"/>
          <w:bCs/>
          <w:i/>
          <w:sz w:val="24"/>
          <w:szCs w:val="24"/>
        </w:rPr>
        <w:t>« </w:t>
      </w:r>
      <w:r w:rsidR="00E464C9" w:rsidRPr="00EF6818">
        <w:rPr>
          <w:rFonts w:ascii="Times New Roman" w:hAnsi="Times New Roman"/>
          <w:i/>
          <w:sz w:val="24"/>
          <w:szCs w:val="24"/>
        </w:rPr>
        <w:t xml:space="preserve">la société FCA était à la tête d’un réseau de distribution sélective quantitative, énonce que le “concédant” est tenu, dès la </w:t>
      </w:r>
      <w:r w:rsidR="00E464C9" w:rsidRPr="00EF6818">
        <w:rPr>
          <w:rFonts w:ascii="Times New Roman" w:hAnsi="Times New Roman"/>
          <w:i/>
          <w:sz w:val="24"/>
          <w:szCs w:val="24"/>
        </w:rPr>
        <w:lastRenderedPageBreak/>
        <w:t>phase précontractuelle, de respecter son obligation générale de bonne foi dans le choix de son cocontractant et en déduit que le titulaire du réseau doit sélectionner ses distributeurs sur le fondement de critères définis et objectivement fixés et appliquer ceux-ci de manière non-discriminatoire »</w:t>
      </w:r>
      <w:r w:rsidR="00E464C9" w:rsidRPr="00EF6818">
        <w:rPr>
          <w:rFonts w:ascii="Times New Roman" w:hAnsi="Times New Roman"/>
          <w:sz w:val="24"/>
          <w:szCs w:val="24"/>
        </w:rPr>
        <w:t>. En d’autres termes, il s’agissait donc d’une part de lier l’application des règles du droit commun et celles du droit de la concurrence</w:t>
      </w:r>
      <w:r w:rsidR="00D64B51">
        <w:rPr>
          <w:rFonts w:ascii="Times New Roman" w:hAnsi="Times New Roman"/>
          <w:sz w:val="24"/>
          <w:szCs w:val="24"/>
        </w:rPr>
        <w:t xml:space="preserve"> dans le cas de ce contrat, un contrat de distribution sélective quantitative, où la tête de réseau est désignée « concédant », pouvant laisser penser à une généralisation de </w:t>
      </w:r>
      <w:proofErr w:type="spellStart"/>
      <w:r w:rsidR="00D64B51">
        <w:rPr>
          <w:rFonts w:ascii="Times New Roman" w:hAnsi="Times New Roman"/>
          <w:sz w:val="24"/>
          <w:szCs w:val="24"/>
        </w:rPr>
        <w:t>la</w:t>
      </w:r>
      <w:proofErr w:type="spellEnd"/>
      <w:r w:rsidR="00D64B51">
        <w:rPr>
          <w:rFonts w:ascii="Times New Roman" w:hAnsi="Times New Roman"/>
          <w:sz w:val="24"/>
          <w:szCs w:val="24"/>
        </w:rPr>
        <w:t xml:space="preserve"> règle</w:t>
      </w:r>
      <w:r w:rsidR="00E464C9" w:rsidRPr="00EF6818">
        <w:rPr>
          <w:rFonts w:ascii="Times New Roman" w:hAnsi="Times New Roman"/>
          <w:sz w:val="24"/>
          <w:szCs w:val="24"/>
        </w:rPr>
        <w:t xml:space="preserve"> à un contrat de distribution exclusive, de concession. </w:t>
      </w:r>
    </w:p>
    <w:p w:rsidR="00EF6818" w:rsidRPr="00EF6818" w:rsidRDefault="00EF6818" w:rsidP="00EF6818">
      <w:pPr>
        <w:widowControl w:val="0"/>
        <w:autoSpaceDE w:val="0"/>
        <w:autoSpaceDN w:val="0"/>
        <w:adjustRightInd w:val="0"/>
        <w:spacing w:after="0" w:line="240" w:lineRule="auto"/>
        <w:ind w:left="-3"/>
        <w:jc w:val="both"/>
        <w:rPr>
          <w:rFonts w:ascii="Times New Roman" w:hAnsi="Times New Roman"/>
          <w:bCs/>
          <w:sz w:val="24"/>
          <w:szCs w:val="24"/>
        </w:rPr>
      </w:pPr>
    </w:p>
    <w:p w:rsidR="003048C3" w:rsidRPr="00EF6818" w:rsidRDefault="00E464C9" w:rsidP="00E464C9">
      <w:pPr>
        <w:widowControl w:val="0"/>
        <w:numPr>
          <w:ilvl w:val="0"/>
          <w:numId w:val="2"/>
        </w:numPr>
        <w:autoSpaceDE w:val="0"/>
        <w:autoSpaceDN w:val="0"/>
        <w:adjustRightInd w:val="0"/>
        <w:spacing w:after="0" w:line="240" w:lineRule="auto"/>
        <w:ind w:left="-3"/>
        <w:jc w:val="both"/>
        <w:rPr>
          <w:rFonts w:ascii="Times New Roman" w:hAnsi="Times New Roman"/>
          <w:bCs/>
          <w:sz w:val="24"/>
          <w:szCs w:val="24"/>
        </w:rPr>
      </w:pPr>
      <w:r w:rsidRPr="00EF6818">
        <w:rPr>
          <w:rFonts w:ascii="Times New Roman" w:hAnsi="Times New Roman"/>
          <w:sz w:val="24"/>
          <w:szCs w:val="24"/>
        </w:rPr>
        <w:t xml:space="preserve">L’arrêt de la Cour de cassation, qui censure l’arrêt en toutes ses dispositions, est particulièrement intéressant en ce qu’il se prononce sur des deux difficultés : </w:t>
      </w:r>
      <w:r w:rsidRPr="00EF6818">
        <w:rPr>
          <w:rFonts w:ascii="Times New Roman" w:hAnsi="Times New Roman"/>
          <w:i/>
          <w:sz w:val="24"/>
          <w:szCs w:val="24"/>
        </w:rPr>
        <w:t>« l’exigence de bonne foi ne requiert pas, de la part de la tête d’un réseau de distribution la détermination et la mise en œuvre d’un tel processus de sélection ».</w:t>
      </w:r>
    </w:p>
    <w:p w:rsidR="004307EA" w:rsidRPr="00BB2D1C" w:rsidRDefault="004307EA" w:rsidP="00E464C9">
      <w:pPr>
        <w:widowControl w:val="0"/>
        <w:autoSpaceDE w:val="0"/>
        <w:autoSpaceDN w:val="0"/>
        <w:adjustRightInd w:val="0"/>
        <w:spacing w:after="0" w:line="240" w:lineRule="auto"/>
        <w:jc w:val="both"/>
        <w:rPr>
          <w:rFonts w:ascii="Times New Roman" w:hAnsi="Times New Roman"/>
          <w:i/>
          <w:sz w:val="24"/>
          <w:szCs w:val="24"/>
        </w:rPr>
      </w:pPr>
    </w:p>
    <w:p w:rsidR="00E37B8C" w:rsidRPr="00EF6818" w:rsidRDefault="004307EA" w:rsidP="00E464C9">
      <w:pPr>
        <w:widowControl w:val="0"/>
        <w:numPr>
          <w:ilvl w:val="0"/>
          <w:numId w:val="2"/>
        </w:numPr>
        <w:autoSpaceDE w:val="0"/>
        <w:autoSpaceDN w:val="0"/>
        <w:adjustRightInd w:val="0"/>
        <w:spacing w:after="0" w:line="240" w:lineRule="auto"/>
        <w:ind w:left="-3"/>
        <w:jc w:val="both"/>
        <w:rPr>
          <w:rFonts w:ascii="Times New Roman" w:hAnsi="Times New Roman"/>
          <w:bCs/>
          <w:sz w:val="24"/>
          <w:szCs w:val="24"/>
        </w:rPr>
      </w:pPr>
      <w:r w:rsidRPr="00EF6818">
        <w:rPr>
          <w:rFonts w:ascii="Times New Roman" w:hAnsi="Times New Roman"/>
          <w:sz w:val="24"/>
          <w:szCs w:val="24"/>
        </w:rPr>
        <w:t xml:space="preserve">En premier, donc, et c’est la question la plus importante tranchée par la Cour de cassation dans cet arrêt, le promoteur d’un réseau, ici de </w:t>
      </w:r>
      <w:r w:rsidR="00D64B51">
        <w:rPr>
          <w:rFonts w:ascii="Times New Roman" w:hAnsi="Times New Roman"/>
          <w:sz w:val="24"/>
          <w:szCs w:val="24"/>
        </w:rPr>
        <w:t>distribution sélective (quantitative)</w:t>
      </w:r>
      <w:r w:rsidRPr="00EF6818">
        <w:rPr>
          <w:rFonts w:ascii="Times New Roman" w:hAnsi="Times New Roman"/>
          <w:sz w:val="24"/>
          <w:szCs w:val="24"/>
        </w:rPr>
        <w:t>, est libre de de ne pas conclure un contrat de distribution, quand bien même le distributeur évincé respecterait les critères de sélection</w:t>
      </w:r>
      <w:r w:rsidRPr="00BB2D1C">
        <w:rPr>
          <w:rStyle w:val="Appelnotedebasdep"/>
          <w:rFonts w:ascii="Times New Roman" w:hAnsi="Times New Roman"/>
          <w:sz w:val="24"/>
          <w:szCs w:val="24"/>
        </w:rPr>
        <w:footnoteReference w:id="4"/>
      </w:r>
      <w:r w:rsidRPr="00EF6818">
        <w:rPr>
          <w:rFonts w:ascii="Times New Roman" w:hAnsi="Times New Roman"/>
          <w:sz w:val="24"/>
          <w:szCs w:val="24"/>
        </w:rPr>
        <w:t xml:space="preserve">, en ce sens que « l’exigence de bonne foi » n’impose pas « à la </w:t>
      </w:r>
      <w:r w:rsidR="00E37B8C" w:rsidRPr="00EF6818">
        <w:rPr>
          <w:rFonts w:ascii="Times New Roman" w:hAnsi="Times New Roman"/>
          <w:sz w:val="24"/>
          <w:szCs w:val="24"/>
        </w:rPr>
        <w:t>tête</w:t>
      </w:r>
      <w:r w:rsidRPr="00EF6818">
        <w:rPr>
          <w:rFonts w:ascii="Times New Roman" w:hAnsi="Times New Roman"/>
          <w:sz w:val="24"/>
          <w:szCs w:val="24"/>
        </w:rPr>
        <w:t xml:space="preserve"> de réseau » la mise en œuvre d’un processus de sélection du type de celui requis en application des règles du droit de la concurrence. On peut </w:t>
      </w:r>
      <w:r w:rsidR="00E37B8C" w:rsidRPr="00EF6818">
        <w:rPr>
          <w:rFonts w:ascii="Times New Roman" w:hAnsi="Times New Roman"/>
          <w:sz w:val="24"/>
          <w:szCs w:val="24"/>
        </w:rPr>
        <w:t>retenir, ici, la généralité des termes choisis par la Cour qui a pour objet, très vraisemblablement, de couvrir tous les types de contrats de distribution, de distribution exclusive et de distribution sélective, qu’elle soit de type « qualitative » c’est-à-dire sans limitation du nombre potentiel de distributeurs ou « quantitative », où une limitation du nombre de distributeurs choisis est déterminée par la tête de réseau. Il s’agit donc d’une confirmation de la solution rendue en 2017</w:t>
      </w:r>
      <w:r w:rsidR="00E37B8C" w:rsidRPr="00BB2D1C">
        <w:rPr>
          <w:rStyle w:val="Appelnotedebasdep"/>
          <w:rFonts w:ascii="Times New Roman" w:hAnsi="Times New Roman"/>
          <w:sz w:val="24"/>
          <w:szCs w:val="24"/>
        </w:rPr>
        <w:footnoteReference w:id="5"/>
      </w:r>
      <w:r w:rsidR="00E37B8C" w:rsidRPr="00EF6818">
        <w:rPr>
          <w:rFonts w:ascii="Times New Roman" w:hAnsi="Times New Roman"/>
          <w:sz w:val="24"/>
          <w:szCs w:val="24"/>
        </w:rPr>
        <w:t xml:space="preserve">. </w:t>
      </w:r>
    </w:p>
    <w:p w:rsidR="00BB2D1C" w:rsidRPr="00BB2D1C" w:rsidRDefault="00BB2D1C" w:rsidP="00E464C9">
      <w:pPr>
        <w:widowControl w:val="0"/>
        <w:autoSpaceDE w:val="0"/>
        <w:autoSpaceDN w:val="0"/>
        <w:adjustRightInd w:val="0"/>
        <w:spacing w:after="0" w:line="240" w:lineRule="auto"/>
        <w:jc w:val="both"/>
        <w:rPr>
          <w:rFonts w:ascii="Times New Roman" w:hAnsi="Times New Roman"/>
          <w:sz w:val="24"/>
          <w:szCs w:val="24"/>
        </w:rPr>
      </w:pPr>
    </w:p>
    <w:p w:rsidR="008520F6" w:rsidRDefault="00E37B8C" w:rsidP="00E464C9">
      <w:pPr>
        <w:widowControl w:val="0"/>
        <w:autoSpaceDE w:val="0"/>
        <w:autoSpaceDN w:val="0"/>
        <w:adjustRightInd w:val="0"/>
        <w:spacing w:after="0" w:line="240" w:lineRule="auto"/>
        <w:jc w:val="both"/>
        <w:rPr>
          <w:rFonts w:ascii="Times New Roman" w:hAnsi="Times New Roman"/>
          <w:sz w:val="24"/>
          <w:szCs w:val="24"/>
        </w:rPr>
      </w:pPr>
      <w:r w:rsidRPr="00BB2D1C">
        <w:rPr>
          <w:rFonts w:ascii="Times New Roman" w:hAnsi="Times New Roman"/>
          <w:sz w:val="24"/>
          <w:szCs w:val="24"/>
        </w:rPr>
        <w:t>En outre, le choix de la formule</w:t>
      </w:r>
      <w:r w:rsidR="00D64B51">
        <w:rPr>
          <w:rFonts w:ascii="Times New Roman" w:hAnsi="Times New Roman"/>
          <w:sz w:val="24"/>
          <w:szCs w:val="24"/>
        </w:rPr>
        <w:t>,</w:t>
      </w:r>
      <w:r w:rsidRPr="00BB2D1C">
        <w:rPr>
          <w:rFonts w:ascii="Times New Roman" w:hAnsi="Times New Roman"/>
          <w:sz w:val="24"/>
          <w:szCs w:val="24"/>
        </w:rPr>
        <w:t xml:space="preserve"> « la bonne foi », est très vraisemblablement à mettre en relation avec la nouvelle formulation du principe, devenu règle, de liberté contractuelle. L’article 1102 du Code civil, tel qu’issu de la réforme de 2016, dispose que chacun est libre de contracter, de ne pas contracter, de choisir son contractant et le contenu du contrat, dans les limites de la loi, et de l’exigence générale de bonne foi, telle que posée à l’article 1104 qui explique que « les contrats doivent être négociés, formés et exécutés de bonne foi ». </w:t>
      </w:r>
    </w:p>
    <w:p w:rsidR="008520F6" w:rsidRDefault="008520F6" w:rsidP="00E464C9">
      <w:pPr>
        <w:widowControl w:val="0"/>
        <w:autoSpaceDE w:val="0"/>
        <w:autoSpaceDN w:val="0"/>
        <w:adjustRightInd w:val="0"/>
        <w:spacing w:after="0" w:line="240" w:lineRule="auto"/>
        <w:jc w:val="both"/>
        <w:rPr>
          <w:rFonts w:ascii="Times New Roman" w:hAnsi="Times New Roman"/>
          <w:sz w:val="24"/>
          <w:szCs w:val="24"/>
        </w:rPr>
      </w:pPr>
    </w:p>
    <w:p w:rsidR="004307EA" w:rsidRDefault="00EF6818" w:rsidP="00E464C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Par ailleurs</w:t>
      </w:r>
      <w:r w:rsidR="008520F6">
        <w:rPr>
          <w:rFonts w:ascii="Times New Roman" w:hAnsi="Times New Roman"/>
          <w:sz w:val="24"/>
          <w:szCs w:val="24"/>
        </w:rPr>
        <w:t>, la Cour justifie la cassation au visa de l’article 1382, devenu 1240</w:t>
      </w:r>
      <w:r w:rsidR="00D64B51">
        <w:rPr>
          <w:rFonts w:ascii="Times New Roman" w:hAnsi="Times New Roman"/>
          <w:sz w:val="24"/>
          <w:szCs w:val="24"/>
        </w:rPr>
        <w:t>,</w:t>
      </w:r>
      <w:r w:rsidR="008520F6">
        <w:rPr>
          <w:rFonts w:ascii="Times New Roman" w:hAnsi="Times New Roman"/>
          <w:sz w:val="24"/>
          <w:szCs w:val="24"/>
        </w:rPr>
        <w:t xml:space="preserve"> du Code civil</w:t>
      </w:r>
      <w:r w:rsidR="00D64B51">
        <w:rPr>
          <w:rFonts w:ascii="Times New Roman" w:hAnsi="Times New Roman"/>
          <w:sz w:val="24"/>
          <w:szCs w:val="24"/>
        </w:rPr>
        <w:t xml:space="preserve"> et</w:t>
      </w:r>
      <w:r w:rsidR="008520F6">
        <w:rPr>
          <w:rFonts w:ascii="Times New Roman" w:hAnsi="Times New Roman"/>
          <w:sz w:val="24"/>
          <w:szCs w:val="24"/>
        </w:rPr>
        <w:t xml:space="preserve"> </w:t>
      </w:r>
      <w:r w:rsidR="008520F6" w:rsidRPr="008520F6">
        <w:rPr>
          <w:rFonts w:ascii="Times New Roman" w:hAnsi="Times New Roman"/>
          <w:sz w:val="24"/>
          <w:szCs w:val="24"/>
        </w:rPr>
        <w:t>« ensemble les principes de liberté contractuelle et de liberté du commerce et de l’industrie »</w:t>
      </w:r>
      <w:r w:rsidR="008520F6">
        <w:rPr>
          <w:rFonts w:ascii="Times New Roman" w:hAnsi="Times New Roman"/>
          <w:sz w:val="24"/>
          <w:szCs w:val="24"/>
        </w:rPr>
        <w:t>. La double référence n’est pas anodine. Outre le clin d’œil à la pratique décisionnelle du Conseil constitutionnel</w:t>
      </w:r>
      <w:r w:rsidR="008520F6">
        <w:rPr>
          <w:rStyle w:val="Appelnotedebasdep"/>
          <w:rFonts w:ascii="Times New Roman" w:hAnsi="Times New Roman"/>
          <w:sz w:val="24"/>
          <w:szCs w:val="24"/>
        </w:rPr>
        <w:footnoteReference w:id="6"/>
      </w:r>
      <w:r w:rsidR="001C4210">
        <w:rPr>
          <w:rFonts w:ascii="Times New Roman" w:hAnsi="Times New Roman"/>
          <w:sz w:val="24"/>
          <w:szCs w:val="24"/>
        </w:rPr>
        <w:t>, l’association devient usuelle, par exemple s’agissant du contrôle des clauses de non concurrence et permet sans doute d’isoler et de renforcer la portée de l’application de ces règles, entendons pa</w:t>
      </w:r>
      <w:r w:rsidR="00D64B51">
        <w:rPr>
          <w:rFonts w:ascii="Times New Roman" w:hAnsi="Times New Roman"/>
          <w:sz w:val="24"/>
          <w:szCs w:val="24"/>
        </w:rPr>
        <w:t>r</w:t>
      </w:r>
      <w:r w:rsidR="001C4210">
        <w:rPr>
          <w:rFonts w:ascii="Times New Roman" w:hAnsi="Times New Roman"/>
          <w:sz w:val="24"/>
          <w:szCs w:val="24"/>
        </w:rPr>
        <w:t xml:space="preserve"> comparaison avec les règles du droit de la concurrence, qui ne sont jamais que des exceptions au principe de liberté du commerce et de l’industrie.</w:t>
      </w:r>
    </w:p>
    <w:p w:rsidR="00BB2D1C" w:rsidRPr="00BB2D1C" w:rsidRDefault="00BB2D1C" w:rsidP="00E464C9">
      <w:pPr>
        <w:widowControl w:val="0"/>
        <w:autoSpaceDE w:val="0"/>
        <w:autoSpaceDN w:val="0"/>
        <w:adjustRightInd w:val="0"/>
        <w:spacing w:after="0" w:line="240" w:lineRule="auto"/>
        <w:jc w:val="both"/>
        <w:rPr>
          <w:rFonts w:ascii="Times New Roman" w:hAnsi="Times New Roman"/>
          <w:sz w:val="24"/>
          <w:szCs w:val="24"/>
        </w:rPr>
      </w:pPr>
    </w:p>
    <w:p w:rsidR="00E37B8C" w:rsidRPr="00EF6818" w:rsidRDefault="00E37B8C" w:rsidP="00E464C9">
      <w:pPr>
        <w:widowControl w:val="0"/>
        <w:numPr>
          <w:ilvl w:val="0"/>
          <w:numId w:val="2"/>
        </w:numPr>
        <w:autoSpaceDE w:val="0"/>
        <w:autoSpaceDN w:val="0"/>
        <w:adjustRightInd w:val="0"/>
        <w:spacing w:after="0" w:line="240" w:lineRule="auto"/>
        <w:ind w:left="-3"/>
        <w:jc w:val="both"/>
        <w:rPr>
          <w:rFonts w:ascii="Times New Roman" w:hAnsi="Times New Roman"/>
          <w:bCs/>
          <w:sz w:val="24"/>
          <w:szCs w:val="24"/>
        </w:rPr>
      </w:pPr>
      <w:r w:rsidRPr="00EF6818">
        <w:rPr>
          <w:rFonts w:ascii="Times New Roman" w:hAnsi="Times New Roman"/>
          <w:sz w:val="24"/>
          <w:szCs w:val="24"/>
        </w:rPr>
        <w:t>Par conséquent, en négatif, les circonstances</w:t>
      </w:r>
      <w:r w:rsidR="003D488F" w:rsidRPr="00EF6818">
        <w:rPr>
          <w:rFonts w:ascii="Times New Roman" w:hAnsi="Times New Roman"/>
          <w:sz w:val="24"/>
          <w:szCs w:val="24"/>
        </w:rPr>
        <w:t xml:space="preserve"> fondant des limites à la liberté contractuelle, ici la liberté de ne pas contracter reposent, outre les limites légales existantes, sur des comportements de « mauvaise foi », des situations d’abus du droit (ou de la liberté) de ne pas contracter ou de ne pas renouveler un contrat. L’essentiel du problème posé, aux têtes de réseau qui entendent pouvoir « gérer » leur réseau de manière cohérente, et aux distributeurs déçus d’un refus de contracter ou de renouveler </w:t>
      </w:r>
      <w:r w:rsidR="00D64B51">
        <w:rPr>
          <w:rFonts w:ascii="Times New Roman" w:hAnsi="Times New Roman"/>
          <w:sz w:val="24"/>
          <w:szCs w:val="24"/>
        </w:rPr>
        <w:t xml:space="preserve">un contrat existant </w:t>
      </w:r>
      <w:r w:rsidR="003D488F" w:rsidRPr="00EF6818">
        <w:rPr>
          <w:rFonts w:ascii="Times New Roman" w:hAnsi="Times New Roman"/>
          <w:sz w:val="24"/>
          <w:szCs w:val="24"/>
        </w:rPr>
        <w:t>consiste, précisément, à identifier de telles situations d’abus ou de comportements de mauvaise foi.</w:t>
      </w:r>
      <w:r w:rsidR="00546FBB" w:rsidRPr="00EF6818">
        <w:rPr>
          <w:rFonts w:ascii="Times New Roman" w:hAnsi="Times New Roman"/>
          <w:sz w:val="24"/>
          <w:szCs w:val="24"/>
        </w:rPr>
        <w:t xml:space="preserve"> Ceux-ci sont classiques : explicitement, l’assurance qu’un contrat </w:t>
      </w:r>
      <w:r w:rsidR="00546FBB" w:rsidRPr="00EF6818">
        <w:rPr>
          <w:rFonts w:ascii="Times New Roman" w:hAnsi="Times New Roman"/>
          <w:sz w:val="24"/>
          <w:szCs w:val="24"/>
        </w:rPr>
        <w:lastRenderedPageBreak/>
        <w:t>va être conclu ou renouvelé, implicitement l’exigence d’investissements non encore amortis, mais encore l’invocation de motifs faux ou dénigrants par exemple.</w:t>
      </w:r>
      <w:r w:rsidR="00C43D81" w:rsidRPr="00EF6818">
        <w:rPr>
          <w:rFonts w:ascii="Times New Roman" w:hAnsi="Times New Roman"/>
          <w:sz w:val="24"/>
          <w:szCs w:val="24"/>
        </w:rPr>
        <w:t xml:space="preserve"> Des hypothèses spécifiques aux contrats de distribution sélective peuvent être identifiés, par exemple, pour le cas d’espèce, le fait que le distributeur choisi à la place de celui qui est exclu ne respecte pas les critères de sélection ou que l’appel à la candidature, illustrant une technique d’</w:t>
      </w:r>
      <w:r w:rsidR="008520F6" w:rsidRPr="00EF6818">
        <w:rPr>
          <w:rFonts w:ascii="Times New Roman" w:hAnsi="Times New Roman"/>
          <w:sz w:val="24"/>
          <w:szCs w:val="24"/>
        </w:rPr>
        <w:t> « </w:t>
      </w:r>
      <w:r w:rsidR="00C43D81" w:rsidRPr="00EF6818">
        <w:rPr>
          <w:rFonts w:ascii="Times New Roman" w:hAnsi="Times New Roman"/>
          <w:sz w:val="24"/>
          <w:szCs w:val="24"/>
        </w:rPr>
        <w:t>appel d’offre</w:t>
      </w:r>
      <w:r w:rsidR="008520F6" w:rsidRPr="00EF6818">
        <w:rPr>
          <w:rFonts w:ascii="Times New Roman" w:hAnsi="Times New Roman"/>
          <w:sz w:val="24"/>
          <w:szCs w:val="24"/>
        </w:rPr>
        <w:t>s</w:t>
      </w:r>
      <w:r w:rsidR="00C43D81" w:rsidRPr="00EF6818">
        <w:rPr>
          <w:rFonts w:ascii="Times New Roman" w:hAnsi="Times New Roman"/>
          <w:sz w:val="24"/>
          <w:szCs w:val="24"/>
        </w:rPr>
        <w:t xml:space="preserve"> privé</w:t>
      </w:r>
      <w:r w:rsidR="008520F6" w:rsidRPr="00EF6818">
        <w:rPr>
          <w:rFonts w:ascii="Times New Roman" w:hAnsi="Times New Roman"/>
          <w:sz w:val="24"/>
          <w:szCs w:val="24"/>
        </w:rPr>
        <w:t> »</w:t>
      </w:r>
      <w:r w:rsidR="00C43D81">
        <w:rPr>
          <w:rStyle w:val="Appelnotedebasdep"/>
          <w:rFonts w:ascii="Times New Roman" w:hAnsi="Times New Roman"/>
          <w:sz w:val="24"/>
          <w:szCs w:val="24"/>
        </w:rPr>
        <w:footnoteReference w:id="7"/>
      </w:r>
      <w:r w:rsidR="00D64B51">
        <w:rPr>
          <w:rFonts w:ascii="Times New Roman" w:hAnsi="Times New Roman"/>
          <w:sz w:val="24"/>
          <w:szCs w:val="24"/>
        </w:rPr>
        <w:t>,</w:t>
      </w:r>
      <w:r w:rsidR="008520F6" w:rsidRPr="00EF6818">
        <w:rPr>
          <w:rFonts w:ascii="Times New Roman" w:hAnsi="Times New Roman"/>
          <w:sz w:val="24"/>
          <w:szCs w:val="24"/>
        </w:rPr>
        <w:t xml:space="preserve"> soit biaisé ou faussé, par exemple encore pour retenir un distributeur ne respectant pas les critères.</w:t>
      </w:r>
    </w:p>
    <w:p w:rsidR="00BB2D1C" w:rsidRPr="00BB2D1C" w:rsidRDefault="00BB2D1C" w:rsidP="00E464C9">
      <w:pPr>
        <w:widowControl w:val="0"/>
        <w:autoSpaceDE w:val="0"/>
        <w:autoSpaceDN w:val="0"/>
        <w:adjustRightInd w:val="0"/>
        <w:spacing w:after="0" w:line="240" w:lineRule="auto"/>
        <w:jc w:val="both"/>
        <w:rPr>
          <w:rFonts w:ascii="Times New Roman" w:hAnsi="Times New Roman"/>
          <w:sz w:val="24"/>
          <w:szCs w:val="24"/>
        </w:rPr>
      </w:pPr>
    </w:p>
    <w:p w:rsidR="00546FBB" w:rsidRDefault="00546FBB" w:rsidP="00E464C9">
      <w:pPr>
        <w:widowControl w:val="0"/>
        <w:autoSpaceDE w:val="0"/>
        <w:autoSpaceDN w:val="0"/>
        <w:adjustRightInd w:val="0"/>
        <w:spacing w:after="0" w:line="240" w:lineRule="auto"/>
        <w:jc w:val="both"/>
        <w:rPr>
          <w:rFonts w:ascii="Times New Roman" w:hAnsi="Times New Roman"/>
          <w:sz w:val="24"/>
          <w:szCs w:val="24"/>
        </w:rPr>
      </w:pPr>
      <w:r w:rsidRPr="00BB2D1C">
        <w:rPr>
          <w:rFonts w:ascii="Times New Roman" w:hAnsi="Times New Roman"/>
          <w:sz w:val="24"/>
          <w:szCs w:val="24"/>
        </w:rPr>
        <w:t xml:space="preserve">Il demeure donc que la Cour de cassation fonde le principe, ordinaire, selon lequel la tête </w:t>
      </w:r>
      <w:r w:rsidR="008520F6">
        <w:rPr>
          <w:rFonts w:ascii="Times New Roman" w:hAnsi="Times New Roman"/>
          <w:sz w:val="24"/>
          <w:szCs w:val="24"/>
        </w:rPr>
        <w:t>d’un</w:t>
      </w:r>
      <w:r w:rsidRPr="00BB2D1C">
        <w:rPr>
          <w:rFonts w:ascii="Times New Roman" w:hAnsi="Times New Roman"/>
          <w:sz w:val="24"/>
          <w:szCs w:val="24"/>
        </w:rPr>
        <w:t xml:space="preserve"> réseau </w:t>
      </w:r>
      <w:r w:rsidR="008520F6">
        <w:rPr>
          <w:rFonts w:ascii="Times New Roman" w:hAnsi="Times New Roman"/>
          <w:sz w:val="24"/>
          <w:szCs w:val="24"/>
        </w:rPr>
        <w:t xml:space="preserve">de distribution </w:t>
      </w:r>
      <w:r w:rsidRPr="00BB2D1C">
        <w:rPr>
          <w:rFonts w:ascii="Times New Roman" w:hAnsi="Times New Roman"/>
          <w:sz w:val="24"/>
          <w:szCs w:val="24"/>
        </w:rPr>
        <w:t xml:space="preserve">est libre de ne pas conclure un contrat de distribution, sous la réserve, générale, de la bonne foi, laquelle ne comprend pas les critères </w:t>
      </w:r>
      <w:r w:rsidR="00D64B51">
        <w:rPr>
          <w:rFonts w:ascii="Times New Roman" w:hAnsi="Times New Roman"/>
          <w:sz w:val="24"/>
          <w:szCs w:val="24"/>
        </w:rPr>
        <w:t xml:space="preserve">particuliers </w:t>
      </w:r>
      <w:r w:rsidRPr="00BB2D1C">
        <w:rPr>
          <w:rFonts w:ascii="Times New Roman" w:hAnsi="Times New Roman"/>
          <w:sz w:val="24"/>
          <w:szCs w:val="24"/>
        </w:rPr>
        <w:t>du droit de la concurrence</w:t>
      </w:r>
      <w:r w:rsidR="00D64B51">
        <w:rPr>
          <w:rFonts w:ascii="Times New Roman" w:hAnsi="Times New Roman"/>
          <w:sz w:val="24"/>
          <w:szCs w:val="24"/>
        </w:rPr>
        <w:t xml:space="preserve"> (application des critères </w:t>
      </w:r>
      <w:r w:rsidR="00D64B51" w:rsidRPr="00BB2D1C">
        <w:rPr>
          <w:rFonts w:ascii="Times New Roman" w:hAnsi="Times New Roman"/>
          <w:bCs/>
          <w:sz w:val="24"/>
          <w:szCs w:val="24"/>
        </w:rPr>
        <w:t>de manière uniforme et non discriminatoire</w:t>
      </w:r>
      <w:r w:rsidR="00D64B51">
        <w:rPr>
          <w:rFonts w:ascii="Times New Roman" w:hAnsi="Times New Roman"/>
          <w:bCs/>
          <w:sz w:val="24"/>
          <w:szCs w:val="24"/>
        </w:rPr>
        <w:t>)</w:t>
      </w:r>
      <w:r w:rsidRPr="00BB2D1C">
        <w:rPr>
          <w:rFonts w:ascii="Times New Roman" w:hAnsi="Times New Roman"/>
          <w:sz w:val="24"/>
          <w:szCs w:val="24"/>
        </w:rPr>
        <w:t>.</w:t>
      </w:r>
    </w:p>
    <w:p w:rsidR="00BB2D1C" w:rsidRPr="00BB2D1C" w:rsidRDefault="00BB2D1C" w:rsidP="00E464C9">
      <w:pPr>
        <w:widowControl w:val="0"/>
        <w:autoSpaceDE w:val="0"/>
        <w:autoSpaceDN w:val="0"/>
        <w:adjustRightInd w:val="0"/>
        <w:spacing w:after="0" w:line="240" w:lineRule="auto"/>
        <w:jc w:val="both"/>
        <w:rPr>
          <w:rFonts w:ascii="Times New Roman" w:hAnsi="Times New Roman"/>
          <w:sz w:val="24"/>
          <w:szCs w:val="24"/>
        </w:rPr>
      </w:pPr>
    </w:p>
    <w:p w:rsidR="005E4E6A" w:rsidRPr="005E4E6A" w:rsidRDefault="00546FBB" w:rsidP="005E4E6A">
      <w:pPr>
        <w:widowControl w:val="0"/>
        <w:numPr>
          <w:ilvl w:val="0"/>
          <w:numId w:val="2"/>
        </w:numPr>
        <w:autoSpaceDE w:val="0"/>
        <w:autoSpaceDN w:val="0"/>
        <w:adjustRightInd w:val="0"/>
        <w:spacing w:after="0" w:line="240" w:lineRule="auto"/>
        <w:ind w:left="-3"/>
        <w:jc w:val="both"/>
        <w:rPr>
          <w:rFonts w:ascii="Times New Roman" w:hAnsi="Times New Roman"/>
          <w:bCs/>
          <w:sz w:val="24"/>
          <w:szCs w:val="24"/>
        </w:rPr>
      </w:pPr>
      <w:r w:rsidRPr="00EF6818">
        <w:rPr>
          <w:rFonts w:ascii="Times New Roman" w:hAnsi="Times New Roman"/>
          <w:sz w:val="24"/>
          <w:szCs w:val="24"/>
        </w:rPr>
        <w:t>Précisément, les règles du droit de la concurrence constituent l’une des limites légales, de ce droit</w:t>
      </w:r>
      <w:r w:rsidR="008520F6" w:rsidRPr="00EF6818">
        <w:rPr>
          <w:rFonts w:ascii="Times New Roman" w:hAnsi="Times New Roman"/>
          <w:sz w:val="24"/>
          <w:szCs w:val="24"/>
        </w:rPr>
        <w:t>, même s’il s’agit, au final, d’une limite assez faible</w:t>
      </w:r>
      <w:r w:rsidRPr="00EF6818">
        <w:rPr>
          <w:rFonts w:ascii="Times New Roman" w:hAnsi="Times New Roman"/>
          <w:sz w:val="24"/>
          <w:szCs w:val="24"/>
        </w:rPr>
        <w:t>. En l’espèce, la Cour d’appel</w:t>
      </w:r>
      <w:r w:rsidR="00952976" w:rsidRPr="00BB2D1C">
        <w:rPr>
          <w:rStyle w:val="Appelnotedebasdep"/>
          <w:rFonts w:ascii="Times New Roman" w:hAnsi="Times New Roman"/>
          <w:sz w:val="24"/>
          <w:szCs w:val="24"/>
        </w:rPr>
        <w:footnoteReference w:id="8"/>
      </w:r>
      <w:r w:rsidRPr="00EF6818">
        <w:rPr>
          <w:rFonts w:ascii="Times New Roman" w:hAnsi="Times New Roman"/>
          <w:sz w:val="24"/>
          <w:szCs w:val="24"/>
        </w:rPr>
        <w:t xml:space="preserve"> avait écarté cette application, dans la mesure où, à supposer que le réseau de distribution concerné entre dans le champ, économique, des règles du droit de la concurrence</w:t>
      </w:r>
      <w:r w:rsidR="00952976" w:rsidRPr="00EF6818">
        <w:rPr>
          <w:rFonts w:ascii="Times New Roman" w:hAnsi="Times New Roman"/>
          <w:sz w:val="24"/>
          <w:szCs w:val="24"/>
        </w:rPr>
        <w:t xml:space="preserve">, selon la technique dite de la règle </w:t>
      </w:r>
      <w:r w:rsidR="00952976" w:rsidRPr="00EF6818">
        <w:rPr>
          <w:rFonts w:ascii="Times New Roman" w:hAnsi="Times New Roman"/>
          <w:i/>
          <w:sz w:val="24"/>
          <w:szCs w:val="24"/>
        </w:rPr>
        <w:t xml:space="preserve">de </w:t>
      </w:r>
      <w:proofErr w:type="spellStart"/>
      <w:r w:rsidR="00952976" w:rsidRPr="00EF6818">
        <w:rPr>
          <w:rFonts w:ascii="Times New Roman" w:hAnsi="Times New Roman"/>
          <w:i/>
          <w:sz w:val="24"/>
          <w:szCs w:val="24"/>
        </w:rPr>
        <w:t>minimis</w:t>
      </w:r>
      <w:proofErr w:type="spellEnd"/>
      <w:r w:rsidR="00952976" w:rsidRPr="00EF6818">
        <w:rPr>
          <w:rFonts w:ascii="Times New Roman" w:hAnsi="Times New Roman"/>
          <w:sz w:val="24"/>
          <w:szCs w:val="24"/>
        </w:rPr>
        <w:t xml:space="preserve"> qui fixe un seuil d’application de ces règles</w:t>
      </w:r>
      <w:r w:rsidR="00BB2D1C" w:rsidRPr="00EF6818">
        <w:rPr>
          <w:rFonts w:ascii="Times New Roman" w:hAnsi="Times New Roman"/>
          <w:sz w:val="24"/>
          <w:szCs w:val="24"/>
        </w:rPr>
        <w:t xml:space="preserve"> (15% du marché)</w:t>
      </w:r>
      <w:r w:rsidR="00952976" w:rsidRPr="00EF6818">
        <w:rPr>
          <w:rFonts w:ascii="Times New Roman" w:hAnsi="Times New Roman"/>
          <w:sz w:val="24"/>
          <w:szCs w:val="24"/>
        </w:rPr>
        <w:t>,</w:t>
      </w:r>
      <w:r w:rsidRPr="00EF6818">
        <w:rPr>
          <w:rFonts w:ascii="Times New Roman" w:hAnsi="Times New Roman"/>
          <w:sz w:val="24"/>
          <w:szCs w:val="24"/>
        </w:rPr>
        <w:t xml:space="preserve"> « l’entente » potentielle était exemptée au regard</w:t>
      </w:r>
      <w:r w:rsidR="00952976" w:rsidRPr="00EF6818">
        <w:rPr>
          <w:rFonts w:ascii="Times New Roman" w:hAnsi="Times New Roman"/>
          <w:sz w:val="24"/>
          <w:szCs w:val="24"/>
        </w:rPr>
        <w:t xml:space="preserve"> des Règlements d’exemption par catégorie applicables, ici, le REC n°1400-2002 du 31 juillet 2002 applicable au secteur automobile, depuis le REC n°330-2010 du 20 avril 2010, qui établissent des seuils d’exemption à des niveaux très élevés</w:t>
      </w:r>
      <w:r w:rsidR="00BB2D1C" w:rsidRPr="00EF6818">
        <w:rPr>
          <w:rFonts w:ascii="Times New Roman" w:hAnsi="Times New Roman"/>
          <w:sz w:val="24"/>
          <w:szCs w:val="24"/>
        </w:rPr>
        <w:t xml:space="preserve"> (</w:t>
      </w:r>
      <w:r w:rsidR="009B229B" w:rsidRPr="00EF6818">
        <w:rPr>
          <w:rFonts w:ascii="Times New Roman" w:hAnsi="Times New Roman"/>
          <w:sz w:val="24"/>
          <w:szCs w:val="24"/>
        </w:rPr>
        <w:t xml:space="preserve">30 ou </w:t>
      </w:r>
      <w:r w:rsidR="00BB2D1C" w:rsidRPr="00EF6818">
        <w:rPr>
          <w:rFonts w:ascii="Times New Roman" w:hAnsi="Times New Roman"/>
          <w:sz w:val="24"/>
          <w:szCs w:val="24"/>
        </w:rPr>
        <w:t>40% du marché)</w:t>
      </w:r>
      <w:r w:rsidR="00952976" w:rsidRPr="00EF6818">
        <w:rPr>
          <w:rFonts w:ascii="Times New Roman" w:hAnsi="Times New Roman"/>
          <w:sz w:val="24"/>
          <w:szCs w:val="24"/>
        </w:rPr>
        <w:t>. Rappelons en effet que, du point de vue des règles du droit de la concurrence, le principe de légalité concurrentielle des contrats est posé</w:t>
      </w:r>
      <w:r w:rsidR="00952976" w:rsidRPr="00BB2D1C">
        <w:rPr>
          <w:rStyle w:val="Appelnotedebasdep"/>
          <w:rFonts w:ascii="Times New Roman" w:hAnsi="Times New Roman"/>
          <w:sz w:val="24"/>
          <w:szCs w:val="24"/>
        </w:rPr>
        <w:footnoteReference w:id="9"/>
      </w:r>
      <w:r w:rsidR="009B229B" w:rsidRPr="00EF6818">
        <w:rPr>
          <w:rFonts w:ascii="Times New Roman" w:hAnsi="Times New Roman"/>
          <w:sz w:val="24"/>
          <w:szCs w:val="24"/>
        </w:rPr>
        <w:t xml:space="preserve">; il l’est d’autant plus que, comme le rappelle très efficacement Nicolas Ferrier, « la pratique consistant à (…) </w:t>
      </w:r>
      <w:r w:rsidR="00FF6C91" w:rsidRPr="00EF6818">
        <w:rPr>
          <w:rFonts w:ascii="Times New Roman" w:hAnsi="Times New Roman"/>
          <w:sz w:val="24"/>
          <w:szCs w:val="24"/>
        </w:rPr>
        <w:t>refuser celui qui remplit [les critères] est couverte par le règlement d’exemption car cette discrimination (…) ne relève pas des pratiques visées par l’article 4. Autrement dit le règlement protège non seulement les critères, dès lors qu’ils ne constituent pas une restriction caractérisée, mais également leur mise en œuvre en ce sens où les critères n’ont pas à être appliqués par le promoteur de manière uniforme ou non discriminatoire »</w:t>
      </w:r>
      <w:r w:rsidR="00FF6C91">
        <w:rPr>
          <w:rStyle w:val="Appelnotedebasdep"/>
          <w:rFonts w:ascii="Times New Roman" w:hAnsi="Times New Roman"/>
          <w:sz w:val="24"/>
          <w:szCs w:val="24"/>
        </w:rPr>
        <w:footnoteReference w:id="10"/>
      </w:r>
      <w:r w:rsidR="00FF6C91" w:rsidRPr="00EF6818">
        <w:rPr>
          <w:rFonts w:ascii="Times New Roman" w:hAnsi="Times New Roman"/>
          <w:sz w:val="24"/>
          <w:szCs w:val="24"/>
        </w:rPr>
        <w:t xml:space="preserve">. </w:t>
      </w:r>
      <w:r w:rsidR="00FF6C91" w:rsidRPr="005E4E6A">
        <w:rPr>
          <w:rFonts w:ascii="Times New Roman" w:hAnsi="Times New Roman"/>
          <w:sz w:val="24"/>
          <w:szCs w:val="24"/>
        </w:rPr>
        <w:t>On ne saurait mieux illustrer ce principe de légalité, dans la « zone de sécurité » constituée par les seuils d’application et d’exemption.</w:t>
      </w:r>
      <w:r w:rsidR="00D64B51" w:rsidRPr="005E4E6A">
        <w:rPr>
          <w:rFonts w:ascii="Times New Roman" w:hAnsi="Times New Roman"/>
          <w:sz w:val="24"/>
          <w:szCs w:val="24"/>
        </w:rPr>
        <w:t xml:space="preserve"> </w:t>
      </w:r>
    </w:p>
    <w:p w:rsidR="005E4E6A" w:rsidRPr="005E4E6A" w:rsidRDefault="005E4E6A" w:rsidP="005E4E6A">
      <w:pPr>
        <w:widowControl w:val="0"/>
        <w:autoSpaceDE w:val="0"/>
        <w:autoSpaceDN w:val="0"/>
        <w:adjustRightInd w:val="0"/>
        <w:spacing w:after="0" w:line="240" w:lineRule="auto"/>
        <w:ind w:left="-3"/>
        <w:jc w:val="both"/>
        <w:rPr>
          <w:rFonts w:ascii="Times New Roman" w:hAnsi="Times New Roman"/>
          <w:bCs/>
          <w:sz w:val="24"/>
          <w:szCs w:val="24"/>
        </w:rPr>
      </w:pPr>
    </w:p>
    <w:p w:rsidR="00D46BAC" w:rsidRPr="005E4E6A" w:rsidRDefault="00D64B51" w:rsidP="005E4E6A">
      <w:pPr>
        <w:widowControl w:val="0"/>
        <w:numPr>
          <w:ilvl w:val="0"/>
          <w:numId w:val="2"/>
        </w:numPr>
        <w:autoSpaceDE w:val="0"/>
        <w:autoSpaceDN w:val="0"/>
        <w:adjustRightInd w:val="0"/>
        <w:spacing w:after="0" w:line="240" w:lineRule="auto"/>
        <w:ind w:left="-3"/>
        <w:jc w:val="both"/>
        <w:rPr>
          <w:rFonts w:ascii="Times New Roman" w:hAnsi="Times New Roman"/>
          <w:bCs/>
          <w:sz w:val="24"/>
          <w:szCs w:val="24"/>
        </w:rPr>
      </w:pPr>
      <w:r w:rsidRPr="005E4E6A">
        <w:rPr>
          <w:rFonts w:ascii="Times New Roman" w:hAnsi="Times New Roman"/>
          <w:sz w:val="24"/>
          <w:szCs w:val="24"/>
        </w:rPr>
        <w:t xml:space="preserve">Or, c’est précisément pour cette raison que la Cour d’appel cherchait à transférer ces exigences, concurrentielles, sur le terrain contractuel, paralysant ainsi l’effet d’exemption, assez général, du droit de la concurrence. </w:t>
      </w:r>
    </w:p>
    <w:p w:rsidR="00546FBB" w:rsidRPr="00EF6818" w:rsidRDefault="00D64B51" w:rsidP="00D46BAC">
      <w:pPr>
        <w:widowControl w:val="0"/>
        <w:autoSpaceDE w:val="0"/>
        <w:autoSpaceDN w:val="0"/>
        <w:adjustRightInd w:val="0"/>
        <w:spacing w:after="0" w:line="240" w:lineRule="auto"/>
        <w:ind w:left="-3" w:firstLine="723"/>
        <w:jc w:val="both"/>
        <w:rPr>
          <w:rFonts w:ascii="Times New Roman" w:hAnsi="Times New Roman"/>
          <w:bCs/>
          <w:sz w:val="24"/>
          <w:szCs w:val="24"/>
        </w:rPr>
      </w:pPr>
      <w:bookmarkStart w:id="0" w:name="_GoBack"/>
      <w:bookmarkEnd w:id="0"/>
      <w:r>
        <w:rPr>
          <w:rFonts w:ascii="Times New Roman" w:hAnsi="Times New Roman"/>
          <w:sz w:val="24"/>
          <w:szCs w:val="24"/>
        </w:rPr>
        <w:t>Après tout pourquoi pas</w:t>
      </w:r>
      <w:r w:rsidR="00D46BAC">
        <w:rPr>
          <w:rFonts w:ascii="Times New Roman" w:hAnsi="Times New Roman"/>
          <w:sz w:val="24"/>
          <w:szCs w:val="24"/>
        </w:rPr>
        <w:t> ? L</w:t>
      </w:r>
      <w:r>
        <w:rPr>
          <w:rFonts w:ascii="Times New Roman" w:hAnsi="Times New Roman"/>
          <w:sz w:val="24"/>
          <w:szCs w:val="24"/>
        </w:rPr>
        <w:t>’exigence d’application uniforme et non discriminatoire de critères de sélection pourrait parfaitement être décidé</w:t>
      </w:r>
      <w:r w:rsidR="00D46BAC">
        <w:rPr>
          <w:rFonts w:ascii="Times New Roman" w:hAnsi="Times New Roman"/>
          <w:sz w:val="24"/>
          <w:szCs w:val="24"/>
        </w:rPr>
        <w:t>e</w:t>
      </w:r>
      <w:r>
        <w:rPr>
          <w:rFonts w:ascii="Times New Roman" w:hAnsi="Times New Roman"/>
          <w:sz w:val="24"/>
          <w:szCs w:val="24"/>
        </w:rPr>
        <w:t xml:space="preserve"> sur le fondement de l’exigence de bonne foi,</w:t>
      </w:r>
      <w:r w:rsidR="005E4E6A">
        <w:rPr>
          <w:rFonts w:ascii="Times New Roman" w:hAnsi="Times New Roman"/>
          <w:sz w:val="24"/>
          <w:szCs w:val="24"/>
        </w:rPr>
        <w:t xml:space="preserve"> comme l’a fait la Cour d’appel, comme cela aurait pu être sur celui, encore plus radical, du </w:t>
      </w:r>
      <w:r>
        <w:rPr>
          <w:rFonts w:ascii="Times New Roman" w:hAnsi="Times New Roman"/>
          <w:sz w:val="24"/>
          <w:szCs w:val="24"/>
        </w:rPr>
        <w:t>but-cause licite d’un contrat, etc.</w:t>
      </w:r>
      <w:r w:rsidR="005E4E6A">
        <w:rPr>
          <w:rFonts w:ascii="Times New Roman" w:hAnsi="Times New Roman"/>
          <w:sz w:val="24"/>
          <w:szCs w:val="24"/>
        </w:rPr>
        <w:t>, dans une logique un peu musclée de solidarisme contractuel.</w:t>
      </w:r>
      <w:r>
        <w:rPr>
          <w:rFonts w:ascii="Times New Roman" w:hAnsi="Times New Roman"/>
          <w:sz w:val="24"/>
          <w:szCs w:val="24"/>
        </w:rPr>
        <w:t xml:space="preserve"> Or, la Cour de cassation rejette, sans </w:t>
      </w:r>
      <w:r w:rsidR="00D46BAC">
        <w:rPr>
          <w:rFonts w:ascii="Times New Roman" w:hAnsi="Times New Roman"/>
          <w:sz w:val="24"/>
          <w:szCs w:val="24"/>
        </w:rPr>
        <w:t>hésitation, ce transfert, en tout cas en ce qu’il se présenterait de manière générale et systématique : les règles spécifiques du droit de la concurrence n’ont pas vocation à être mises automatiquement en œuvre dans l’appréciation des règles du droit des contrats</w:t>
      </w:r>
      <w:r w:rsidR="005E4E6A">
        <w:rPr>
          <w:rFonts w:ascii="Times New Roman" w:hAnsi="Times New Roman"/>
          <w:sz w:val="24"/>
          <w:szCs w:val="24"/>
        </w:rPr>
        <w:t xml:space="preserve"> sou couvert de l’exigence de bonne foi</w:t>
      </w:r>
      <w:r w:rsidR="00D46BAC">
        <w:rPr>
          <w:rFonts w:ascii="Times New Roman" w:hAnsi="Times New Roman"/>
          <w:sz w:val="24"/>
          <w:szCs w:val="24"/>
        </w:rPr>
        <w:t>. On peut d’ailleurs s’en réjouir car les fondements de ces deux corps de règles sont radicalement distincts. Le droit des contrats est globalement fondé sur de exigences « morales » : la liberté contractuelle, la bonne foi, le but et le contenu du contrat, etc., tandis que les règles du droit de la concurrence sont établies sur des fondements économiques, gages d’efficacité économique. Ces deux types de fondements peuvent aboutir à des résultats voisins, mais ils ne sont ni compatibles, ni interchangeables ; ils correspondent à deux philosophies appliquées du droit radicalement distinctes.</w:t>
      </w:r>
    </w:p>
    <w:p w:rsidR="00FF6C91" w:rsidRDefault="00FF6C91" w:rsidP="00E464C9">
      <w:pPr>
        <w:widowControl w:val="0"/>
        <w:autoSpaceDE w:val="0"/>
        <w:autoSpaceDN w:val="0"/>
        <w:adjustRightInd w:val="0"/>
        <w:spacing w:after="0" w:line="240" w:lineRule="auto"/>
        <w:jc w:val="both"/>
        <w:rPr>
          <w:rFonts w:ascii="Times New Roman" w:hAnsi="Times New Roman"/>
          <w:sz w:val="24"/>
          <w:szCs w:val="24"/>
        </w:rPr>
      </w:pPr>
    </w:p>
    <w:p w:rsidR="005E4E6A" w:rsidRPr="005E4E6A" w:rsidRDefault="00FF6C91" w:rsidP="00E464C9">
      <w:pPr>
        <w:widowControl w:val="0"/>
        <w:numPr>
          <w:ilvl w:val="0"/>
          <w:numId w:val="2"/>
        </w:numPr>
        <w:autoSpaceDE w:val="0"/>
        <w:autoSpaceDN w:val="0"/>
        <w:adjustRightInd w:val="0"/>
        <w:spacing w:after="0" w:line="240" w:lineRule="auto"/>
        <w:ind w:left="-3"/>
        <w:jc w:val="both"/>
        <w:rPr>
          <w:rFonts w:ascii="Times New Roman" w:hAnsi="Times New Roman"/>
          <w:bCs/>
          <w:sz w:val="24"/>
          <w:szCs w:val="24"/>
        </w:rPr>
      </w:pPr>
      <w:r w:rsidRPr="00EF6818">
        <w:rPr>
          <w:rFonts w:ascii="Times New Roman" w:hAnsi="Times New Roman"/>
          <w:sz w:val="24"/>
          <w:szCs w:val="24"/>
        </w:rPr>
        <w:t xml:space="preserve">Le deuxième point que tranche, de manière implicite, </w:t>
      </w:r>
      <w:r w:rsidR="00D46BAC">
        <w:rPr>
          <w:rFonts w:ascii="Times New Roman" w:hAnsi="Times New Roman"/>
          <w:sz w:val="24"/>
          <w:szCs w:val="24"/>
        </w:rPr>
        <w:t>cet arrêt</w:t>
      </w:r>
      <w:r w:rsidRPr="00EF6818">
        <w:rPr>
          <w:rFonts w:ascii="Times New Roman" w:hAnsi="Times New Roman"/>
          <w:sz w:val="24"/>
          <w:szCs w:val="24"/>
        </w:rPr>
        <w:t xml:space="preserve"> est l’assimilation des règles applicables aux contrats de distribution sélective et exclusive. C</w:t>
      </w:r>
      <w:r w:rsidR="00D46BAC">
        <w:rPr>
          <w:rFonts w:ascii="Times New Roman" w:hAnsi="Times New Roman"/>
          <w:sz w:val="24"/>
          <w:szCs w:val="24"/>
        </w:rPr>
        <w:t>e</w:t>
      </w:r>
      <w:r w:rsidRPr="00EF6818">
        <w:rPr>
          <w:rFonts w:ascii="Times New Roman" w:hAnsi="Times New Roman"/>
          <w:sz w:val="24"/>
          <w:szCs w:val="24"/>
        </w:rPr>
        <w:t xml:space="preserve"> débat </w:t>
      </w:r>
      <w:r w:rsidR="00D46BAC">
        <w:rPr>
          <w:rFonts w:ascii="Times New Roman" w:hAnsi="Times New Roman"/>
          <w:sz w:val="24"/>
          <w:szCs w:val="24"/>
        </w:rPr>
        <w:t xml:space="preserve">est déjà </w:t>
      </w:r>
      <w:r w:rsidRPr="00EF6818">
        <w:rPr>
          <w:rFonts w:ascii="Times New Roman" w:hAnsi="Times New Roman"/>
          <w:sz w:val="24"/>
          <w:szCs w:val="24"/>
        </w:rPr>
        <w:t xml:space="preserve">un peu ancien. Ainsi un arrêt </w:t>
      </w:r>
      <w:r w:rsidRPr="00EF6818">
        <w:rPr>
          <w:rFonts w:ascii="Times New Roman" w:hAnsi="Times New Roman"/>
          <w:sz w:val="24"/>
          <w:szCs w:val="24"/>
        </w:rPr>
        <w:lastRenderedPageBreak/>
        <w:t>avait, en 2000 considéré que, dans la mesure où le choix d’un concessionnaire exclusi</w:t>
      </w:r>
      <w:r w:rsidR="00D46BAC">
        <w:rPr>
          <w:rFonts w:ascii="Times New Roman" w:hAnsi="Times New Roman"/>
          <w:sz w:val="24"/>
          <w:szCs w:val="24"/>
        </w:rPr>
        <w:t>f</w:t>
      </w:r>
      <w:r w:rsidRPr="00EF6818">
        <w:rPr>
          <w:rFonts w:ascii="Times New Roman" w:hAnsi="Times New Roman"/>
          <w:sz w:val="24"/>
          <w:szCs w:val="24"/>
        </w:rPr>
        <w:t xml:space="preserve"> suppose une technique de sélection</w:t>
      </w:r>
      <w:r w:rsidR="00C43D81" w:rsidRPr="00EF6818">
        <w:rPr>
          <w:rFonts w:ascii="Times New Roman" w:hAnsi="Times New Roman"/>
          <w:sz w:val="24"/>
          <w:szCs w:val="24"/>
        </w:rPr>
        <w:t>, qualitative et quantitative</w:t>
      </w:r>
      <w:r w:rsidRPr="00EF6818">
        <w:rPr>
          <w:rFonts w:ascii="Times New Roman" w:hAnsi="Times New Roman"/>
          <w:sz w:val="24"/>
          <w:szCs w:val="24"/>
        </w:rPr>
        <w:t>, il importait alors de vérifier que les logiques de validation propres aux contrats de distribution sélective</w:t>
      </w:r>
      <w:r w:rsidR="00C43D81" w:rsidRPr="00EF6818">
        <w:rPr>
          <w:rFonts w:ascii="Times New Roman" w:hAnsi="Times New Roman"/>
          <w:sz w:val="24"/>
          <w:szCs w:val="24"/>
        </w:rPr>
        <w:t xml:space="preserve"> étaient respectées</w:t>
      </w:r>
      <w:r w:rsidR="00C43D81">
        <w:rPr>
          <w:rStyle w:val="Appelnotedebasdep"/>
          <w:rFonts w:ascii="Times New Roman" w:hAnsi="Times New Roman"/>
          <w:sz w:val="24"/>
          <w:szCs w:val="24"/>
        </w:rPr>
        <w:footnoteReference w:id="11"/>
      </w:r>
      <w:r w:rsidR="00C43D81" w:rsidRPr="00EF6818">
        <w:rPr>
          <w:rFonts w:ascii="Times New Roman" w:hAnsi="Times New Roman"/>
          <w:sz w:val="24"/>
          <w:szCs w:val="24"/>
        </w:rPr>
        <w:t>, ce jusqu’à ce que la Cour de Justice précise que les techniques de sélection quantitative étaient tout entier contenus dans logiques du droit de la concurrence, et donc d’exemption : « par les termes “critères définis” figurant à l'article 1er, §1, sous f), du règlement CE n° 1400/2002 (...), il y a lieu d'entendre, s'agissant d'un système de distribution sélective quantitative au sens de ce règlement, des critères dont le contenu précis peut être vérifié. Pour bénéficier de l'exemption prévue par ledit règlement, il n'est pas nécessaire qu'un tel système repose sur des critères qui sont objectivement justifiés et appliqués de façon uniforme et non différenciée à l'égard de tous candidat à l'agrément »</w:t>
      </w:r>
      <w:r w:rsidR="00C43D81">
        <w:rPr>
          <w:rStyle w:val="Appelnotedebasdep"/>
          <w:rFonts w:ascii="Times New Roman" w:hAnsi="Times New Roman"/>
          <w:sz w:val="24"/>
          <w:szCs w:val="24"/>
        </w:rPr>
        <w:footnoteReference w:id="12"/>
      </w:r>
      <w:r w:rsidR="00C43D81" w:rsidRPr="00EF6818">
        <w:rPr>
          <w:rFonts w:ascii="Times New Roman" w:hAnsi="Times New Roman"/>
          <w:sz w:val="24"/>
          <w:szCs w:val="24"/>
        </w:rPr>
        <w:t>.</w:t>
      </w:r>
      <w:r w:rsidR="00D46BAC">
        <w:rPr>
          <w:rFonts w:ascii="Times New Roman" w:hAnsi="Times New Roman"/>
          <w:sz w:val="24"/>
          <w:szCs w:val="24"/>
        </w:rPr>
        <w:t xml:space="preserve"> </w:t>
      </w:r>
    </w:p>
    <w:p w:rsidR="00FF6C91" w:rsidRPr="00EF6818" w:rsidRDefault="00D46BAC" w:rsidP="005E4E6A">
      <w:pPr>
        <w:widowControl w:val="0"/>
        <w:autoSpaceDE w:val="0"/>
        <w:autoSpaceDN w:val="0"/>
        <w:adjustRightInd w:val="0"/>
        <w:spacing w:after="0" w:line="240" w:lineRule="auto"/>
        <w:ind w:left="-3" w:firstLine="723"/>
        <w:jc w:val="both"/>
        <w:rPr>
          <w:rFonts w:ascii="Times New Roman" w:hAnsi="Times New Roman"/>
          <w:bCs/>
          <w:sz w:val="24"/>
          <w:szCs w:val="24"/>
        </w:rPr>
      </w:pPr>
      <w:r>
        <w:rPr>
          <w:rFonts w:ascii="Times New Roman" w:hAnsi="Times New Roman"/>
          <w:sz w:val="24"/>
          <w:szCs w:val="24"/>
        </w:rPr>
        <w:t xml:space="preserve">L’arrêt ici rapporté rend totalement obsolète ce type de raisonnement qui ne se justifiait que dans la mesure de la prise en compte, en droit des contrats (de distribution sélective), des règles du droit de la concurrence, et par itération de son application à des contrats voisins, et pourquoi pas tous les contrats impliquant une sélection, c’est-à-dire au final tous les contrats, d’affaires, conclus </w:t>
      </w:r>
      <w:proofErr w:type="spellStart"/>
      <w:r w:rsidRPr="00D46BAC">
        <w:rPr>
          <w:rFonts w:ascii="Times New Roman" w:hAnsi="Times New Roman"/>
          <w:i/>
          <w:sz w:val="24"/>
          <w:szCs w:val="24"/>
        </w:rPr>
        <w:t>intuitus</w:t>
      </w:r>
      <w:proofErr w:type="spellEnd"/>
      <w:r w:rsidRPr="00D46BAC">
        <w:rPr>
          <w:rFonts w:ascii="Times New Roman" w:hAnsi="Times New Roman"/>
          <w:i/>
          <w:sz w:val="24"/>
          <w:szCs w:val="24"/>
        </w:rPr>
        <w:t xml:space="preserve"> personae</w:t>
      </w:r>
      <w:r>
        <w:rPr>
          <w:rFonts w:ascii="Times New Roman" w:hAnsi="Times New Roman"/>
          <w:i/>
          <w:sz w:val="24"/>
          <w:szCs w:val="24"/>
        </w:rPr>
        <w:t xml:space="preserve">, </w:t>
      </w:r>
      <w:r w:rsidRPr="00D46BAC">
        <w:rPr>
          <w:rFonts w:ascii="Times New Roman" w:hAnsi="Times New Roman"/>
          <w:sz w:val="24"/>
          <w:szCs w:val="24"/>
        </w:rPr>
        <w:t xml:space="preserve">ce </w:t>
      </w:r>
      <w:r w:rsidR="00B06083">
        <w:rPr>
          <w:rFonts w:ascii="Times New Roman" w:hAnsi="Times New Roman"/>
          <w:sz w:val="24"/>
          <w:szCs w:val="24"/>
        </w:rPr>
        <w:t xml:space="preserve">qui </w:t>
      </w:r>
      <w:r w:rsidRPr="00D46BAC">
        <w:rPr>
          <w:rFonts w:ascii="Times New Roman" w:hAnsi="Times New Roman"/>
          <w:sz w:val="24"/>
          <w:szCs w:val="24"/>
        </w:rPr>
        <w:t>aurait fait beaucoup</w:t>
      </w:r>
      <w:r>
        <w:rPr>
          <w:rFonts w:ascii="Times New Roman" w:hAnsi="Times New Roman"/>
          <w:sz w:val="24"/>
          <w:szCs w:val="24"/>
        </w:rPr>
        <w:t>. L’analyse subtile de la Cour, par la séparation nette qu’elle impose entre ces deux corps de règles, rend inutile ce type de débat.</w:t>
      </w:r>
    </w:p>
    <w:p w:rsidR="00C43D81" w:rsidRDefault="00C43D81" w:rsidP="00E464C9">
      <w:pPr>
        <w:widowControl w:val="0"/>
        <w:autoSpaceDE w:val="0"/>
        <w:autoSpaceDN w:val="0"/>
        <w:adjustRightInd w:val="0"/>
        <w:spacing w:after="0" w:line="240" w:lineRule="auto"/>
        <w:jc w:val="both"/>
        <w:rPr>
          <w:rFonts w:ascii="Times New Roman" w:hAnsi="Times New Roman"/>
          <w:sz w:val="24"/>
          <w:szCs w:val="24"/>
        </w:rPr>
      </w:pPr>
    </w:p>
    <w:p w:rsidR="00C43D81" w:rsidRPr="00BB2D1C" w:rsidRDefault="00C43D81" w:rsidP="00E464C9">
      <w:pPr>
        <w:widowControl w:val="0"/>
        <w:autoSpaceDE w:val="0"/>
        <w:autoSpaceDN w:val="0"/>
        <w:adjustRightInd w:val="0"/>
        <w:spacing w:after="0" w:line="240" w:lineRule="auto"/>
        <w:jc w:val="both"/>
        <w:rPr>
          <w:rFonts w:ascii="Times New Roman" w:hAnsi="Times New Roman"/>
          <w:bCs/>
          <w:sz w:val="24"/>
          <w:szCs w:val="24"/>
        </w:rPr>
      </w:pPr>
    </w:p>
    <w:p w:rsidR="00352B86" w:rsidRPr="00BB2D1C" w:rsidRDefault="00352B86" w:rsidP="00352B86">
      <w:pPr>
        <w:widowControl w:val="0"/>
        <w:autoSpaceDE w:val="0"/>
        <w:autoSpaceDN w:val="0"/>
        <w:adjustRightInd w:val="0"/>
        <w:spacing w:after="0" w:line="240" w:lineRule="auto"/>
        <w:jc w:val="both"/>
        <w:rPr>
          <w:rFonts w:ascii="Times New Roman" w:hAnsi="Times New Roman"/>
          <w:b/>
          <w:bCs/>
          <w:sz w:val="24"/>
          <w:szCs w:val="24"/>
        </w:rPr>
      </w:pPr>
    </w:p>
    <w:p w:rsidR="008B6C10" w:rsidRPr="008520F6" w:rsidRDefault="008B6C10" w:rsidP="00352B86">
      <w:pPr>
        <w:widowControl w:val="0"/>
        <w:autoSpaceDE w:val="0"/>
        <w:autoSpaceDN w:val="0"/>
        <w:adjustRightInd w:val="0"/>
        <w:spacing w:after="0" w:line="240" w:lineRule="auto"/>
        <w:jc w:val="both"/>
        <w:rPr>
          <w:rFonts w:ascii="Times New Roman" w:hAnsi="Times New Roman"/>
          <w:sz w:val="20"/>
          <w:szCs w:val="20"/>
        </w:rPr>
      </w:pPr>
      <w:r w:rsidRPr="008520F6">
        <w:rPr>
          <w:rFonts w:ascii="Times New Roman" w:hAnsi="Times New Roman"/>
          <w:b/>
          <w:bCs/>
          <w:sz w:val="20"/>
          <w:szCs w:val="20"/>
        </w:rPr>
        <w:t>C</w:t>
      </w:r>
      <w:r w:rsidR="00352B86" w:rsidRPr="008520F6">
        <w:rPr>
          <w:rFonts w:ascii="Times New Roman" w:hAnsi="Times New Roman"/>
          <w:b/>
          <w:bCs/>
          <w:sz w:val="20"/>
          <w:szCs w:val="20"/>
        </w:rPr>
        <w:t xml:space="preserve">. com. </w:t>
      </w:r>
      <w:r w:rsidRPr="008520F6">
        <w:rPr>
          <w:rFonts w:ascii="Times New Roman" w:hAnsi="Times New Roman"/>
          <w:b/>
          <w:bCs/>
          <w:sz w:val="20"/>
          <w:szCs w:val="20"/>
        </w:rPr>
        <w:t>27 mars 2019</w:t>
      </w:r>
      <w:r w:rsidR="00352B86" w:rsidRPr="008520F6">
        <w:rPr>
          <w:rFonts w:ascii="Times New Roman" w:hAnsi="Times New Roman"/>
          <w:b/>
          <w:bCs/>
          <w:sz w:val="20"/>
          <w:szCs w:val="20"/>
        </w:rPr>
        <w:t>, n</w:t>
      </w:r>
      <w:r w:rsidRPr="008520F6">
        <w:rPr>
          <w:rFonts w:ascii="Times New Roman" w:hAnsi="Times New Roman"/>
          <w:b/>
          <w:bCs/>
          <w:sz w:val="20"/>
          <w:szCs w:val="20"/>
        </w:rPr>
        <w:t xml:space="preserve">° 17-22083 </w:t>
      </w:r>
    </w:p>
    <w:p w:rsidR="00352B86" w:rsidRPr="008520F6" w:rsidRDefault="008B6C10" w:rsidP="00352B86">
      <w:pPr>
        <w:widowControl w:val="0"/>
        <w:autoSpaceDE w:val="0"/>
        <w:autoSpaceDN w:val="0"/>
        <w:adjustRightInd w:val="0"/>
        <w:spacing w:after="0" w:line="240" w:lineRule="auto"/>
        <w:jc w:val="both"/>
        <w:rPr>
          <w:rFonts w:ascii="Times New Roman" w:hAnsi="Times New Roman"/>
          <w:sz w:val="20"/>
          <w:szCs w:val="20"/>
        </w:rPr>
      </w:pPr>
      <w:r w:rsidRPr="008520F6">
        <w:rPr>
          <w:rFonts w:ascii="Times New Roman" w:hAnsi="Times New Roman"/>
          <w:sz w:val="20"/>
          <w:szCs w:val="20"/>
        </w:rPr>
        <w:t xml:space="preserve">LA COUR </w:t>
      </w:r>
      <w:r w:rsidR="00352B86" w:rsidRPr="008520F6">
        <w:rPr>
          <w:rFonts w:ascii="Times New Roman" w:hAnsi="Times New Roman"/>
          <w:sz w:val="20"/>
          <w:szCs w:val="20"/>
        </w:rPr>
        <w:t>(…)</w:t>
      </w:r>
    </w:p>
    <w:p w:rsidR="008B6C10" w:rsidRPr="008520F6" w:rsidRDefault="008B6C10" w:rsidP="00352B86">
      <w:pPr>
        <w:widowControl w:val="0"/>
        <w:autoSpaceDE w:val="0"/>
        <w:autoSpaceDN w:val="0"/>
        <w:adjustRightInd w:val="0"/>
        <w:spacing w:after="0" w:line="240" w:lineRule="auto"/>
        <w:jc w:val="both"/>
        <w:rPr>
          <w:rFonts w:ascii="Times New Roman" w:hAnsi="Times New Roman"/>
          <w:sz w:val="20"/>
          <w:szCs w:val="20"/>
        </w:rPr>
      </w:pPr>
      <w:r w:rsidRPr="008520F6">
        <w:rPr>
          <w:rFonts w:ascii="Times New Roman" w:hAnsi="Times New Roman"/>
          <w:sz w:val="20"/>
          <w:szCs w:val="20"/>
        </w:rPr>
        <w:t xml:space="preserve">Statuant sur le pourvoi formé par la société FCA France, société anonyme, dont le siège est [...], contre l’arrêt rendu le 24 mai 2017 par la cour d’appel de Paris (pôle 5, chambre 4), dans le litige l’opposant à la société </w:t>
      </w:r>
      <w:proofErr w:type="spellStart"/>
      <w:r w:rsidRPr="008520F6">
        <w:rPr>
          <w:rFonts w:ascii="Times New Roman" w:hAnsi="Times New Roman"/>
          <w:sz w:val="20"/>
          <w:szCs w:val="20"/>
        </w:rPr>
        <w:t>Catia</w:t>
      </w:r>
      <w:proofErr w:type="spellEnd"/>
      <w:r w:rsidRPr="008520F6">
        <w:rPr>
          <w:rFonts w:ascii="Times New Roman" w:hAnsi="Times New Roman"/>
          <w:sz w:val="20"/>
          <w:szCs w:val="20"/>
        </w:rPr>
        <w:t xml:space="preserve"> automobiles, société à responsabilité limitée, dont le siège est [...], défenderesse à la cassation ;</w:t>
      </w:r>
    </w:p>
    <w:p w:rsidR="008B6C10" w:rsidRPr="008520F6" w:rsidRDefault="008B6C10" w:rsidP="00352B86">
      <w:pPr>
        <w:widowControl w:val="0"/>
        <w:autoSpaceDE w:val="0"/>
        <w:autoSpaceDN w:val="0"/>
        <w:adjustRightInd w:val="0"/>
        <w:spacing w:after="0" w:line="240" w:lineRule="auto"/>
        <w:jc w:val="both"/>
        <w:rPr>
          <w:rFonts w:ascii="Times New Roman" w:hAnsi="Times New Roman"/>
          <w:sz w:val="20"/>
          <w:szCs w:val="20"/>
        </w:rPr>
      </w:pPr>
      <w:r w:rsidRPr="008520F6">
        <w:rPr>
          <w:rFonts w:ascii="Times New Roman" w:hAnsi="Times New Roman"/>
          <w:sz w:val="20"/>
          <w:szCs w:val="20"/>
        </w:rPr>
        <w:t>La demanderesse invoque, à l’appui de son pourvoi, les deux moyens de cassation annexés au présent arrêt ;</w:t>
      </w:r>
    </w:p>
    <w:p w:rsidR="008B6C10" w:rsidRPr="008520F6" w:rsidRDefault="008B6C10" w:rsidP="00352B86">
      <w:pPr>
        <w:widowControl w:val="0"/>
        <w:autoSpaceDE w:val="0"/>
        <w:autoSpaceDN w:val="0"/>
        <w:adjustRightInd w:val="0"/>
        <w:spacing w:after="0" w:line="240" w:lineRule="auto"/>
        <w:jc w:val="both"/>
        <w:rPr>
          <w:rFonts w:ascii="Times New Roman" w:hAnsi="Times New Roman"/>
          <w:sz w:val="20"/>
          <w:szCs w:val="20"/>
        </w:rPr>
      </w:pPr>
      <w:r w:rsidRPr="008520F6">
        <w:rPr>
          <w:rFonts w:ascii="Times New Roman" w:hAnsi="Times New Roman"/>
          <w:sz w:val="20"/>
          <w:szCs w:val="20"/>
        </w:rPr>
        <w:t>Vu la communication faite au procureur général ;</w:t>
      </w:r>
    </w:p>
    <w:p w:rsidR="008B6C10" w:rsidRPr="008520F6" w:rsidRDefault="008B6C10" w:rsidP="00352B86">
      <w:pPr>
        <w:widowControl w:val="0"/>
        <w:autoSpaceDE w:val="0"/>
        <w:autoSpaceDN w:val="0"/>
        <w:adjustRightInd w:val="0"/>
        <w:spacing w:after="0" w:line="240" w:lineRule="auto"/>
        <w:jc w:val="both"/>
        <w:rPr>
          <w:rFonts w:ascii="Times New Roman" w:hAnsi="Times New Roman"/>
          <w:sz w:val="20"/>
          <w:szCs w:val="20"/>
        </w:rPr>
      </w:pPr>
      <w:r w:rsidRPr="008520F6">
        <w:rPr>
          <w:rFonts w:ascii="Times New Roman" w:hAnsi="Times New Roman"/>
          <w:sz w:val="20"/>
          <w:szCs w:val="20"/>
        </w:rPr>
        <w:t xml:space="preserve">Attendu, selon l’arrêt attaqué, que la société </w:t>
      </w:r>
      <w:proofErr w:type="spellStart"/>
      <w:r w:rsidRPr="008520F6">
        <w:rPr>
          <w:rFonts w:ascii="Times New Roman" w:hAnsi="Times New Roman"/>
          <w:sz w:val="20"/>
          <w:szCs w:val="20"/>
        </w:rPr>
        <w:t>Catia</w:t>
      </w:r>
      <w:proofErr w:type="spellEnd"/>
      <w:r w:rsidRPr="008520F6">
        <w:rPr>
          <w:rFonts w:ascii="Times New Roman" w:hAnsi="Times New Roman"/>
          <w:sz w:val="20"/>
          <w:szCs w:val="20"/>
        </w:rPr>
        <w:t xml:space="preserve"> automobiles (la société </w:t>
      </w:r>
      <w:proofErr w:type="spellStart"/>
      <w:r w:rsidRPr="008520F6">
        <w:rPr>
          <w:rFonts w:ascii="Times New Roman" w:hAnsi="Times New Roman"/>
          <w:sz w:val="20"/>
          <w:szCs w:val="20"/>
        </w:rPr>
        <w:t>Catia</w:t>
      </w:r>
      <w:proofErr w:type="spellEnd"/>
      <w:r w:rsidRPr="008520F6">
        <w:rPr>
          <w:rFonts w:ascii="Times New Roman" w:hAnsi="Times New Roman"/>
          <w:sz w:val="20"/>
          <w:szCs w:val="20"/>
        </w:rPr>
        <w:t xml:space="preserve">) était concessionnaire des marques Chrysler, Jeep et </w:t>
      </w:r>
      <w:proofErr w:type="spellStart"/>
      <w:r w:rsidRPr="008520F6">
        <w:rPr>
          <w:rFonts w:ascii="Times New Roman" w:hAnsi="Times New Roman"/>
          <w:sz w:val="20"/>
          <w:szCs w:val="20"/>
        </w:rPr>
        <w:t>Dodge</w:t>
      </w:r>
      <w:proofErr w:type="spellEnd"/>
      <w:r w:rsidRPr="008520F6">
        <w:rPr>
          <w:rFonts w:ascii="Times New Roman" w:hAnsi="Times New Roman"/>
          <w:sz w:val="20"/>
          <w:szCs w:val="20"/>
        </w:rPr>
        <w:t xml:space="preserve">, à Caen, depuis 2001 ; que, le 25 mai 2010, la société Chrysler France (la société Chrysler), qui assurait en France l’importation et la distribution des véhicules de ces marques, a résilié l’ensemble des contrats de distribution de véhicules neufs, de vente de pièces détachées et d’après-vente à effet au 31 mai 2011 ; que la société Chrysler a cédé son fonds de commerce à la société Fiat France, aux droits de laquelle est venue la société FCA France (la société FCA) ; que, le 31 mai 2010, la société FCA a annoncé aux distributeurs du réseau qu’elle reprendrait la distribution en France des marques Lancia et Jeep et les a invités à faire acte de candidature pour la signature de nouveaux contrats ; que la société </w:t>
      </w:r>
      <w:proofErr w:type="spellStart"/>
      <w:r w:rsidRPr="008520F6">
        <w:rPr>
          <w:rFonts w:ascii="Times New Roman" w:hAnsi="Times New Roman"/>
          <w:sz w:val="20"/>
          <w:szCs w:val="20"/>
        </w:rPr>
        <w:t>Catia</w:t>
      </w:r>
      <w:proofErr w:type="spellEnd"/>
      <w:r w:rsidRPr="008520F6">
        <w:rPr>
          <w:rFonts w:ascii="Times New Roman" w:hAnsi="Times New Roman"/>
          <w:sz w:val="20"/>
          <w:szCs w:val="20"/>
        </w:rPr>
        <w:t xml:space="preserve">, candidate pour la distribution de véhicules neufs et l’activité de réparation, a transmis, le 19 juillet 2010, à la société FCA le dossier de candidature que celle-ci lui avait envoyé le 18 juin 2010 ; que, par lettre du 7 janvier 2011, la société FCA a informé la société </w:t>
      </w:r>
      <w:proofErr w:type="spellStart"/>
      <w:r w:rsidRPr="008520F6">
        <w:rPr>
          <w:rFonts w:ascii="Times New Roman" w:hAnsi="Times New Roman"/>
          <w:sz w:val="20"/>
          <w:szCs w:val="20"/>
        </w:rPr>
        <w:t>Catia</w:t>
      </w:r>
      <w:proofErr w:type="spellEnd"/>
      <w:r w:rsidRPr="008520F6">
        <w:rPr>
          <w:rFonts w:ascii="Times New Roman" w:hAnsi="Times New Roman"/>
          <w:sz w:val="20"/>
          <w:szCs w:val="20"/>
        </w:rPr>
        <w:t xml:space="preserve"> de sa décision de refus d’agrément ; que, contestant ce refus et reprochant à la société FCA d’avoir confié la représentation des marques en cause à la société </w:t>
      </w:r>
      <w:proofErr w:type="spellStart"/>
      <w:r w:rsidRPr="008520F6">
        <w:rPr>
          <w:rFonts w:ascii="Times New Roman" w:hAnsi="Times New Roman"/>
          <w:sz w:val="20"/>
          <w:szCs w:val="20"/>
        </w:rPr>
        <w:t>Socadia</w:t>
      </w:r>
      <w:proofErr w:type="spellEnd"/>
      <w:r w:rsidRPr="008520F6">
        <w:rPr>
          <w:rFonts w:ascii="Times New Roman" w:hAnsi="Times New Roman"/>
          <w:sz w:val="20"/>
          <w:szCs w:val="20"/>
        </w:rPr>
        <w:t xml:space="preserve">, qui était le distributeur Lancia “sur le même marché de référence”, la société </w:t>
      </w:r>
      <w:proofErr w:type="spellStart"/>
      <w:r w:rsidRPr="008520F6">
        <w:rPr>
          <w:rFonts w:ascii="Times New Roman" w:hAnsi="Times New Roman"/>
          <w:sz w:val="20"/>
          <w:szCs w:val="20"/>
        </w:rPr>
        <w:t>Catia</w:t>
      </w:r>
      <w:proofErr w:type="spellEnd"/>
      <w:r w:rsidRPr="008520F6">
        <w:rPr>
          <w:rFonts w:ascii="Times New Roman" w:hAnsi="Times New Roman"/>
          <w:sz w:val="20"/>
          <w:szCs w:val="20"/>
        </w:rPr>
        <w:t xml:space="preserve"> l’a assignée, sur le fondement de l’article 1382 du code civil, en réparation des préjudices résultant de son refus fautif d’agrément et de son retard dans la notification de ce dernier ;</w:t>
      </w:r>
    </w:p>
    <w:p w:rsidR="008B6C10" w:rsidRPr="008520F6" w:rsidRDefault="008B6C10" w:rsidP="00352B86">
      <w:pPr>
        <w:widowControl w:val="0"/>
        <w:autoSpaceDE w:val="0"/>
        <w:autoSpaceDN w:val="0"/>
        <w:adjustRightInd w:val="0"/>
        <w:spacing w:after="0" w:line="240" w:lineRule="auto"/>
        <w:jc w:val="both"/>
        <w:rPr>
          <w:rFonts w:ascii="Times New Roman" w:hAnsi="Times New Roman"/>
          <w:sz w:val="20"/>
          <w:szCs w:val="20"/>
        </w:rPr>
      </w:pPr>
      <w:r w:rsidRPr="008520F6">
        <w:rPr>
          <w:rFonts w:ascii="Times New Roman" w:hAnsi="Times New Roman"/>
          <w:sz w:val="20"/>
          <w:szCs w:val="20"/>
        </w:rPr>
        <w:t>Sur le premier moyen, pris en sa première branche :</w:t>
      </w:r>
    </w:p>
    <w:p w:rsidR="008B6C10" w:rsidRPr="008520F6" w:rsidRDefault="008B6C10" w:rsidP="00352B86">
      <w:pPr>
        <w:widowControl w:val="0"/>
        <w:autoSpaceDE w:val="0"/>
        <w:autoSpaceDN w:val="0"/>
        <w:adjustRightInd w:val="0"/>
        <w:spacing w:after="0" w:line="240" w:lineRule="auto"/>
        <w:jc w:val="both"/>
        <w:rPr>
          <w:rFonts w:ascii="Times New Roman" w:hAnsi="Times New Roman"/>
          <w:sz w:val="20"/>
          <w:szCs w:val="20"/>
        </w:rPr>
      </w:pPr>
      <w:r w:rsidRPr="008520F6">
        <w:rPr>
          <w:rFonts w:ascii="Times New Roman" w:hAnsi="Times New Roman"/>
          <w:sz w:val="20"/>
          <w:szCs w:val="20"/>
        </w:rPr>
        <w:t>Vu l’article 1382, devenu 1240, du code civil, ensemble les principes de liberté contractuelle et de liberté du commerce et de l’industrie ;</w:t>
      </w:r>
    </w:p>
    <w:p w:rsidR="008B6C10" w:rsidRPr="008520F6" w:rsidRDefault="008B6C10" w:rsidP="00352B86">
      <w:pPr>
        <w:widowControl w:val="0"/>
        <w:autoSpaceDE w:val="0"/>
        <w:autoSpaceDN w:val="0"/>
        <w:adjustRightInd w:val="0"/>
        <w:spacing w:after="0" w:line="240" w:lineRule="auto"/>
        <w:jc w:val="both"/>
        <w:rPr>
          <w:rFonts w:ascii="Times New Roman" w:hAnsi="Times New Roman"/>
          <w:sz w:val="20"/>
          <w:szCs w:val="20"/>
        </w:rPr>
      </w:pPr>
      <w:r w:rsidRPr="008520F6">
        <w:rPr>
          <w:rFonts w:ascii="Times New Roman" w:hAnsi="Times New Roman"/>
          <w:sz w:val="20"/>
          <w:szCs w:val="20"/>
        </w:rPr>
        <w:t xml:space="preserve">Attendu que pour dire que le refus d’agrément de la société </w:t>
      </w:r>
      <w:proofErr w:type="spellStart"/>
      <w:r w:rsidRPr="008520F6">
        <w:rPr>
          <w:rFonts w:ascii="Times New Roman" w:hAnsi="Times New Roman"/>
          <w:sz w:val="20"/>
          <w:szCs w:val="20"/>
        </w:rPr>
        <w:t>Catia</w:t>
      </w:r>
      <w:proofErr w:type="spellEnd"/>
      <w:r w:rsidRPr="008520F6">
        <w:rPr>
          <w:rFonts w:ascii="Times New Roman" w:hAnsi="Times New Roman"/>
          <w:sz w:val="20"/>
          <w:szCs w:val="20"/>
        </w:rPr>
        <w:t xml:space="preserve"> constitue une faute de la société FCA et condamner la seconde à payer à la première une indemnité, l’arrêt, après avoir constaté que la société FCA était à la tête d’un réseau de distribution sélective quantitative, énonce que le “concédant” est tenu, dès la phase précontractuelle, de respecter son obligation générale de bonne foi dans le choix de son cocontractant et en déduit que le titulaire du réseau doit sélectionner ses distributeurs sur le fondement de critères définis et objectivement fixés et appliquer ceux-ci de manière non-discriminatoire ;</w:t>
      </w:r>
    </w:p>
    <w:p w:rsidR="008B6C10" w:rsidRPr="008520F6" w:rsidRDefault="008B6C10" w:rsidP="00352B86">
      <w:pPr>
        <w:widowControl w:val="0"/>
        <w:autoSpaceDE w:val="0"/>
        <w:autoSpaceDN w:val="0"/>
        <w:adjustRightInd w:val="0"/>
        <w:spacing w:after="0" w:line="240" w:lineRule="auto"/>
        <w:jc w:val="both"/>
        <w:rPr>
          <w:rFonts w:ascii="Times New Roman" w:hAnsi="Times New Roman"/>
          <w:sz w:val="20"/>
          <w:szCs w:val="20"/>
        </w:rPr>
      </w:pPr>
      <w:r w:rsidRPr="008520F6">
        <w:rPr>
          <w:rFonts w:ascii="Times New Roman" w:hAnsi="Times New Roman"/>
          <w:sz w:val="20"/>
          <w:szCs w:val="20"/>
        </w:rPr>
        <w:t xml:space="preserve">Qu’en statuant ainsi, alors que l’exigence de bonne foi ne requiert pas, de la part de la tête d’un réseau de distribution la détermination et la mise en œuvre d’un tel processus de sélection, la cour d’appel a violé </w:t>
      </w:r>
      <w:proofErr w:type="gramStart"/>
      <w:r w:rsidRPr="008520F6">
        <w:rPr>
          <w:rFonts w:ascii="Times New Roman" w:hAnsi="Times New Roman"/>
          <w:sz w:val="20"/>
          <w:szCs w:val="20"/>
        </w:rPr>
        <w:t>les texte</w:t>
      </w:r>
      <w:proofErr w:type="gramEnd"/>
      <w:r w:rsidRPr="008520F6">
        <w:rPr>
          <w:rFonts w:ascii="Times New Roman" w:hAnsi="Times New Roman"/>
          <w:sz w:val="20"/>
          <w:szCs w:val="20"/>
        </w:rPr>
        <w:t xml:space="preserve"> et principe susvisés ;</w:t>
      </w:r>
    </w:p>
    <w:p w:rsidR="008B6C10" w:rsidRPr="008520F6" w:rsidRDefault="008B6C10" w:rsidP="00352B86">
      <w:pPr>
        <w:widowControl w:val="0"/>
        <w:autoSpaceDE w:val="0"/>
        <w:autoSpaceDN w:val="0"/>
        <w:adjustRightInd w:val="0"/>
        <w:spacing w:after="0" w:line="240" w:lineRule="auto"/>
        <w:jc w:val="both"/>
        <w:rPr>
          <w:rFonts w:ascii="Times New Roman" w:hAnsi="Times New Roman"/>
          <w:sz w:val="20"/>
          <w:szCs w:val="20"/>
        </w:rPr>
      </w:pPr>
      <w:r w:rsidRPr="008520F6">
        <w:rPr>
          <w:rFonts w:ascii="Times New Roman" w:hAnsi="Times New Roman"/>
          <w:sz w:val="20"/>
          <w:szCs w:val="20"/>
        </w:rPr>
        <w:t>Et sur le second moyen, pris en sa première branche :</w:t>
      </w:r>
    </w:p>
    <w:p w:rsidR="008B6C10" w:rsidRPr="008520F6" w:rsidRDefault="008B6C10" w:rsidP="00352B86">
      <w:pPr>
        <w:widowControl w:val="0"/>
        <w:autoSpaceDE w:val="0"/>
        <w:autoSpaceDN w:val="0"/>
        <w:adjustRightInd w:val="0"/>
        <w:spacing w:after="0" w:line="240" w:lineRule="auto"/>
        <w:jc w:val="both"/>
        <w:rPr>
          <w:rFonts w:ascii="Times New Roman" w:hAnsi="Times New Roman"/>
          <w:sz w:val="20"/>
          <w:szCs w:val="20"/>
        </w:rPr>
      </w:pPr>
      <w:r w:rsidRPr="008520F6">
        <w:rPr>
          <w:rFonts w:ascii="Times New Roman" w:hAnsi="Times New Roman"/>
          <w:sz w:val="20"/>
          <w:szCs w:val="20"/>
        </w:rPr>
        <w:t>Vu l’obligation pour le juge de ne pas dénaturer l’écrit qui lui est soumis ;</w:t>
      </w:r>
    </w:p>
    <w:p w:rsidR="008B6C10" w:rsidRPr="008520F6" w:rsidRDefault="008B6C10" w:rsidP="00352B86">
      <w:pPr>
        <w:widowControl w:val="0"/>
        <w:autoSpaceDE w:val="0"/>
        <w:autoSpaceDN w:val="0"/>
        <w:adjustRightInd w:val="0"/>
        <w:spacing w:after="0" w:line="240" w:lineRule="auto"/>
        <w:jc w:val="both"/>
        <w:rPr>
          <w:rFonts w:ascii="Times New Roman" w:hAnsi="Times New Roman"/>
          <w:sz w:val="20"/>
          <w:szCs w:val="20"/>
        </w:rPr>
      </w:pPr>
      <w:r w:rsidRPr="008520F6">
        <w:rPr>
          <w:rFonts w:ascii="Times New Roman" w:hAnsi="Times New Roman"/>
          <w:sz w:val="20"/>
          <w:szCs w:val="20"/>
        </w:rPr>
        <w:t xml:space="preserve">Attendu que pour condamner la société FCA à payer à la société </w:t>
      </w:r>
      <w:proofErr w:type="spellStart"/>
      <w:r w:rsidRPr="008520F6">
        <w:rPr>
          <w:rFonts w:ascii="Times New Roman" w:hAnsi="Times New Roman"/>
          <w:sz w:val="20"/>
          <w:szCs w:val="20"/>
        </w:rPr>
        <w:t>Catia</w:t>
      </w:r>
      <w:proofErr w:type="spellEnd"/>
      <w:r w:rsidRPr="008520F6">
        <w:rPr>
          <w:rFonts w:ascii="Times New Roman" w:hAnsi="Times New Roman"/>
          <w:sz w:val="20"/>
          <w:szCs w:val="20"/>
        </w:rPr>
        <w:t xml:space="preserve"> la somme de 20 000 euros en réparation du préjudice causé par la tardiveté de la notification du refus d’agrément, l’arrêt retient que, la société FCA ayant, par la lettre du 31 </w:t>
      </w:r>
      <w:r w:rsidRPr="008520F6">
        <w:rPr>
          <w:rFonts w:ascii="Times New Roman" w:hAnsi="Times New Roman"/>
          <w:sz w:val="20"/>
          <w:szCs w:val="20"/>
        </w:rPr>
        <w:lastRenderedPageBreak/>
        <w:t xml:space="preserve">mai 2010, adressée à la société </w:t>
      </w:r>
      <w:proofErr w:type="spellStart"/>
      <w:r w:rsidRPr="008520F6">
        <w:rPr>
          <w:rFonts w:ascii="Times New Roman" w:hAnsi="Times New Roman"/>
          <w:sz w:val="20"/>
          <w:szCs w:val="20"/>
        </w:rPr>
        <w:t>Catia</w:t>
      </w:r>
      <w:proofErr w:type="spellEnd"/>
      <w:r w:rsidRPr="008520F6">
        <w:rPr>
          <w:rFonts w:ascii="Times New Roman" w:hAnsi="Times New Roman"/>
          <w:sz w:val="20"/>
          <w:szCs w:val="20"/>
        </w:rPr>
        <w:t xml:space="preserve"> comme à l’ensemble des anciens distributeurs Lancia et Chrysler-Jeep-</w:t>
      </w:r>
      <w:proofErr w:type="spellStart"/>
      <w:r w:rsidRPr="008520F6">
        <w:rPr>
          <w:rFonts w:ascii="Times New Roman" w:hAnsi="Times New Roman"/>
          <w:sz w:val="20"/>
          <w:szCs w:val="20"/>
        </w:rPr>
        <w:t>Dodge</w:t>
      </w:r>
      <w:proofErr w:type="spellEnd"/>
      <w:r w:rsidRPr="008520F6">
        <w:rPr>
          <w:rFonts w:ascii="Times New Roman" w:hAnsi="Times New Roman"/>
          <w:sz w:val="20"/>
          <w:szCs w:val="20"/>
        </w:rPr>
        <w:t xml:space="preserve">, “fait part de son souhait de maintenir les relations avec tous les concessionnaires”, a indûment entretenu la société </w:t>
      </w:r>
      <w:proofErr w:type="spellStart"/>
      <w:r w:rsidRPr="008520F6">
        <w:rPr>
          <w:rFonts w:ascii="Times New Roman" w:hAnsi="Times New Roman"/>
          <w:sz w:val="20"/>
          <w:szCs w:val="20"/>
        </w:rPr>
        <w:t>Catia</w:t>
      </w:r>
      <w:proofErr w:type="spellEnd"/>
      <w:r w:rsidRPr="008520F6">
        <w:rPr>
          <w:rFonts w:ascii="Times New Roman" w:hAnsi="Times New Roman"/>
          <w:sz w:val="20"/>
          <w:szCs w:val="20"/>
        </w:rPr>
        <w:t xml:space="preserve"> dans l’espoir d’être agréée dans le nouveau réseau et lui a donné une incitation contraire à la reconversion, que le préavis d’un an avait pour but de permettre ;</w:t>
      </w:r>
    </w:p>
    <w:p w:rsidR="008B6C10" w:rsidRPr="008520F6" w:rsidRDefault="008B6C10" w:rsidP="00352B86">
      <w:pPr>
        <w:widowControl w:val="0"/>
        <w:autoSpaceDE w:val="0"/>
        <w:autoSpaceDN w:val="0"/>
        <w:adjustRightInd w:val="0"/>
        <w:spacing w:after="0" w:line="240" w:lineRule="auto"/>
        <w:jc w:val="both"/>
        <w:rPr>
          <w:rFonts w:ascii="Times New Roman" w:hAnsi="Times New Roman"/>
          <w:sz w:val="20"/>
          <w:szCs w:val="20"/>
        </w:rPr>
      </w:pPr>
      <w:r w:rsidRPr="008520F6">
        <w:rPr>
          <w:rFonts w:ascii="Times New Roman" w:hAnsi="Times New Roman"/>
          <w:sz w:val="20"/>
          <w:szCs w:val="20"/>
        </w:rPr>
        <w:t>Qu’en statuant ainsi, alors que la lettre du 31 mai 2010 mentionnait que “l’un des principaux objectifs de Chrysler et Fiat sera de préserver, dans toute la mesure du possible, leurs réseaux de distribution actuels et leurs relations avec la plupart des distributeurs actuels” et que “Chrysler et Fiat envisagent donc de proposer à la plupart de leurs distributeurs actuels de participer à la nouvelle opportunité de développement , en concluant un nouveau contrat de distributeur agréé”, la cour d’appel, qui a dénaturé les termes clairs et précis de ce document, a méconnu le principe susvisé ;</w:t>
      </w:r>
    </w:p>
    <w:p w:rsidR="008B6C10" w:rsidRPr="008520F6" w:rsidRDefault="008B6C10" w:rsidP="008520F6">
      <w:pPr>
        <w:widowControl w:val="0"/>
        <w:autoSpaceDE w:val="0"/>
        <w:autoSpaceDN w:val="0"/>
        <w:adjustRightInd w:val="0"/>
        <w:spacing w:after="0" w:line="240" w:lineRule="auto"/>
        <w:jc w:val="both"/>
        <w:rPr>
          <w:rFonts w:ascii="Times New Roman" w:hAnsi="Times New Roman"/>
          <w:sz w:val="20"/>
          <w:szCs w:val="20"/>
        </w:rPr>
      </w:pPr>
      <w:r w:rsidRPr="008520F6">
        <w:rPr>
          <w:rFonts w:ascii="Times New Roman" w:hAnsi="Times New Roman"/>
          <w:sz w:val="20"/>
          <w:szCs w:val="20"/>
        </w:rPr>
        <w:t>PAR CES MOTIFS, et sans qu’il y ait lieu de statuer sur les autres griefs :</w:t>
      </w:r>
    </w:p>
    <w:p w:rsidR="008B6C10" w:rsidRPr="008520F6" w:rsidRDefault="008B6C10" w:rsidP="008520F6">
      <w:pPr>
        <w:widowControl w:val="0"/>
        <w:autoSpaceDE w:val="0"/>
        <w:autoSpaceDN w:val="0"/>
        <w:adjustRightInd w:val="0"/>
        <w:spacing w:after="0" w:line="240" w:lineRule="auto"/>
        <w:jc w:val="both"/>
        <w:rPr>
          <w:rFonts w:ascii="Times New Roman" w:hAnsi="Times New Roman"/>
          <w:sz w:val="20"/>
          <w:szCs w:val="20"/>
        </w:rPr>
      </w:pPr>
      <w:r w:rsidRPr="008520F6">
        <w:rPr>
          <w:rFonts w:ascii="Times New Roman" w:hAnsi="Times New Roman"/>
          <w:sz w:val="20"/>
          <w:szCs w:val="20"/>
        </w:rPr>
        <w:t>CASSE ET ANNULE, en toutes ses dispositions, l’arrêt rendu le 24 mai 2017, entre les parties, par la cour d‘appel de Paris ; remet, en conséquence, la cause et les parties dans l’état où elles se trouvaient avant ledit arrêt et, pour être fait droit, les renvoie devant la cour d’appel de Paris, autrement composée ;</w:t>
      </w:r>
    </w:p>
    <w:p w:rsidR="008B6C10" w:rsidRPr="008520F6" w:rsidRDefault="008B6C10" w:rsidP="008520F6">
      <w:pPr>
        <w:widowControl w:val="0"/>
        <w:autoSpaceDE w:val="0"/>
        <w:autoSpaceDN w:val="0"/>
        <w:adjustRightInd w:val="0"/>
        <w:spacing w:after="0" w:line="240" w:lineRule="auto"/>
        <w:jc w:val="both"/>
        <w:rPr>
          <w:rFonts w:ascii="Times New Roman" w:hAnsi="Times New Roman"/>
          <w:sz w:val="20"/>
          <w:szCs w:val="20"/>
        </w:rPr>
      </w:pPr>
      <w:r w:rsidRPr="008520F6">
        <w:rPr>
          <w:rFonts w:ascii="Times New Roman" w:hAnsi="Times New Roman"/>
          <w:sz w:val="20"/>
          <w:szCs w:val="20"/>
        </w:rPr>
        <w:t xml:space="preserve">Condamne la société </w:t>
      </w:r>
      <w:proofErr w:type="spellStart"/>
      <w:r w:rsidRPr="008520F6">
        <w:rPr>
          <w:rFonts w:ascii="Times New Roman" w:hAnsi="Times New Roman"/>
          <w:sz w:val="20"/>
          <w:szCs w:val="20"/>
        </w:rPr>
        <w:t>Catia</w:t>
      </w:r>
      <w:proofErr w:type="spellEnd"/>
      <w:r w:rsidRPr="008520F6">
        <w:rPr>
          <w:rFonts w:ascii="Times New Roman" w:hAnsi="Times New Roman"/>
          <w:sz w:val="20"/>
          <w:szCs w:val="20"/>
        </w:rPr>
        <w:t xml:space="preserve"> automobiles aux dépens ;</w:t>
      </w:r>
    </w:p>
    <w:p w:rsidR="008B6C10" w:rsidRPr="008520F6" w:rsidRDefault="008B6C10" w:rsidP="008520F6">
      <w:pPr>
        <w:widowControl w:val="0"/>
        <w:autoSpaceDE w:val="0"/>
        <w:autoSpaceDN w:val="0"/>
        <w:adjustRightInd w:val="0"/>
        <w:spacing w:after="0" w:line="240" w:lineRule="auto"/>
        <w:jc w:val="both"/>
        <w:rPr>
          <w:rFonts w:ascii="Times New Roman" w:hAnsi="Times New Roman"/>
          <w:sz w:val="20"/>
          <w:szCs w:val="20"/>
        </w:rPr>
      </w:pPr>
      <w:r w:rsidRPr="008520F6">
        <w:rPr>
          <w:rFonts w:ascii="Times New Roman" w:hAnsi="Times New Roman"/>
          <w:sz w:val="20"/>
          <w:szCs w:val="20"/>
        </w:rPr>
        <w:t>Vu l’article 700 du code de procédure civile, la condamne à payer à la société FCA France la somme de 3 000 euros et rejette sa demande ;</w:t>
      </w:r>
    </w:p>
    <w:p w:rsidR="008B6C10" w:rsidRPr="008520F6" w:rsidRDefault="008B6C10" w:rsidP="008520F6">
      <w:pPr>
        <w:widowControl w:val="0"/>
        <w:autoSpaceDE w:val="0"/>
        <w:autoSpaceDN w:val="0"/>
        <w:adjustRightInd w:val="0"/>
        <w:spacing w:after="0" w:line="240" w:lineRule="auto"/>
        <w:jc w:val="both"/>
        <w:rPr>
          <w:rFonts w:ascii="Times New Roman" w:hAnsi="Times New Roman"/>
          <w:sz w:val="20"/>
          <w:szCs w:val="20"/>
        </w:rPr>
      </w:pPr>
      <w:r w:rsidRPr="008520F6">
        <w:rPr>
          <w:rFonts w:ascii="Times New Roman" w:hAnsi="Times New Roman"/>
          <w:sz w:val="20"/>
          <w:szCs w:val="20"/>
        </w:rPr>
        <w:t>Dit que sur les diligences du procureur général près la Cour de cassation, le présent arrêt sera transmis pour être transcrit en marge ou à la suite de l’arrêt cassé ;</w:t>
      </w:r>
    </w:p>
    <w:p w:rsidR="008B6C10" w:rsidRPr="008520F6" w:rsidRDefault="008B6C10" w:rsidP="008520F6">
      <w:pPr>
        <w:widowControl w:val="0"/>
        <w:autoSpaceDE w:val="0"/>
        <w:autoSpaceDN w:val="0"/>
        <w:adjustRightInd w:val="0"/>
        <w:spacing w:after="0" w:line="240" w:lineRule="auto"/>
        <w:jc w:val="both"/>
        <w:rPr>
          <w:rFonts w:ascii="Times New Roman" w:hAnsi="Times New Roman"/>
          <w:sz w:val="20"/>
          <w:szCs w:val="20"/>
        </w:rPr>
      </w:pPr>
      <w:r w:rsidRPr="008520F6">
        <w:rPr>
          <w:rFonts w:ascii="Times New Roman" w:hAnsi="Times New Roman"/>
          <w:sz w:val="20"/>
          <w:szCs w:val="20"/>
        </w:rPr>
        <w:t xml:space="preserve">Ainsi fait et jugé par la Cour de cassation, chambre commerciale, financière et économique, et prononcé par le président en son audience publique du vingt-sept mars deux mille dix-neuf. </w:t>
      </w:r>
    </w:p>
    <w:p w:rsidR="008B6C10" w:rsidRPr="00BB2D1C" w:rsidRDefault="008B6C10">
      <w:pPr>
        <w:widowControl w:val="0"/>
        <w:autoSpaceDE w:val="0"/>
        <w:autoSpaceDN w:val="0"/>
        <w:adjustRightInd w:val="0"/>
        <w:spacing w:after="0" w:line="240" w:lineRule="auto"/>
        <w:rPr>
          <w:rFonts w:ascii="Times New Roman" w:hAnsi="Times New Roman"/>
          <w:sz w:val="24"/>
          <w:szCs w:val="24"/>
        </w:rPr>
      </w:pPr>
      <w:r w:rsidRPr="00BB2D1C">
        <w:rPr>
          <w:rFonts w:ascii="Times New Roman" w:hAnsi="Times New Roman"/>
          <w:sz w:val="24"/>
          <w:szCs w:val="24"/>
        </w:rPr>
        <w:t> </w:t>
      </w:r>
    </w:p>
    <w:p w:rsidR="008B6C10" w:rsidRPr="00BB2D1C" w:rsidRDefault="008B6C10">
      <w:pPr>
        <w:widowControl w:val="0"/>
        <w:autoSpaceDE w:val="0"/>
        <w:autoSpaceDN w:val="0"/>
        <w:adjustRightInd w:val="0"/>
        <w:spacing w:after="0" w:line="240" w:lineRule="auto"/>
        <w:rPr>
          <w:rFonts w:ascii="Times New Roman" w:hAnsi="Times New Roman"/>
          <w:sz w:val="24"/>
          <w:szCs w:val="24"/>
        </w:rPr>
      </w:pPr>
      <w:r w:rsidRPr="00BB2D1C">
        <w:rPr>
          <w:rFonts w:ascii="Times New Roman" w:hAnsi="Times New Roman"/>
          <w:sz w:val="24"/>
          <w:szCs w:val="24"/>
        </w:rPr>
        <w:t> </w:t>
      </w:r>
    </w:p>
    <w:p w:rsidR="008B6C10" w:rsidRPr="00BB2D1C" w:rsidRDefault="008B6C10">
      <w:pPr>
        <w:widowControl w:val="0"/>
        <w:autoSpaceDE w:val="0"/>
        <w:autoSpaceDN w:val="0"/>
        <w:adjustRightInd w:val="0"/>
        <w:spacing w:after="0" w:line="240" w:lineRule="auto"/>
        <w:rPr>
          <w:rFonts w:ascii="Times New Roman" w:hAnsi="Times New Roman"/>
          <w:sz w:val="24"/>
          <w:szCs w:val="24"/>
        </w:rPr>
      </w:pPr>
    </w:p>
    <w:sectPr w:rsidR="008B6C10" w:rsidRPr="00BB2D1C">
      <w:pgSz w:w="11905" w:h="16837"/>
      <w:pgMar w:top="1133" w:right="1133" w:bottom="1133"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811" w:rsidRDefault="00646811" w:rsidP="00D00B0C">
      <w:pPr>
        <w:spacing w:after="0" w:line="240" w:lineRule="auto"/>
      </w:pPr>
      <w:r>
        <w:separator/>
      </w:r>
    </w:p>
  </w:endnote>
  <w:endnote w:type="continuationSeparator" w:id="0">
    <w:p w:rsidR="00646811" w:rsidRDefault="00646811" w:rsidP="00D0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811" w:rsidRDefault="00646811" w:rsidP="00D00B0C">
      <w:pPr>
        <w:spacing w:after="0" w:line="240" w:lineRule="auto"/>
      </w:pPr>
      <w:r>
        <w:separator/>
      </w:r>
    </w:p>
  </w:footnote>
  <w:footnote w:type="continuationSeparator" w:id="0">
    <w:p w:rsidR="00646811" w:rsidRDefault="00646811" w:rsidP="00D00B0C">
      <w:pPr>
        <w:spacing w:after="0" w:line="240" w:lineRule="auto"/>
      </w:pPr>
      <w:r>
        <w:continuationSeparator/>
      </w:r>
    </w:p>
  </w:footnote>
  <w:footnote w:id="1">
    <w:p w:rsidR="00EF7B4F" w:rsidRDefault="00EF7B4F" w:rsidP="001C4210">
      <w:pPr>
        <w:pStyle w:val="Notedebasdepage"/>
        <w:spacing w:after="0" w:line="240" w:lineRule="auto"/>
        <w:jc w:val="both"/>
      </w:pPr>
      <w:r w:rsidRPr="001C4210">
        <w:rPr>
          <w:rStyle w:val="Appelnotedebasdep"/>
          <w:rFonts w:ascii="Times New Roman" w:hAnsi="Times New Roman"/>
        </w:rPr>
        <w:footnoteRef/>
      </w:r>
      <w:r w:rsidRPr="001C4210">
        <w:rPr>
          <w:rFonts w:ascii="Times New Roman" w:hAnsi="Times New Roman"/>
        </w:rPr>
        <w:t xml:space="preserve"> Cf. </w:t>
      </w:r>
      <w:r w:rsidRPr="001C4210">
        <w:rPr>
          <w:rFonts w:ascii="Times New Roman" w:eastAsia="Times New Roman" w:hAnsi="Times New Roman"/>
          <w:i/>
          <w:color w:val="000000"/>
        </w:rPr>
        <w:t xml:space="preserve">D. et N. Ferrier, Droit de la distribution : </w:t>
      </w:r>
      <w:proofErr w:type="spellStart"/>
      <w:r w:rsidRPr="001C4210">
        <w:rPr>
          <w:rFonts w:ascii="Times New Roman" w:eastAsia="Times New Roman" w:hAnsi="Times New Roman"/>
          <w:i/>
          <w:color w:val="000000"/>
        </w:rPr>
        <w:t>LexisNexis</w:t>
      </w:r>
      <w:proofErr w:type="spellEnd"/>
      <w:r w:rsidRPr="001C4210">
        <w:rPr>
          <w:rFonts w:ascii="Times New Roman" w:eastAsia="Times New Roman" w:hAnsi="Times New Roman"/>
          <w:i/>
          <w:color w:val="000000"/>
        </w:rPr>
        <w:t>, 8e éd., 2017, n° 644 s ; Lignes directrices REC n°330-2010, pt. 175.</w:t>
      </w:r>
    </w:p>
  </w:footnote>
  <w:footnote w:id="2">
    <w:p w:rsidR="00EF7B4F" w:rsidRDefault="00EF7B4F" w:rsidP="001C4210">
      <w:pPr>
        <w:pStyle w:val="Notedebasdepage"/>
        <w:spacing w:after="0" w:line="240" w:lineRule="auto"/>
        <w:jc w:val="both"/>
      </w:pPr>
      <w:r w:rsidRPr="001C4210">
        <w:rPr>
          <w:rStyle w:val="Appelnotedebasdep"/>
          <w:rFonts w:ascii="Times New Roman" w:hAnsi="Times New Roman"/>
        </w:rPr>
        <w:footnoteRef/>
      </w:r>
      <w:r w:rsidRPr="001C4210">
        <w:rPr>
          <w:rFonts w:ascii="Times New Roman" w:hAnsi="Times New Roman"/>
        </w:rPr>
        <w:t xml:space="preserve"> </w:t>
      </w:r>
      <w:proofErr w:type="spellStart"/>
      <w:r w:rsidRPr="001C4210">
        <w:rPr>
          <w:rFonts w:ascii="Times New Roman" w:eastAsia="Times New Roman" w:hAnsi="Times New Roman"/>
          <w:i/>
          <w:color w:val="000000"/>
        </w:rPr>
        <w:t>Cass</w:t>
      </w:r>
      <w:proofErr w:type="spellEnd"/>
      <w:r w:rsidRPr="001C4210">
        <w:rPr>
          <w:rFonts w:ascii="Times New Roman" w:eastAsia="Times New Roman" w:hAnsi="Times New Roman"/>
          <w:i/>
          <w:color w:val="000000"/>
        </w:rPr>
        <w:t xml:space="preserve">. </w:t>
      </w:r>
      <w:proofErr w:type="gramStart"/>
      <w:r w:rsidRPr="001C4210">
        <w:rPr>
          <w:rFonts w:ascii="Times New Roman" w:eastAsia="Times New Roman" w:hAnsi="Times New Roman"/>
          <w:i/>
          <w:color w:val="000000"/>
        </w:rPr>
        <w:t>com</w:t>
      </w:r>
      <w:proofErr w:type="gramEnd"/>
      <w:r w:rsidRPr="001C4210">
        <w:rPr>
          <w:rFonts w:ascii="Times New Roman" w:eastAsia="Times New Roman" w:hAnsi="Times New Roman"/>
          <w:i/>
          <w:color w:val="000000"/>
        </w:rPr>
        <w:t xml:space="preserve">., 8 juin 2017, n° 15-28.355, JCP éd ; E, 2017, 1381, note A-S. </w:t>
      </w:r>
      <w:proofErr w:type="spellStart"/>
      <w:r w:rsidRPr="001C4210">
        <w:rPr>
          <w:rFonts w:ascii="Times New Roman" w:eastAsia="Times New Roman" w:hAnsi="Times New Roman"/>
          <w:i/>
          <w:color w:val="000000"/>
        </w:rPr>
        <w:t>Choné</w:t>
      </w:r>
      <w:proofErr w:type="spellEnd"/>
      <w:r w:rsidRPr="001C4210">
        <w:rPr>
          <w:rFonts w:ascii="Times New Roman" w:eastAsia="Times New Roman" w:hAnsi="Times New Roman"/>
          <w:i/>
          <w:color w:val="000000"/>
        </w:rPr>
        <w:t>-Grimaldi, CCC 2017, n°173, obs. M. Malaurie-</w:t>
      </w:r>
      <w:proofErr w:type="spellStart"/>
      <w:r w:rsidRPr="001C4210">
        <w:rPr>
          <w:rFonts w:ascii="Times New Roman" w:eastAsia="Times New Roman" w:hAnsi="Times New Roman"/>
          <w:i/>
          <w:color w:val="000000"/>
        </w:rPr>
        <w:t>Vignal</w:t>
      </w:r>
      <w:proofErr w:type="spellEnd"/>
      <w:r w:rsidRPr="001C4210">
        <w:rPr>
          <w:rFonts w:ascii="Times New Roman" w:eastAsia="Times New Roman" w:hAnsi="Times New Roman"/>
          <w:i/>
          <w:color w:val="000000"/>
        </w:rPr>
        <w:t>. ;</w:t>
      </w:r>
      <w:r w:rsidRPr="001C4210">
        <w:rPr>
          <w:rFonts w:ascii="Times New Roman" w:eastAsia="Times New Roman" w:hAnsi="Times New Roman"/>
          <w:color w:val="000000"/>
        </w:rPr>
        <w:t xml:space="preserve"> V. également sur cette décision, </w:t>
      </w:r>
      <w:r w:rsidRPr="001C4210">
        <w:rPr>
          <w:rFonts w:ascii="Times New Roman" w:eastAsia="Times New Roman" w:hAnsi="Times New Roman"/>
          <w:i/>
          <w:color w:val="000000"/>
        </w:rPr>
        <w:t>JCP E 2017, 1381</w:t>
      </w:r>
    </w:p>
  </w:footnote>
  <w:footnote w:id="3">
    <w:p w:rsidR="00EF7B4F" w:rsidRDefault="00EF7B4F" w:rsidP="001C4210">
      <w:pPr>
        <w:pStyle w:val="Notedebasdepage"/>
        <w:spacing w:after="0" w:line="240" w:lineRule="auto"/>
        <w:jc w:val="both"/>
      </w:pPr>
      <w:r w:rsidRPr="001C4210">
        <w:rPr>
          <w:rStyle w:val="Appelnotedebasdep"/>
          <w:rFonts w:ascii="Times New Roman" w:hAnsi="Times New Roman"/>
        </w:rPr>
        <w:footnoteRef/>
      </w:r>
      <w:r w:rsidRPr="001C4210">
        <w:rPr>
          <w:rFonts w:ascii="Times New Roman" w:hAnsi="Times New Roman"/>
        </w:rPr>
        <w:t xml:space="preserve"> </w:t>
      </w:r>
      <w:proofErr w:type="spellStart"/>
      <w:r w:rsidRPr="001C4210">
        <w:rPr>
          <w:rFonts w:ascii="Times New Roman" w:hAnsi="Times New Roman"/>
        </w:rPr>
        <w:t>Cass</w:t>
      </w:r>
      <w:proofErr w:type="spellEnd"/>
      <w:r w:rsidRPr="001C4210">
        <w:rPr>
          <w:rFonts w:ascii="Times New Roman" w:hAnsi="Times New Roman"/>
        </w:rPr>
        <w:t xml:space="preserve">. </w:t>
      </w:r>
      <w:proofErr w:type="gramStart"/>
      <w:r w:rsidRPr="001C4210">
        <w:rPr>
          <w:rFonts w:ascii="Times New Roman" w:hAnsi="Times New Roman"/>
        </w:rPr>
        <w:t>com</w:t>
      </w:r>
      <w:proofErr w:type="gramEnd"/>
      <w:r w:rsidRPr="001C4210">
        <w:rPr>
          <w:rFonts w:ascii="Times New Roman" w:hAnsi="Times New Roman"/>
        </w:rPr>
        <w:t xml:space="preserve">. 27 mars 2019, n°17-22.083, AJ contrats 2019, p. 295, note F. </w:t>
      </w:r>
      <w:proofErr w:type="spellStart"/>
      <w:r w:rsidRPr="001C4210">
        <w:rPr>
          <w:rFonts w:ascii="Times New Roman" w:hAnsi="Times New Roman"/>
        </w:rPr>
        <w:t>Buy</w:t>
      </w:r>
      <w:proofErr w:type="spellEnd"/>
      <w:r w:rsidRPr="001C4210">
        <w:rPr>
          <w:rFonts w:ascii="Times New Roman" w:hAnsi="Times New Roman"/>
        </w:rPr>
        <w:t xml:space="preserve"> et J.-C. Roda.  </w:t>
      </w:r>
    </w:p>
  </w:footnote>
  <w:footnote w:id="4">
    <w:p w:rsidR="00EF7B4F" w:rsidRDefault="00EF7B4F" w:rsidP="001C4210">
      <w:pPr>
        <w:pStyle w:val="Notedebasdepage"/>
        <w:spacing w:after="0" w:line="240" w:lineRule="auto"/>
        <w:jc w:val="both"/>
      </w:pPr>
      <w:r w:rsidRPr="001C4210">
        <w:rPr>
          <w:rStyle w:val="Appelnotedebasdep"/>
          <w:rFonts w:ascii="Times New Roman" w:hAnsi="Times New Roman"/>
        </w:rPr>
        <w:footnoteRef/>
      </w:r>
      <w:r w:rsidRPr="001C4210">
        <w:rPr>
          <w:rFonts w:ascii="Times New Roman" w:hAnsi="Times New Roman"/>
        </w:rPr>
        <w:t xml:space="preserve"> </w:t>
      </w:r>
      <w:proofErr w:type="spellStart"/>
      <w:r w:rsidRPr="001C4210">
        <w:rPr>
          <w:rFonts w:ascii="Times New Roman" w:hAnsi="Times New Roman"/>
        </w:rPr>
        <w:t>Comp</w:t>
      </w:r>
      <w:proofErr w:type="spellEnd"/>
      <w:r w:rsidRPr="001C4210">
        <w:rPr>
          <w:rFonts w:ascii="Times New Roman" w:hAnsi="Times New Roman"/>
        </w:rPr>
        <w:t>. N. Ferrier, « La liberté de sélectionner dans la distribution sélective », JCP, éd. E, 2017, 1678.</w:t>
      </w:r>
    </w:p>
  </w:footnote>
  <w:footnote w:id="5">
    <w:p w:rsidR="00EF7B4F" w:rsidRDefault="00EF7B4F" w:rsidP="001C4210">
      <w:pPr>
        <w:pStyle w:val="Notedebasdepage"/>
        <w:spacing w:after="0" w:line="240" w:lineRule="auto"/>
        <w:jc w:val="both"/>
      </w:pPr>
      <w:r w:rsidRPr="001C4210">
        <w:rPr>
          <w:rStyle w:val="Appelnotedebasdep"/>
          <w:rFonts w:ascii="Times New Roman" w:hAnsi="Times New Roman"/>
        </w:rPr>
        <w:footnoteRef/>
      </w:r>
      <w:r w:rsidRPr="001C4210">
        <w:rPr>
          <w:rFonts w:ascii="Times New Roman" w:hAnsi="Times New Roman"/>
        </w:rPr>
        <w:t xml:space="preserve"> </w:t>
      </w:r>
      <w:proofErr w:type="spellStart"/>
      <w:r w:rsidRPr="001C4210">
        <w:rPr>
          <w:rFonts w:ascii="Times New Roman" w:hAnsi="Times New Roman"/>
        </w:rPr>
        <w:t>Cass</w:t>
      </w:r>
      <w:proofErr w:type="spellEnd"/>
      <w:r w:rsidRPr="001C4210">
        <w:rPr>
          <w:rFonts w:ascii="Times New Roman" w:hAnsi="Times New Roman"/>
        </w:rPr>
        <w:t xml:space="preserve">. </w:t>
      </w:r>
      <w:proofErr w:type="gramStart"/>
      <w:r w:rsidRPr="001C4210">
        <w:rPr>
          <w:rFonts w:ascii="Times New Roman" w:hAnsi="Times New Roman"/>
        </w:rPr>
        <w:t>com</w:t>
      </w:r>
      <w:proofErr w:type="gramEnd"/>
      <w:r w:rsidRPr="001C4210">
        <w:rPr>
          <w:rFonts w:ascii="Times New Roman" w:hAnsi="Times New Roman"/>
        </w:rPr>
        <w:t xml:space="preserve">. 8 juill. 2017, </w:t>
      </w:r>
      <w:proofErr w:type="spellStart"/>
      <w:r w:rsidRPr="001C4210">
        <w:rPr>
          <w:rFonts w:ascii="Times New Roman" w:hAnsi="Times New Roman"/>
        </w:rPr>
        <w:t>préc</w:t>
      </w:r>
      <w:proofErr w:type="spellEnd"/>
      <w:r w:rsidRPr="001C4210">
        <w:rPr>
          <w:rFonts w:ascii="Times New Roman" w:hAnsi="Times New Roman"/>
        </w:rPr>
        <w:t>.</w:t>
      </w:r>
    </w:p>
  </w:footnote>
  <w:footnote w:id="6">
    <w:p w:rsidR="00EF7B4F" w:rsidRDefault="00EF7B4F" w:rsidP="001C4210">
      <w:pPr>
        <w:pStyle w:val="Notedebasdepage"/>
        <w:spacing w:after="0" w:line="240" w:lineRule="auto"/>
        <w:jc w:val="both"/>
      </w:pPr>
      <w:r w:rsidRPr="001C4210">
        <w:rPr>
          <w:rStyle w:val="Appelnotedebasdep"/>
          <w:rFonts w:ascii="Times New Roman" w:hAnsi="Times New Roman"/>
        </w:rPr>
        <w:footnoteRef/>
      </w:r>
      <w:r w:rsidRPr="001C4210">
        <w:rPr>
          <w:rFonts w:ascii="Times New Roman" w:hAnsi="Times New Roman"/>
        </w:rPr>
        <w:t xml:space="preserve"> </w:t>
      </w:r>
      <w:proofErr w:type="spellStart"/>
      <w:r w:rsidRPr="001C4210">
        <w:rPr>
          <w:rFonts w:ascii="Times New Roman" w:hAnsi="Times New Roman"/>
        </w:rPr>
        <w:t>Comp</w:t>
      </w:r>
      <w:proofErr w:type="spellEnd"/>
      <w:r w:rsidRPr="001C4210">
        <w:rPr>
          <w:rFonts w:ascii="Times New Roman" w:hAnsi="Times New Roman"/>
        </w:rPr>
        <w:t xml:space="preserve">. Déc. </w:t>
      </w:r>
      <w:r w:rsidRPr="001C4210">
        <w:rPr>
          <w:rFonts w:ascii="Times New Roman" w:hAnsi="Times New Roman"/>
          <w:noProof/>
          <w:color w:val="000000"/>
          <w:lang w:val="fr-FR" w:eastAsia="fr-FR"/>
        </w:rPr>
        <w:t xml:space="preserve">Cons. </w:t>
      </w:r>
      <w:r w:rsidRPr="001C4210">
        <w:rPr>
          <w:rFonts w:ascii="Times New Roman" w:hAnsi="Times New Roman"/>
          <w:noProof/>
          <w:color w:val="000000"/>
          <w:lang w:val="fr-FR" w:eastAsia="fr-FR"/>
        </w:rPr>
        <w:t>const. 13 juin 2013, n° 2013-672 DC, RDC 2013</w:t>
      </w:r>
      <w:r w:rsidRPr="001C4210">
        <w:rPr>
          <w:rFonts w:ascii="Times New Roman" w:hAnsi="Times New Roman"/>
          <w:noProof/>
          <w:color w:val="000000"/>
          <w:lang w:eastAsia="fr-FR"/>
        </w:rPr>
        <w:t>, p.</w:t>
      </w:r>
      <w:r w:rsidRPr="001C4210">
        <w:rPr>
          <w:rFonts w:ascii="Times New Roman" w:hAnsi="Times New Roman"/>
          <w:noProof/>
          <w:color w:val="000000"/>
          <w:lang w:val="fr-FR" w:eastAsia="fr-FR"/>
        </w:rPr>
        <w:t xml:space="preserve"> 1285, obs. C. Pérès</w:t>
      </w:r>
      <w:r w:rsidRPr="001C4210">
        <w:rPr>
          <w:rFonts w:ascii="Times New Roman" w:hAnsi="Times New Roman"/>
          <w:noProof/>
          <w:color w:val="000000"/>
          <w:lang w:eastAsia="fr-FR"/>
        </w:rPr>
        <w:t>,</w:t>
      </w:r>
      <w:r w:rsidRPr="001C4210">
        <w:rPr>
          <w:rFonts w:ascii="Times New Roman" w:hAnsi="Times New Roman"/>
          <w:noProof/>
          <w:color w:val="000000"/>
          <w:lang w:val="fr-FR" w:eastAsia="fr-FR"/>
        </w:rPr>
        <w:t xml:space="preserve"> D. 2014, </w:t>
      </w:r>
      <w:r w:rsidRPr="001C4210">
        <w:rPr>
          <w:rFonts w:ascii="Times New Roman" w:hAnsi="Times New Roman"/>
          <w:noProof/>
          <w:color w:val="000000"/>
          <w:lang w:eastAsia="fr-FR"/>
        </w:rPr>
        <w:t xml:space="preserve">p. </w:t>
      </w:r>
      <w:r w:rsidRPr="001C4210">
        <w:rPr>
          <w:rFonts w:ascii="Times New Roman" w:hAnsi="Times New Roman"/>
          <w:noProof/>
          <w:color w:val="000000"/>
          <w:lang w:val="fr-FR" w:eastAsia="fr-FR"/>
        </w:rPr>
        <w:t>1516, obs. N. Jacquinot et A. Mangiavillano</w:t>
      </w:r>
      <w:r w:rsidRPr="001C4210">
        <w:rPr>
          <w:rFonts w:ascii="Times New Roman" w:hAnsi="Times New Roman"/>
          <w:noProof/>
          <w:color w:val="000000"/>
          <w:lang w:eastAsia="fr-FR"/>
        </w:rPr>
        <w:t xml:space="preserve">, </w:t>
      </w:r>
      <w:r w:rsidRPr="001C4210">
        <w:rPr>
          <w:rFonts w:ascii="Times New Roman" w:hAnsi="Times New Roman"/>
          <w:noProof/>
          <w:color w:val="000000"/>
          <w:lang w:val="fr-FR" w:eastAsia="fr-FR"/>
        </w:rPr>
        <w:t>Dr. soc. 2013, p. 673, étude J. Barthélémy</w:t>
      </w:r>
      <w:r w:rsidRPr="001C4210">
        <w:rPr>
          <w:rFonts w:ascii="Times New Roman" w:hAnsi="Times New Roman"/>
          <w:noProof/>
          <w:color w:val="000000"/>
          <w:lang w:eastAsia="fr-FR"/>
        </w:rPr>
        <w:t>,</w:t>
      </w:r>
      <w:r w:rsidRPr="001C4210">
        <w:rPr>
          <w:rFonts w:ascii="Times New Roman" w:hAnsi="Times New Roman"/>
          <w:noProof/>
          <w:color w:val="000000"/>
          <w:lang w:val="fr-FR" w:eastAsia="fr-FR"/>
        </w:rPr>
        <w:t xml:space="preserve"> </w:t>
      </w:r>
      <w:r w:rsidRPr="001C4210">
        <w:rPr>
          <w:rFonts w:ascii="Times New Roman" w:hAnsi="Times New Roman"/>
          <w:iCs/>
          <w:noProof/>
          <w:color w:val="000000"/>
          <w:lang w:eastAsia="fr-FR"/>
        </w:rPr>
        <w:t>p</w:t>
      </w:r>
      <w:r w:rsidRPr="001C4210">
        <w:rPr>
          <w:rFonts w:ascii="Times New Roman" w:hAnsi="Times New Roman"/>
          <w:noProof/>
          <w:color w:val="000000"/>
          <w:lang w:val="fr-FR" w:eastAsia="fr-FR"/>
        </w:rPr>
        <w:t>. 680, étude D. Rousseau et D. Rigaud</w:t>
      </w:r>
      <w:r w:rsidRPr="001C4210">
        <w:rPr>
          <w:rFonts w:ascii="Times New Roman" w:hAnsi="Times New Roman"/>
          <w:noProof/>
          <w:color w:val="000000"/>
          <w:lang w:eastAsia="fr-FR"/>
        </w:rPr>
        <w:t>,</w:t>
      </w:r>
      <w:r w:rsidRPr="001C4210">
        <w:rPr>
          <w:rFonts w:ascii="Times New Roman" w:hAnsi="Times New Roman"/>
          <w:noProof/>
          <w:color w:val="000000"/>
          <w:lang w:val="fr-FR" w:eastAsia="fr-FR"/>
        </w:rPr>
        <w:t xml:space="preserve"> </w:t>
      </w:r>
      <w:r w:rsidRPr="001C4210">
        <w:rPr>
          <w:rFonts w:ascii="Times New Roman" w:hAnsi="Times New Roman"/>
          <w:iCs/>
          <w:noProof/>
          <w:color w:val="000000"/>
          <w:lang w:eastAsia="fr-FR"/>
        </w:rPr>
        <w:t>Dr. Soc.</w:t>
      </w:r>
      <w:r w:rsidRPr="001C4210">
        <w:rPr>
          <w:rFonts w:ascii="Times New Roman" w:hAnsi="Times New Roman"/>
          <w:noProof/>
          <w:color w:val="000000"/>
          <w:lang w:val="fr-FR" w:eastAsia="fr-FR"/>
        </w:rPr>
        <w:t xml:space="preserve"> 2014</w:t>
      </w:r>
      <w:r w:rsidRPr="001C4210">
        <w:rPr>
          <w:rFonts w:ascii="Times New Roman" w:hAnsi="Times New Roman"/>
          <w:noProof/>
          <w:color w:val="000000"/>
          <w:lang w:eastAsia="fr-FR"/>
        </w:rPr>
        <w:t>, p</w:t>
      </w:r>
      <w:r w:rsidRPr="001C4210">
        <w:rPr>
          <w:rFonts w:ascii="Times New Roman" w:hAnsi="Times New Roman"/>
          <w:noProof/>
          <w:color w:val="000000"/>
          <w:lang w:val="fr-FR" w:eastAsia="fr-FR"/>
        </w:rPr>
        <w:t>. 464, chron. S. Hennion, M. Del Sol, P. Pierre et M. Hallopeau</w:t>
      </w:r>
      <w:r w:rsidRPr="001C4210">
        <w:rPr>
          <w:rFonts w:ascii="Times New Roman" w:hAnsi="Times New Roman"/>
          <w:noProof/>
          <w:color w:val="000000"/>
          <w:lang w:eastAsia="fr-FR"/>
        </w:rPr>
        <w:t xml:space="preserve">, </w:t>
      </w:r>
      <w:r w:rsidRPr="001C4210">
        <w:rPr>
          <w:rFonts w:ascii="Times New Roman" w:hAnsi="Times New Roman"/>
          <w:noProof/>
          <w:color w:val="000000"/>
          <w:lang w:val="fr-FR" w:eastAsia="fr-FR"/>
        </w:rPr>
        <w:t>Constitutions 2013</w:t>
      </w:r>
      <w:r w:rsidRPr="001C4210">
        <w:rPr>
          <w:rFonts w:ascii="Times New Roman" w:hAnsi="Times New Roman"/>
          <w:noProof/>
          <w:color w:val="000000"/>
          <w:lang w:eastAsia="fr-FR"/>
        </w:rPr>
        <w:t>, p</w:t>
      </w:r>
      <w:r w:rsidRPr="001C4210">
        <w:rPr>
          <w:rFonts w:ascii="Times New Roman" w:hAnsi="Times New Roman"/>
          <w:noProof/>
          <w:color w:val="000000"/>
          <w:lang w:val="fr-FR" w:eastAsia="fr-FR"/>
        </w:rPr>
        <w:t>. 400, chron. A.-L. Cassard-Valembois</w:t>
      </w:r>
      <w:r w:rsidRPr="001C4210">
        <w:rPr>
          <w:rFonts w:ascii="Times New Roman" w:hAnsi="Times New Roman"/>
          <w:noProof/>
          <w:color w:val="000000"/>
          <w:lang w:eastAsia="fr-FR"/>
        </w:rPr>
        <w:t>,</w:t>
      </w:r>
      <w:r w:rsidRPr="001C4210">
        <w:rPr>
          <w:rFonts w:ascii="Times New Roman" w:hAnsi="Times New Roman"/>
          <w:noProof/>
          <w:color w:val="000000"/>
          <w:lang w:val="fr-FR" w:eastAsia="fr-FR"/>
        </w:rPr>
        <w:t xml:space="preserve"> RTD civ. 2013. 832, obs. H. Barbier</w:t>
      </w:r>
      <w:r w:rsidRPr="001C4210">
        <w:rPr>
          <w:rFonts w:ascii="Times New Roman" w:hAnsi="Times New Roman"/>
          <w:noProof/>
          <w:color w:val="000000"/>
          <w:lang w:eastAsia="fr-FR"/>
        </w:rPr>
        <w:t>.</w:t>
      </w:r>
    </w:p>
  </w:footnote>
  <w:footnote w:id="7">
    <w:p w:rsidR="00EF7B4F" w:rsidRDefault="00EF7B4F" w:rsidP="001C4210">
      <w:pPr>
        <w:pStyle w:val="Notedebasdepage"/>
        <w:spacing w:after="0" w:line="240" w:lineRule="auto"/>
        <w:jc w:val="both"/>
      </w:pPr>
      <w:r w:rsidRPr="001C4210">
        <w:rPr>
          <w:rStyle w:val="Appelnotedebasdep"/>
          <w:rFonts w:ascii="Times New Roman" w:hAnsi="Times New Roman"/>
        </w:rPr>
        <w:footnoteRef/>
      </w:r>
      <w:r w:rsidRPr="001C4210">
        <w:rPr>
          <w:rFonts w:ascii="Times New Roman" w:hAnsi="Times New Roman"/>
        </w:rPr>
        <w:t xml:space="preserve"> Cf. L. </w:t>
      </w:r>
      <w:proofErr w:type="spellStart"/>
      <w:r w:rsidRPr="001C4210">
        <w:rPr>
          <w:rFonts w:ascii="Times New Roman" w:hAnsi="Times New Roman"/>
        </w:rPr>
        <w:t>Bettoni</w:t>
      </w:r>
      <w:proofErr w:type="spellEnd"/>
      <w:r w:rsidRPr="001C4210">
        <w:rPr>
          <w:rFonts w:ascii="Times New Roman" w:hAnsi="Times New Roman"/>
        </w:rPr>
        <w:t xml:space="preserve">, </w:t>
      </w:r>
      <w:r w:rsidRPr="001C4210">
        <w:rPr>
          <w:rFonts w:ascii="Times New Roman" w:hAnsi="Times New Roman"/>
          <w:i/>
        </w:rPr>
        <w:t>L’appel d’offres privé,</w:t>
      </w:r>
      <w:r w:rsidRPr="001C4210">
        <w:rPr>
          <w:rFonts w:ascii="Times New Roman" w:hAnsi="Times New Roman"/>
        </w:rPr>
        <w:t xml:space="preserve"> </w:t>
      </w:r>
      <w:proofErr w:type="spellStart"/>
      <w:r w:rsidRPr="001C4210">
        <w:rPr>
          <w:rFonts w:ascii="Times New Roman" w:hAnsi="Times New Roman"/>
        </w:rPr>
        <w:t>LexisNexis</w:t>
      </w:r>
      <w:proofErr w:type="spellEnd"/>
      <w:r w:rsidRPr="001C4210">
        <w:rPr>
          <w:rFonts w:ascii="Times New Roman" w:hAnsi="Times New Roman"/>
        </w:rPr>
        <w:t>, 2018.</w:t>
      </w:r>
    </w:p>
  </w:footnote>
  <w:footnote w:id="8">
    <w:p w:rsidR="00EF7B4F" w:rsidRPr="00EF7B4F" w:rsidRDefault="00EF7B4F" w:rsidP="001C4210">
      <w:pPr>
        <w:pStyle w:val="Notedebasdepage"/>
        <w:spacing w:after="0" w:line="240" w:lineRule="auto"/>
        <w:jc w:val="both"/>
        <w:rPr>
          <w:lang w:val="en-US"/>
        </w:rPr>
      </w:pPr>
      <w:r w:rsidRPr="001C4210">
        <w:rPr>
          <w:rStyle w:val="Appelnotedebasdep"/>
          <w:rFonts w:ascii="Times New Roman" w:hAnsi="Times New Roman"/>
        </w:rPr>
        <w:footnoteRef/>
      </w:r>
      <w:r w:rsidRPr="001C4210">
        <w:rPr>
          <w:rFonts w:ascii="Times New Roman" w:hAnsi="Times New Roman"/>
          <w:lang w:val="en-GB"/>
        </w:rPr>
        <w:t xml:space="preserve"> Cf. E. </w:t>
      </w:r>
      <w:proofErr w:type="spellStart"/>
      <w:r w:rsidRPr="001C4210">
        <w:rPr>
          <w:rFonts w:ascii="Times New Roman" w:hAnsi="Times New Roman"/>
          <w:lang w:val="en-GB"/>
        </w:rPr>
        <w:t>Dieny</w:t>
      </w:r>
      <w:proofErr w:type="spellEnd"/>
      <w:r w:rsidRPr="001C4210">
        <w:rPr>
          <w:rFonts w:ascii="Times New Roman" w:hAnsi="Times New Roman"/>
          <w:lang w:val="en-GB"/>
        </w:rPr>
        <w:t xml:space="preserve">, RLC n°65, </w:t>
      </w:r>
      <w:proofErr w:type="spellStart"/>
      <w:proofErr w:type="gramStart"/>
      <w:r w:rsidRPr="001C4210">
        <w:rPr>
          <w:rFonts w:ascii="Times New Roman" w:hAnsi="Times New Roman"/>
          <w:lang w:val="en-GB"/>
        </w:rPr>
        <w:t>oct</w:t>
      </w:r>
      <w:proofErr w:type="gramEnd"/>
      <w:r w:rsidRPr="001C4210">
        <w:rPr>
          <w:rFonts w:ascii="Times New Roman" w:hAnsi="Times New Roman"/>
          <w:lang w:val="en-GB"/>
        </w:rPr>
        <w:t>.</w:t>
      </w:r>
      <w:proofErr w:type="spellEnd"/>
      <w:r w:rsidRPr="001C4210">
        <w:rPr>
          <w:rFonts w:ascii="Times New Roman" w:hAnsi="Times New Roman"/>
          <w:lang w:val="en-GB"/>
        </w:rPr>
        <w:t xml:space="preserve"> </w:t>
      </w:r>
    </w:p>
  </w:footnote>
  <w:footnote w:id="9">
    <w:p w:rsidR="00EF7B4F" w:rsidRDefault="00EF7B4F" w:rsidP="001C4210">
      <w:pPr>
        <w:pStyle w:val="Notedebasdepage"/>
        <w:spacing w:after="0" w:line="240" w:lineRule="auto"/>
        <w:jc w:val="both"/>
      </w:pPr>
      <w:r w:rsidRPr="001C4210">
        <w:rPr>
          <w:rStyle w:val="Appelnotedebasdep"/>
          <w:rFonts w:ascii="Times New Roman" w:hAnsi="Times New Roman"/>
        </w:rPr>
        <w:footnoteRef/>
      </w:r>
      <w:r w:rsidRPr="001C4210">
        <w:rPr>
          <w:rFonts w:ascii="Times New Roman" w:hAnsi="Times New Roman"/>
        </w:rPr>
        <w:t xml:space="preserve"> </w:t>
      </w:r>
      <w:proofErr w:type="spellStart"/>
      <w:r w:rsidRPr="001C4210">
        <w:rPr>
          <w:rFonts w:ascii="Times New Roman" w:hAnsi="Times New Roman"/>
        </w:rPr>
        <w:t>Comp</w:t>
      </w:r>
      <w:proofErr w:type="spellEnd"/>
      <w:r w:rsidRPr="001C4210">
        <w:rPr>
          <w:rFonts w:ascii="Times New Roman" w:hAnsi="Times New Roman"/>
        </w:rPr>
        <w:t xml:space="preserve">. D. </w:t>
      </w:r>
      <w:proofErr w:type="spellStart"/>
      <w:r w:rsidRPr="001C4210">
        <w:rPr>
          <w:rFonts w:ascii="Times New Roman" w:hAnsi="Times New Roman"/>
        </w:rPr>
        <w:t>Mainguy</w:t>
      </w:r>
      <w:proofErr w:type="spellEnd"/>
      <w:r w:rsidRPr="001C4210">
        <w:rPr>
          <w:rFonts w:ascii="Times New Roman" w:hAnsi="Times New Roman"/>
        </w:rPr>
        <w:t xml:space="preserve">, M. </w:t>
      </w:r>
      <w:proofErr w:type="spellStart"/>
      <w:r w:rsidRPr="001C4210">
        <w:rPr>
          <w:rFonts w:ascii="Times New Roman" w:hAnsi="Times New Roman"/>
        </w:rPr>
        <w:t>Depincé</w:t>
      </w:r>
      <w:proofErr w:type="spellEnd"/>
      <w:r w:rsidRPr="001C4210">
        <w:rPr>
          <w:rFonts w:ascii="Times New Roman" w:hAnsi="Times New Roman"/>
        </w:rPr>
        <w:t xml:space="preserve"> et M. </w:t>
      </w:r>
      <w:proofErr w:type="spellStart"/>
      <w:r w:rsidRPr="001C4210">
        <w:rPr>
          <w:rFonts w:ascii="Times New Roman" w:hAnsi="Times New Roman"/>
        </w:rPr>
        <w:t>Cayot</w:t>
      </w:r>
      <w:proofErr w:type="spellEnd"/>
      <w:r w:rsidRPr="001C4210">
        <w:rPr>
          <w:rFonts w:ascii="Times New Roman" w:hAnsi="Times New Roman"/>
        </w:rPr>
        <w:t xml:space="preserve">, Droit de la concurrence, </w:t>
      </w:r>
      <w:proofErr w:type="spellStart"/>
      <w:r w:rsidRPr="001C4210">
        <w:rPr>
          <w:rFonts w:ascii="Times New Roman" w:hAnsi="Times New Roman"/>
        </w:rPr>
        <w:t>LexisNexis</w:t>
      </w:r>
      <w:proofErr w:type="spellEnd"/>
      <w:r w:rsidRPr="001C4210">
        <w:rPr>
          <w:rFonts w:ascii="Times New Roman" w:hAnsi="Times New Roman"/>
        </w:rPr>
        <w:t>, 3</w:t>
      </w:r>
      <w:r w:rsidRPr="001C4210">
        <w:rPr>
          <w:rFonts w:ascii="Times New Roman" w:hAnsi="Times New Roman"/>
          <w:vertAlign w:val="superscript"/>
        </w:rPr>
        <w:t>ème</w:t>
      </w:r>
      <w:r w:rsidRPr="001C4210">
        <w:rPr>
          <w:rFonts w:ascii="Times New Roman" w:hAnsi="Times New Roman"/>
        </w:rPr>
        <w:t xml:space="preserve"> éd., 2019 à paraître.</w:t>
      </w:r>
    </w:p>
  </w:footnote>
  <w:footnote w:id="10">
    <w:p w:rsidR="00EF7B4F" w:rsidRDefault="00EF7B4F" w:rsidP="001C4210">
      <w:pPr>
        <w:pStyle w:val="Notedebasdepage"/>
        <w:spacing w:after="0" w:line="240" w:lineRule="auto"/>
        <w:jc w:val="both"/>
      </w:pPr>
      <w:r w:rsidRPr="001C4210">
        <w:rPr>
          <w:rStyle w:val="Appelnotedebasdep"/>
          <w:rFonts w:ascii="Times New Roman" w:hAnsi="Times New Roman"/>
        </w:rPr>
        <w:footnoteRef/>
      </w:r>
      <w:r w:rsidRPr="001C4210">
        <w:rPr>
          <w:rFonts w:ascii="Times New Roman" w:hAnsi="Times New Roman"/>
        </w:rPr>
        <w:t xml:space="preserve"> N. Ferrier, « La liberté de sélectionner dans la distribution sélective », op. </w:t>
      </w:r>
      <w:proofErr w:type="spellStart"/>
      <w:proofErr w:type="gramStart"/>
      <w:r w:rsidRPr="001C4210">
        <w:rPr>
          <w:rFonts w:ascii="Times New Roman" w:hAnsi="Times New Roman"/>
        </w:rPr>
        <w:t>cit</w:t>
      </w:r>
      <w:proofErr w:type="spellEnd"/>
      <w:r w:rsidRPr="001C4210">
        <w:rPr>
          <w:rFonts w:ascii="Times New Roman" w:hAnsi="Times New Roman"/>
        </w:rPr>
        <w:t>.,</w:t>
      </w:r>
      <w:proofErr w:type="gramEnd"/>
      <w:r w:rsidRPr="001C4210">
        <w:rPr>
          <w:rFonts w:ascii="Times New Roman" w:hAnsi="Times New Roman"/>
        </w:rPr>
        <w:t xml:space="preserve"> n°11.</w:t>
      </w:r>
    </w:p>
  </w:footnote>
  <w:footnote w:id="11">
    <w:p w:rsidR="00EF7B4F" w:rsidRDefault="00EF7B4F" w:rsidP="001C4210">
      <w:pPr>
        <w:pStyle w:val="Notedebasdepage"/>
        <w:spacing w:after="0" w:line="240" w:lineRule="auto"/>
        <w:jc w:val="both"/>
      </w:pPr>
      <w:r w:rsidRPr="001C4210">
        <w:rPr>
          <w:rStyle w:val="Appelnotedebasdep"/>
          <w:rFonts w:ascii="Times New Roman" w:hAnsi="Times New Roman"/>
        </w:rPr>
        <w:footnoteRef/>
      </w:r>
      <w:r w:rsidRPr="001C4210">
        <w:rPr>
          <w:rFonts w:ascii="Times New Roman" w:hAnsi="Times New Roman"/>
        </w:rPr>
        <w:t xml:space="preserve"> </w:t>
      </w:r>
      <w:proofErr w:type="spellStart"/>
      <w:r w:rsidRPr="001C4210">
        <w:rPr>
          <w:rFonts w:ascii="Times New Roman" w:hAnsi="Times New Roman"/>
          <w:iCs/>
        </w:rPr>
        <w:t>Cass</w:t>
      </w:r>
      <w:proofErr w:type="spellEnd"/>
      <w:r w:rsidRPr="001C4210">
        <w:rPr>
          <w:rFonts w:ascii="Times New Roman" w:hAnsi="Times New Roman"/>
          <w:iCs/>
        </w:rPr>
        <w:t xml:space="preserve">. com., 25 janv. 2000, Contrats, </w:t>
      </w:r>
      <w:proofErr w:type="spellStart"/>
      <w:proofErr w:type="gramStart"/>
      <w:r w:rsidRPr="001C4210">
        <w:rPr>
          <w:rFonts w:ascii="Times New Roman" w:hAnsi="Times New Roman"/>
          <w:iCs/>
        </w:rPr>
        <w:t>conc</w:t>
      </w:r>
      <w:proofErr w:type="spellEnd"/>
      <w:r w:rsidRPr="001C4210">
        <w:rPr>
          <w:rFonts w:ascii="Times New Roman" w:hAnsi="Times New Roman"/>
          <w:iCs/>
        </w:rPr>
        <w:t>.,</w:t>
      </w:r>
      <w:proofErr w:type="gramEnd"/>
      <w:r w:rsidRPr="001C4210">
        <w:rPr>
          <w:rFonts w:ascii="Times New Roman" w:hAnsi="Times New Roman"/>
          <w:iCs/>
        </w:rPr>
        <w:t xml:space="preserve"> </w:t>
      </w:r>
      <w:proofErr w:type="spellStart"/>
      <w:r w:rsidRPr="001C4210">
        <w:rPr>
          <w:rFonts w:ascii="Times New Roman" w:hAnsi="Times New Roman"/>
          <w:iCs/>
        </w:rPr>
        <w:t>consom</w:t>
      </w:r>
      <w:proofErr w:type="spellEnd"/>
      <w:r w:rsidRPr="001C4210">
        <w:rPr>
          <w:rFonts w:ascii="Times New Roman" w:hAnsi="Times New Roman"/>
          <w:iCs/>
        </w:rPr>
        <w:t xml:space="preserve">. 2000, </w:t>
      </w:r>
      <w:proofErr w:type="spellStart"/>
      <w:r w:rsidRPr="001C4210">
        <w:rPr>
          <w:rFonts w:ascii="Times New Roman" w:hAnsi="Times New Roman"/>
          <w:iCs/>
        </w:rPr>
        <w:t>comm</w:t>
      </w:r>
      <w:proofErr w:type="spellEnd"/>
      <w:r w:rsidRPr="001C4210">
        <w:rPr>
          <w:rFonts w:ascii="Times New Roman" w:hAnsi="Times New Roman"/>
          <w:iCs/>
        </w:rPr>
        <w:t>. 65, obs. M. Malaurie-</w:t>
      </w:r>
      <w:proofErr w:type="spellStart"/>
      <w:r w:rsidRPr="001C4210">
        <w:rPr>
          <w:rFonts w:ascii="Times New Roman" w:hAnsi="Times New Roman"/>
          <w:iCs/>
        </w:rPr>
        <w:t>Vignal</w:t>
      </w:r>
      <w:proofErr w:type="spellEnd"/>
      <w:r w:rsidRPr="001C4210">
        <w:rPr>
          <w:rFonts w:ascii="Times New Roman" w:hAnsi="Times New Roman"/>
          <w:iCs/>
        </w:rPr>
        <w:t xml:space="preserve"> ; </w:t>
      </w:r>
      <w:proofErr w:type="spellStart"/>
      <w:r w:rsidRPr="001C4210">
        <w:rPr>
          <w:rFonts w:ascii="Times New Roman" w:hAnsi="Times New Roman"/>
          <w:iCs/>
        </w:rPr>
        <w:t>Cah</w:t>
      </w:r>
      <w:proofErr w:type="spellEnd"/>
      <w:r w:rsidRPr="001C4210">
        <w:rPr>
          <w:rFonts w:ascii="Times New Roman" w:hAnsi="Times New Roman"/>
          <w:iCs/>
        </w:rPr>
        <w:t xml:space="preserve">. </w:t>
      </w:r>
      <w:proofErr w:type="spellStart"/>
      <w:r w:rsidRPr="001C4210">
        <w:rPr>
          <w:rFonts w:ascii="Times New Roman" w:hAnsi="Times New Roman"/>
          <w:iCs/>
        </w:rPr>
        <w:t>dr</w:t>
      </w:r>
      <w:proofErr w:type="spellEnd"/>
      <w:r w:rsidRPr="001C4210">
        <w:rPr>
          <w:rFonts w:ascii="Times New Roman" w:hAnsi="Times New Roman"/>
          <w:iCs/>
        </w:rPr>
        <w:t xml:space="preserve">. </w:t>
      </w:r>
      <w:proofErr w:type="spellStart"/>
      <w:r w:rsidRPr="001C4210">
        <w:rPr>
          <w:rFonts w:ascii="Times New Roman" w:hAnsi="Times New Roman"/>
          <w:iCs/>
        </w:rPr>
        <w:t>entr</w:t>
      </w:r>
      <w:proofErr w:type="spellEnd"/>
      <w:r w:rsidRPr="001C4210">
        <w:rPr>
          <w:rFonts w:ascii="Times New Roman" w:hAnsi="Times New Roman"/>
          <w:iCs/>
        </w:rPr>
        <w:t xml:space="preserve">. 2000/4, p. 19, obs. D. </w:t>
      </w:r>
      <w:proofErr w:type="spellStart"/>
      <w:r w:rsidRPr="001C4210">
        <w:rPr>
          <w:rFonts w:ascii="Times New Roman" w:hAnsi="Times New Roman"/>
          <w:iCs/>
        </w:rPr>
        <w:t>Mainguy</w:t>
      </w:r>
      <w:proofErr w:type="spellEnd"/>
      <w:r w:rsidRPr="001C4210">
        <w:rPr>
          <w:rFonts w:ascii="Times New Roman" w:hAnsi="Times New Roman"/>
          <w:iCs/>
        </w:rPr>
        <w:t xml:space="preserve"> et J.-L. </w:t>
      </w:r>
      <w:proofErr w:type="spellStart"/>
      <w:r w:rsidRPr="001C4210">
        <w:rPr>
          <w:rFonts w:ascii="Times New Roman" w:hAnsi="Times New Roman"/>
          <w:iCs/>
        </w:rPr>
        <w:t>Respaud</w:t>
      </w:r>
      <w:proofErr w:type="spellEnd"/>
      <w:r w:rsidRPr="001C4210">
        <w:rPr>
          <w:rFonts w:ascii="Times New Roman" w:hAnsi="Times New Roman"/>
          <w:iCs/>
        </w:rPr>
        <w:t xml:space="preserve">. - </w:t>
      </w:r>
      <w:proofErr w:type="spellStart"/>
      <w:r w:rsidRPr="001C4210">
        <w:rPr>
          <w:rFonts w:ascii="Times New Roman" w:hAnsi="Times New Roman"/>
          <w:iCs/>
        </w:rPr>
        <w:t>Cass</w:t>
      </w:r>
      <w:proofErr w:type="spellEnd"/>
      <w:r w:rsidRPr="001C4210">
        <w:rPr>
          <w:rFonts w:ascii="Times New Roman" w:hAnsi="Times New Roman"/>
          <w:iCs/>
        </w:rPr>
        <w:t xml:space="preserve">. </w:t>
      </w:r>
      <w:proofErr w:type="gramStart"/>
      <w:r w:rsidRPr="001C4210">
        <w:rPr>
          <w:rFonts w:ascii="Times New Roman" w:hAnsi="Times New Roman"/>
          <w:iCs/>
        </w:rPr>
        <w:t>com</w:t>
      </w:r>
      <w:proofErr w:type="gramEnd"/>
      <w:r w:rsidRPr="001C4210">
        <w:rPr>
          <w:rFonts w:ascii="Times New Roman" w:hAnsi="Times New Roman"/>
          <w:iCs/>
        </w:rPr>
        <w:t>., 28 janv. 2005, n° 04-15.279.</w:t>
      </w:r>
    </w:p>
  </w:footnote>
  <w:footnote w:id="12">
    <w:p w:rsidR="00EF7B4F" w:rsidRDefault="00EF7B4F" w:rsidP="001C4210">
      <w:pPr>
        <w:pStyle w:val="Notedebasdepage"/>
        <w:spacing w:after="0" w:line="240" w:lineRule="auto"/>
        <w:jc w:val="both"/>
      </w:pPr>
      <w:r w:rsidRPr="001C4210">
        <w:rPr>
          <w:rStyle w:val="Appelnotedebasdep"/>
          <w:rFonts w:ascii="Times New Roman" w:hAnsi="Times New Roman"/>
        </w:rPr>
        <w:footnoteRef/>
      </w:r>
      <w:r w:rsidRPr="001C4210">
        <w:rPr>
          <w:rFonts w:ascii="Times New Roman" w:hAnsi="Times New Roman"/>
        </w:rPr>
        <w:t xml:space="preserve"> CJUE 14 juin 2012, </w:t>
      </w:r>
      <w:proofErr w:type="spellStart"/>
      <w:r w:rsidRPr="001C4210">
        <w:rPr>
          <w:rFonts w:ascii="Times New Roman" w:hAnsi="Times New Roman"/>
        </w:rPr>
        <w:t>aff.</w:t>
      </w:r>
      <w:proofErr w:type="spellEnd"/>
      <w:r w:rsidRPr="001C4210">
        <w:rPr>
          <w:rFonts w:ascii="Times New Roman" w:hAnsi="Times New Roman"/>
        </w:rPr>
        <w:t xml:space="preserve"> </w:t>
      </w:r>
      <w:r w:rsidRPr="001C4210">
        <w:rPr>
          <w:rFonts w:ascii="Times New Roman" w:hAnsi="Times New Roman"/>
          <w:lang w:val="en-GB"/>
        </w:rPr>
        <w:t xml:space="preserve">C-158/11, D. 2012, p. 2156, note D. Ferrier, JCP, </w:t>
      </w:r>
      <w:proofErr w:type="spellStart"/>
      <w:r w:rsidRPr="001C4210">
        <w:rPr>
          <w:rFonts w:ascii="Times New Roman" w:hAnsi="Times New Roman"/>
          <w:lang w:val="en-GB"/>
        </w:rPr>
        <w:t>éd</w:t>
      </w:r>
      <w:proofErr w:type="spellEnd"/>
      <w:r w:rsidRPr="001C4210">
        <w:rPr>
          <w:rFonts w:ascii="Times New Roman" w:hAnsi="Times New Roman"/>
          <w:lang w:val="en-GB"/>
        </w:rPr>
        <w:t xml:space="preserve">. E, 2013, 1200, n°4, obs. D. </w:t>
      </w:r>
      <w:proofErr w:type="spellStart"/>
      <w:r w:rsidRPr="001C4210">
        <w:rPr>
          <w:rFonts w:ascii="Times New Roman" w:hAnsi="Times New Roman"/>
          <w:lang w:val="en-GB"/>
        </w:rPr>
        <w:t>Mainguy</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E1F5D9"/>
    <w:multiLevelType w:val="singleLevel"/>
    <w:tmpl w:val="D9F0DF82"/>
    <w:lvl w:ilvl="0">
      <w:start w:val="1"/>
      <w:numFmt w:val="bullet"/>
      <w:lvlText w:val="·"/>
      <w:lvlJc w:val="left"/>
      <w:rPr>
        <w:rFonts w:ascii="Times New Roman" w:hAnsi="Times New Roman"/>
      </w:rPr>
    </w:lvl>
  </w:abstractNum>
  <w:abstractNum w:abstractNumId="1" w15:restartNumberingAfterBreak="0">
    <w:nsid w:val="1C482902"/>
    <w:multiLevelType w:val="hybridMultilevel"/>
    <w:tmpl w:val="EEE210B0"/>
    <w:lvl w:ilvl="0" w:tplc="8814DFEC">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86"/>
    <w:rsid w:val="001C4210"/>
    <w:rsid w:val="003048C3"/>
    <w:rsid w:val="00352B86"/>
    <w:rsid w:val="003D488F"/>
    <w:rsid w:val="004307EA"/>
    <w:rsid w:val="00546FBB"/>
    <w:rsid w:val="005E4E6A"/>
    <w:rsid w:val="00646811"/>
    <w:rsid w:val="008520F6"/>
    <w:rsid w:val="008B6C10"/>
    <w:rsid w:val="00952976"/>
    <w:rsid w:val="009B229B"/>
    <w:rsid w:val="00A66354"/>
    <w:rsid w:val="00B06083"/>
    <w:rsid w:val="00BB2D1C"/>
    <w:rsid w:val="00C43D81"/>
    <w:rsid w:val="00D00B0C"/>
    <w:rsid w:val="00D46BAC"/>
    <w:rsid w:val="00D64B51"/>
    <w:rsid w:val="00DA0A94"/>
    <w:rsid w:val="00E37B8C"/>
    <w:rsid w:val="00E464C9"/>
    <w:rsid w:val="00EF6818"/>
    <w:rsid w:val="00EF7B4F"/>
    <w:rsid w:val="00FF6C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54A76A-896C-41CA-9702-881B5507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00B0C"/>
    <w:rPr>
      <w:sz w:val="20"/>
      <w:szCs w:val="20"/>
    </w:rPr>
  </w:style>
  <w:style w:type="character" w:customStyle="1" w:styleId="NotedebasdepageCar">
    <w:name w:val="Note de bas de page Car"/>
    <w:basedOn w:val="Policepardfaut"/>
    <w:link w:val="Notedebasdepage"/>
    <w:uiPriority w:val="99"/>
    <w:semiHidden/>
    <w:locked/>
    <w:rsid w:val="00D00B0C"/>
    <w:rPr>
      <w:rFonts w:cs="Times New Roman"/>
      <w:sz w:val="20"/>
      <w:szCs w:val="20"/>
    </w:rPr>
  </w:style>
  <w:style w:type="character" w:styleId="Appelnotedebasdep">
    <w:name w:val="footnote reference"/>
    <w:basedOn w:val="Policepardfaut"/>
    <w:uiPriority w:val="99"/>
    <w:semiHidden/>
    <w:unhideWhenUsed/>
    <w:rsid w:val="00D00B0C"/>
    <w:rPr>
      <w:rFonts w:cs="Times New Roman"/>
      <w:vertAlign w:val="superscript"/>
    </w:rPr>
  </w:style>
  <w:style w:type="paragraph" w:styleId="Paragraphedeliste">
    <w:name w:val="List Paragraph"/>
    <w:basedOn w:val="Normal"/>
    <w:uiPriority w:val="34"/>
    <w:qFormat/>
    <w:rsid w:val="00EF681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2967</Words>
  <Characters>16319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Mainguy</dc:creator>
  <cp:keywords/>
  <dc:description/>
  <cp:lastModifiedBy>Dan Mainguy</cp:lastModifiedBy>
  <cp:revision>3</cp:revision>
  <dcterms:created xsi:type="dcterms:W3CDTF">2019-07-17T11:54:00Z</dcterms:created>
  <dcterms:modified xsi:type="dcterms:W3CDTF">2019-07-17T12:00:00Z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Thu Jul 04 17:46:38 CEST 2019</vt:lpwstr>
  </property>
  <property fmtid="{D5CDD505-2E9C-101B-9397-08002B2CF9AE}" pid="3" name="jforVersion">
    <vt:lpwstr>jfor V0.7.2rc1 - see http://www.jfor.org</vt:lpwstr>
  </property>
</Properties>
</file>