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846" w:rsidRPr="002954BB" w:rsidRDefault="00965585" w:rsidP="00AF1021">
      <w:pPr>
        <w:spacing w:after="0" w:line="240" w:lineRule="auto"/>
        <w:jc w:val="center"/>
        <w:rPr>
          <w:rFonts w:ascii="Times New Roman" w:hAnsi="Times New Roman"/>
          <w:b/>
          <w:sz w:val="24"/>
          <w:szCs w:val="24"/>
        </w:rPr>
      </w:pPr>
      <w:r>
        <w:rPr>
          <w:rFonts w:ascii="Times New Roman" w:hAnsi="Times New Roman"/>
          <w:b/>
          <w:sz w:val="24"/>
          <w:szCs w:val="24"/>
        </w:rPr>
        <w:t xml:space="preserve">XXXX - </w:t>
      </w:r>
      <w:r w:rsidR="00E66851" w:rsidRPr="002954BB">
        <w:rPr>
          <w:rFonts w:ascii="Times New Roman" w:hAnsi="Times New Roman"/>
          <w:b/>
          <w:sz w:val="24"/>
          <w:szCs w:val="24"/>
        </w:rPr>
        <w:t>Contenu des contrats de distribution et pouvoirs du juge</w:t>
      </w:r>
    </w:p>
    <w:p w:rsidR="00E66851" w:rsidRPr="002954BB" w:rsidRDefault="00E66851" w:rsidP="00AF1021">
      <w:pPr>
        <w:spacing w:after="0" w:line="240" w:lineRule="auto"/>
        <w:jc w:val="center"/>
        <w:rPr>
          <w:rFonts w:ascii="Times New Roman" w:hAnsi="Times New Roman"/>
          <w:b/>
          <w:sz w:val="24"/>
          <w:szCs w:val="24"/>
        </w:rPr>
      </w:pPr>
    </w:p>
    <w:p w:rsidR="0029446F" w:rsidRPr="0029446F" w:rsidRDefault="0029446F" w:rsidP="0029446F">
      <w:pPr>
        <w:spacing w:after="0" w:line="240" w:lineRule="auto"/>
        <w:rPr>
          <w:rFonts w:ascii="Times New Roman" w:hAnsi="Times New Roman"/>
          <w:sz w:val="24"/>
          <w:szCs w:val="24"/>
        </w:rPr>
      </w:pPr>
      <w:r w:rsidRPr="0029446F">
        <w:rPr>
          <w:rFonts w:ascii="Times New Roman" w:hAnsi="Times New Roman"/>
          <w:sz w:val="24"/>
          <w:szCs w:val="24"/>
        </w:rPr>
        <w:t xml:space="preserve">Par Daniel MAINGUY </w:t>
      </w:r>
    </w:p>
    <w:p w:rsidR="0029446F" w:rsidRPr="0029446F" w:rsidRDefault="0029446F" w:rsidP="0029446F">
      <w:pPr>
        <w:spacing w:after="0" w:line="240" w:lineRule="auto"/>
        <w:rPr>
          <w:rFonts w:ascii="Times New Roman" w:hAnsi="Times New Roman"/>
          <w:sz w:val="24"/>
          <w:szCs w:val="24"/>
        </w:rPr>
      </w:pPr>
      <w:r w:rsidRPr="0029446F">
        <w:rPr>
          <w:rFonts w:ascii="Times New Roman" w:hAnsi="Times New Roman"/>
          <w:sz w:val="24"/>
          <w:szCs w:val="24"/>
        </w:rPr>
        <w:t>Professeur à l’université de Montpellier</w:t>
      </w:r>
    </w:p>
    <w:p w:rsidR="00111846" w:rsidRPr="002954BB" w:rsidRDefault="00111846" w:rsidP="008B4212">
      <w:pPr>
        <w:spacing w:after="0" w:line="240" w:lineRule="auto"/>
        <w:jc w:val="both"/>
        <w:rPr>
          <w:rFonts w:ascii="Times New Roman" w:hAnsi="Times New Roman"/>
          <w:sz w:val="24"/>
          <w:szCs w:val="24"/>
        </w:rPr>
      </w:pPr>
    </w:p>
    <w:p w:rsidR="00BB7E40" w:rsidRPr="002954BB" w:rsidRDefault="00111846" w:rsidP="008B4212">
      <w:pPr>
        <w:spacing w:after="0" w:line="240" w:lineRule="auto"/>
        <w:jc w:val="both"/>
        <w:rPr>
          <w:rFonts w:ascii="Times New Roman" w:hAnsi="Times New Roman"/>
          <w:sz w:val="24"/>
          <w:szCs w:val="24"/>
        </w:rPr>
      </w:pPr>
      <w:r w:rsidRPr="002954BB">
        <w:rPr>
          <w:rFonts w:ascii="Times New Roman" w:hAnsi="Times New Roman"/>
          <w:sz w:val="24"/>
          <w:szCs w:val="24"/>
        </w:rPr>
        <w:t xml:space="preserve">La réforme du droit des contrats, du régime général et de la preuve des obligations </w:t>
      </w:r>
      <w:r w:rsidR="00E66851" w:rsidRPr="002954BB">
        <w:rPr>
          <w:rFonts w:ascii="Times New Roman" w:hAnsi="Times New Roman"/>
          <w:sz w:val="24"/>
          <w:szCs w:val="24"/>
        </w:rPr>
        <w:t>substitue aux notions d’objet et de cause, celle de « contenu » du contrat, exprimée dans l’article 1128 et surtout aux articles</w:t>
      </w:r>
      <w:r w:rsidR="006F0D22">
        <w:rPr>
          <w:rFonts w:ascii="Times New Roman" w:hAnsi="Times New Roman"/>
          <w:sz w:val="24"/>
          <w:szCs w:val="24"/>
        </w:rPr>
        <w:t> </w:t>
      </w:r>
      <w:r w:rsidR="00E66851" w:rsidRPr="002954BB">
        <w:rPr>
          <w:rFonts w:ascii="Times New Roman" w:hAnsi="Times New Roman"/>
          <w:sz w:val="24"/>
          <w:szCs w:val="24"/>
        </w:rPr>
        <w:t xml:space="preserve">1162 et suivants du </w:t>
      </w:r>
      <w:r w:rsidR="000C3F18">
        <w:rPr>
          <w:rFonts w:ascii="Times New Roman" w:hAnsi="Times New Roman"/>
          <w:sz w:val="24"/>
          <w:szCs w:val="24"/>
        </w:rPr>
        <w:t>c</w:t>
      </w:r>
      <w:r w:rsidR="00E66851" w:rsidRPr="002954BB">
        <w:rPr>
          <w:rFonts w:ascii="Times New Roman" w:hAnsi="Times New Roman"/>
          <w:sz w:val="24"/>
          <w:szCs w:val="24"/>
        </w:rPr>
        <w:t>ode civil, avec un</w:t>
      </w:r>
      <w:r w:rsidR="00A96AA4">
        <w:rPr>
          <w:rFonts w:ascii="Times New Roman" w:hAnsi="Times New Roman"/>
          <w:sz w:val="24"/>
          <w:szCs w:val="24"/>
        </w:rPr>
        <w:t>e</w:t>
      </w:r>
      <w:r w:rsidR="00E66851" w:rsidRPr="002954BB">
        <w:rPr>
          <w:rFonts w:ascii="Times New Roman" w:hAnsi="Times New Roman"/>
          <w:sz w:val="24"/>
          <w:szCs w:val="24"/>
        </w:rPr>
        <w:t xml:space="preserve"> certaine maladresse puisque le terme « objet » est toujours présent (C. civ., art. 1163) et que le terme « but » masque</w:t>
      </w:r>
      <w:r w:rsidR="00DC1213">
        <w:rPr>
          <w:rFonts w:ascii="Times New Roman" w:hAnsi="Times New Roman"/>
          <w:sz w:val="24"/>
          <w:szCs w:val="24"/>
        </w:rPr>
        <w:t>,</w:t>
      </w:r>
      <w:r w:rsidR="00E66851" w:rsidRPr="002954BB">
        <w:rPr>
          <w:rFonts w:ascii="Times New Roman" w:hAnsi="Times New Roman"/>
          <w:sz w:val="24"/>
          <w:szCs w:val="24"/>
        </w:rPr>
        <w:t xml:space="preserve"> assez mal, celui de « cause ». Il reste que cette notion de « contenu » est peu usuelle pour le juriste, voire malhabile. Je comprends </w:t>
      </w:r>
      <w:r w:rsidR="00DC1213">
        <w:rPr>
          <w:rFonts w:ascii="Times New Roman" w:hAnsi="Times New Roman"/>
          <w:sz w:val="24"/>
          <w:szCs w:val="24"/>
        </w:rPr>
        <w:t xml:space="preserve">ce que signifie </w:t>
      </w:r>
      <w:r w:rsidR="00E66851" w:rsidRPr="002954BB">
        <w:rPr>
          <w:rFonts w:ascii="Times New Roman" w:hAnsi="Times New Roman"/>
          <w:sz w:val="24"/>
          <w:szCs w:val="24"/>
        </w:rPr>
        <w:t xml:space="preserve">le « contenu » d’un amphithéâtre, d’un verre, ou d’une notion abstraite, mais d’un contrat ? Le contenu d’un contrat était, jusqu’à présent, identifié comme ses effets, ce qui est produit par un contrat, résumé à ses obligations, et ce de manière explicite ou implicite. </w:t>
      </w:r>
      <w:r w:rsidR="00BB7E40" w:rsidRPr="002954BB">
        <w:rPr>
          <w:rFonts w:ascii="Times New Roman" w:hAnsi="Times New Roman"/>
          <w:sz w:val="24"/>
          <w:szCs w:val="24"/>
        </w:rPr>
        <w:t xml:space="preserve">Pour les contrats de distribution, il s’agit là d’un </w:t>
      </w:r>
      <w:r w:rsidR="000C3F18">
        <w:rPr>
          <w:rFonts w:ascii="Times New Roman" w:hAnsi="Times New Roman"/>
          <w:sz w:val="24"/>
          <w:szCs w:val="24"/>
        </w:rPr>
        <w:t>en</w:t>
      </w:r>
      <w:r w:rsidR="00BB7E40" w:rsidRPr="002954BB">
        <w:rPr>
          <w:rFonts w:ascii="Times New Roman" w:hAnsi="Times New Roman"/>
          <w:sz w:val="24"/>
          <w:szCs w:val="24"/>
        </w:rPr>
        <w:t xml:space="preserve">semble considérable. Viennent immédiatement à l’esprit les questions relatives </w:t>
      </w:r>
      <w:r w:rsidR="00A96AA4">
        <w:rPr>
          <w:rFonts w:ascii="Times New Roman" w:hAnsi="Times New Roman"/>
          <w:sz w:val="24"/>
          <w:szCs w:val="24"/>
        </w:rPr>
        <w:t>aux mécanismes d’</w:t>
      </w:r>
      <w:r w:rsidR="00BB7E40" w:rsidRPr="002954BB">
        <w:rPr>
          <w:rFonts w:ascii="Times New Roman" w:hAnsi="Times New Roman"/>
          <w:sz w:val="24"/>
          <w:szCs w:val="24"/>
        </w:rPr>
        <w:t xml:space="preserve">exclusivité, les </w:t>
      </w:r>
      <w:r w:rsidR="00DC1213">
        <w:rPr>
          <w:rFonts w:ascii="Times New Roman" w:hAnsi="Times New Roman"/>
          <w:sz w:val="24"/>
          <w:szCs w:val="24"/>
        </w:rPr>
        <w:t xml:space="preserve">diverses clauses du contrat, dont celles </w:t>
      </w:r>
      <w:r w:rsidR="00BB7E40" w:rsidRPr="002954BB">
        <w:rPr>
          <w:rFonts w:ascii="Times New Roman" w:hAnsi="Times New Roman"/>
          <w:sz w:val="24"/>
          <w:szCs w:val="24"/>
        </w:rPr>
        <w:t xml:space="preserve">de </w:t>
      </w:r>
      <w:r w:rsidR="00DC1213" w:rsidRPr="002954BB">
        <w:rPr>
          <w:rFonts w:ascii="Times New Roman" w:hAnsi="Times New Roman"/>
          <w:sz w:val="24"/>
          <w:szCs w:val="24"/>
        </w:rPr>
        <w:t>non</w:t>
      </w:r>
      <w:r w:rsidR="00DC1213">
        <w:rPr>
          <w:rFonts w:ascii="Times New Roman" w:hAnsi="Times New Roman"/>
          <w:sz w:val="24"/>
          <w:szCs w:val="24"/>
        </w:rPr>
        <w:t>-</w:t>
      </w:r>
      <w:r w:rsidR="00BB7E40" w:rsidRPr="002954BB">
        <w:rPr>
          <w:rFonts w:ascii="Times New Roman" w:hAnsi="Times New Roman"/>
          <w:sz w:val="24"/>
          <w:szCs w:val="24"/>
        </w:rPr>
        <w:t>concurrence</w:t>
      </w:r>
      <w:r w:rsidR="00DC1213">
        <w:rPr>
          <w:rFonts w:ascii="Times New Roman" w:hAnsi="Times New Roman"/>
          <w:sz w:val="24"/>
          <w:szCs w:val="24"/>
        </w:rPr>
        <w:t xml:space="preserve"> et leurs dérivées</w:t>
      </w:r>
      <w:r w:rsidR="00BB7E40" w:rsidRPr="002954BB">
        <w:rPr>
          <w:rFonts w:ascii="Times New Roman" w:hAnsi="Times New Roman"/>
          <w:sz w:val="24"/>
          <w:szCs w:val="24"/>
        </w:rPr>
        <w:t xml:space="preserve">, </w:t>
      </w:r>
      <w:r w:rsidR="007D1B0C">
        <w:rPr>
          <w:rFonts w:ascii="Times New Roman" w:hAnsi="Times New Roman"/>
          <w:sz w:val="24"/>
          <w:szCs w:val="24"/>
        </w:rPr>
        <w:t>celles relatives à la</w:t>
      </w:r>
      <w:r w:rsidR="00BB7E40" w:rsidRPr="002954BB">
        <w:rPr>
          <w:rFonts w:ascii="Times New Roman" w:hAnsi="Times New Roman"/>
          <w:sz w:val="24"/>
          <w:szCs w:val="24"/>
        </w:rPr>
        <w:t xml:space="preserve"> dépendance</w:t>
      </w:r>
      <w:r w:rsidR="007D1B0C">
        <w:rPr>
          <w:rFonts w:ascii="Times New Roman" w:hAnsi="Times New Roman"/>
          <w:sz w:val="24"/>
          <w:szCs w:val="24"/>
        </w:rPr>
        <w:t xml:space="preserve"> d’un contractant</w:t>
      </w:r>
      <w:r w:rsidR="00BB7E40" w:rsidRPr="002954BB">
        <w:rPr>
          <w:rFonts w:ascii="Times New Roman" w:hAnsi="Times New Roman"/>
          <w:sz w:val="24"/>
          <w:szCs w:val="24"/>
        </w:rPr>
        <w:t xml:space="preserve">, les obligations d’informations, etc., qui forment, traditionnellement le cœur des difficultés d’application de ces contrats et d’interprétation des règles qui leur sont appliquées. </w:t>
      </w:r>
      <w:r w:rsidR="00E66851" w:rsidRPr="002954BB">
        <w:rPr>
          <w:rFonts w:ascii="Times New Roman" w:hAnsi="Times New Roman"/>
          <w:sz w:val="24"/>
          <w:szCs w:val="24"/>
        </w:rPr>
        <w:t xml:space="preserve">Or, le « contenu » du contrat de l’article 1128 ou des articles 1162 et suivants du </w:t>
      </w:r>
      <w:r w:rsidR="000C3F18">
        <w:rPr>
          <w:rFonts w:ascii="Times New Roman" w:hAnsi="Times New Roman"/>
          <w:sz w:val="24"/>
          <w:szCs w:val="24"/>
        </w:rPr>
        <w:t>c</w:t>
      </w:r>
      <w:r w:rsidR="00E66851" w:rsidRPr="002954BB">
        <w:rPr>
          <w:rFonts w:ascii="Times New Roman" w:hAnsi="Times New Roman"/>
          <w:sz w:val="24"/>
          <w:szCs w:val="24"/>
        </w:rPr>
        <w:t>ode civil n</w:t>
      </w:r>
      <w:r w:rsidR="00DC1213">
        <w:rPr>
          <w:rFonts w:ascii="Times New Roman" w:hAnsi="Times New Roman"/>
          <w:sz w:val="24"/>
          <w:szCs w:val="24"/>
        </w:rPr>
        <w:t xml:space="preserve">e fait </w:t>
      </w:r>
      <w:r w:rsidR="00E66851" w:rsidRPr="002954BB">
        <w:rPr>
          <w:rFonts w:ascii="Times New Roman" w:hAnsi="Times New Roman"/>
          <w:sz w:val="24"/>
          <w:szCs w:val="24"/>
        </w:rPr>
        <w:t xml:space="preserve">manifestement pas </w:t>
      </w:r>
      <w:r w:rsidR="00DC1213">
        <w:rPr>
          <w:rFonts w:ascii="Times New Roman" w:hAnsi="Times New Roman"/>
          <w:sz w:val="24"/>
          <w:szCs w:val="24"/>
        </w:rPr>
        <w:t xml:space="preserve">référence, en tout pas immédiatement, à </w:t>
      </w:r>
      <w:r w:rsidR="00E66851" w:rsidRPr="002954BB">
        <w:rPr>
          <w:rFonts w:ascii="Times New Roman" w:hAnsi="Times New Roman"/>
          <w:sz w:val="24"/>
          <w:szCs w:val="24"/>
        </w:rPr>
        <w:t>ce type de « contenu ». D’ailleurs, cet ensemble de règle</w:t>
      </w:r>
      <w:r w:rsidR="007D1B0C">
        <w:rPr>
          <w:rFonts w:ascii="Times New Roman" w:hAnsi="Times New Roman"/>
          <w:sz w:val="24"/>
          <w:szCs w:val="24"/>
        </w:rPr>
        <w:t>s</w:t>
      </w:r>
      <w:r w:rsidR="00E66851" w:rsidRPr="002954BB">
        <w:rPr>
          <w:rFonts w:ascii="Times New Roman" w:hAnsi="Times New Roman"/>
          <w:sz w:val="24"/>
          <w:szCs w:val="24"/>
        </w:rPr>
        <w:t xml:space="preserve"> s’inscrit dans une sous-section 3, intitulée « </w:t>
      </w:r>
      <w:r w:rsidR="007D1B0C">
        <w:rPr>
          <w:rFonts w:ascii="Times New Roman" w:hAnsi="Times New Roman"/>
          <w:sz w:val="24"/>
          <w:szCs w:val="24"/>
        </w:rPr>
        <w:t>C</w:t>
      </w:r>
      <w:r w:rsidR="00E66851" w:rsidRPr="002954BB">
        <w:rPr>
          <w:rFonts w:ascii="Times New Roman" w:hAnsi="Times New Roman"/>
          <w:sz w:val="24"/>
          <w:szCs w:val="24"/>
        </w:rPr>
        <w:t>ontenu »</w:t>
      </w:r>
      <w:r w:rsidR="00BB7E40" w:rsidRPr="002954BB">
        <w:rPr>
          <w:rFonts w:ascii="Times New Roman" w:hAnsi="Times New Roman"/>
          <w:sz w:val="24"/>
          <w:szCs w:val="24"/>
        </w:rPr>
        <w:t>, dans une section 2 intitulé</w:t>
      </w:r>
      <w:r w:rsidR="00852343">
        <w:rPr>
          <w:rFonts w:ascii="Times New Roman" w:hAnsi="Times New Roman"/>
          <w:sz w:val="24"/>
          <w:szCs w:val="24"/>
        </w:rPr>
        <w:t>e</w:t>
      </w:r>
      <w:r w:rsidR="00BB7E40" w:rsidRPr="002954BB">
        <w:rPr>
          <w:rFonts w:ascii="Times New Roman" w:hAnsi="Times New Roman"/>
          <w:sz w:val="24"/>
          <w:szCs w:val="24"/>
        </w:rPr>
        <w:t xml:space="preserve"> « </w:t>
      </w:r>
      <w:r w:rsidR="007D1B0C">
        <w:rPr>
          <w:rFonts w:ascii="Times New Roman" w:hAnsi="Times New Roman"/>
          <w:sz w:val="24"/>
          <w:szCs w:val="24"/>
        </w:rPr>
        <w:t>V</w:t>
      </w:r>
      <w:r w:rsidR="00BB7E40" w:rsidRPr="002954BB">
        <w:rPr>
          <w:rFonts w:ascii="Times New Roman" w:hAnsi="Times New Roman"/>
          <w:sz w:val="24"/>
          <w:szCs w:val="24"/>
        </w:rPr>
        <w:t>alidité » qui elle-même s’insère entre une Section 1 « Formation » et une Section 3 « La forme du contrat</w:t>
      </w:r>
      <w:r w:rsidR="000C3F18">
        <w:rPr>
          <w:rFonts w:ascii="Times New Roman" w:hAnsi="Times New Roman"/>
          <w:sz w:val="24"/>
          <w:szCs w:val="24"/>
        </w:rPr>
        <w:t> »</w:t>
      </w:r>
      <w:r w:rsidR="00BB7E40" w:rsidRPr="002954BB">
        <w:rPr>
          <w:rFonts w:ascii="Times New Roman" w:hAnsi="Times New Roman"/>
          <w:sz w:val="24"/>
          <w:szCs w:val="24"/>
        </w:rPr>
        <w:t>, suivie d’une section intitulée « </w:t>
      </w:r>
      <w:r w:rsidR="007D1B0C">
        <w:rPr>
          <w:rFonts w:ascii="Times New Roman" w:hAnsi="Times New Roman"/>
          <w:sz w:val="24"/>
          <w:szCs w:val="24"/>
        </w:rPr>
        <w:t>S</w:t>
      </w:r>
      <w:r w:rsidR="00BB7E40" w:rsidRPr="002954BB">
        <w:rPr>
          <w:rFonts w:ascii="Times New Roman" w:hAnsi="Times New Roman"/>
          <w:sz w:val="24"/>
          <w:szCs w:val="24"/>
        </w:rPr>
        <w:t>anction ». L’article</w:t>
      </w:r>
      <w:r w:rsidR="006F0D22">
        <w:rPr>
          <w:rFonts w:ascii="Times New Roman" w:hAnsi="Times New Roman"/>
          <w:sz w:val="24"/>
          <w:szCs w:val="24"/>
        </w:rPr>
        <w:t> </w:t>
      </w:r>
      <w:r w:rsidR="00BB7E40" w:rsidRPr="002954BB">
        <w:rPr>
          <w:rFonts w:ascii="Times New Roman" w:hAnsi="Times New Roman"/>
          <w:sz w:val="24"/>
          <w:szCs w:val="24"/>
        </w:rPr>
        <w:t xml:space="preserve">1128 du </w:t>
      </w:r>
      <w:r w:rsidR="000C3F18">
        <w:rPr>
          <w:rFonts w:ascii="Times New Roman" w:hAnsi="Times New Roman"/>
          <w:sz w:val="24"/>
          <w:szCs w:val="24"/>
        </w:rPr>
        <w:t>c</w:t>
      </w:r>
      <w:r w:rsidR="00BB7E40" w:rsidRPr="002954BB">
        <w:rPr>
          <w:rFonts w:ascii="Times New Roman" w:hAnsi="Times New Roman"/>
          <w:sz w:val="24"/>
          <w:szCs w:val="24"/>
        </w:rPr>
        <w:t>ode civil correspond d’ailleurs à l’ancien article 1108 introduisant les conditions de validité d’un contrat, désormais comprise</w:t>
      </w:r>
      <w:r w:rsidR="007D1B0C">
        <w:rPr>
          <w:rFonts w:ascii="Times New Roman" w:hAnsi="Times New Roman"/>
          <w:sz w:val="24"/>
          <w:szCs w:val="24"/>
        </w:rPr>
        <w:t>s</w:t>
      </w:r>
      <w:r w:rsidR="00BB7E40" w:rsidRPr="002954BB">
        <w:rPr>
          <w:rFonts w:ascii="Times New Roman" w:hAnsi="Times New Roman"/>
          <w:sz w:val="24"/>
          <w:szCs w:val="24"/>
        </w:rPr>
        <w:t xml:space="preserve"> comme une capacité, un consentement, un « contenu licite et certain », </w:t>
      </w:r>
      <w:r w:rsidR="007D1B0C">
        <w:rPr>
          <w:rFonts w:ascii="Times New Roman" w:hAnsi="Times New Roman"/>
          <w:sz w:val="24"/>
          <w:szCs w:val="24"/>
        </w:rPr>
        <w:t xml:space="preserve">cet ensemble </w:t>
      </w:r>
      <w:r w:rsidR="00BB7E40" w:rsidRPr="002954BB">
        <w:rPr>
          <w:rFonts w:ascii="Times New Roman" w:hAnsi="Times New Roman"/>
          <w:sz w:val="24"/>
          <w:szCs w:val="24"/>
        </w:rPr>
        <w:t>remplaçant</w:t>
      </w:r>
      <w:r w:rsidR="007D1B0C">
        <w:rPr>
          <w:rFonts w:ascii="Times New Roman" w:hAnsi="Times New Roman"/>
          <w:sz w:val="24"/>
          <w:szCs w:val="24"/>
        </w:rPr>
        <w:t xml:space="preserve"> les formules</w:t>
      </w:r>
      <w:r w:rsidR="00BB7E40" w:rsidRPr="002954BB">
        <w:rPr>
          <w:rFonts w:ascii="Times New Roman" w:hAnsi="Times New Roman"/>
          <w:sz w:val="24"/>
          <w:szCs w:val="24"/>
        </w:rPr>
        <w:t xml:space="preserve"> « objet certain</w:t>
      </w:r>
      <w:r w:rsidR="000C3F18">
        <w:rPr>
          <w:rFonts w:ascii="Times New Roman" w:hAnsi="Times New Roman"/>
          <w:sz w:val="24"/>
          <w:szCs w:val="24"/>
        </w:rPr>
        <w:t> »</w:t>
      </w:r>
      <w:r w:rsidR="00BB7E40" w:rsidRPr="002954BB">
        <w:rPr>
          <w:rFonts w:ascii="Times New Roman" w:hAnsi="Times New Roman"/>
          <w:sz w:val="24"/>
          <w:szCs w:val="24"/>
        </w:rPr>
        <w:t xml:space="preserve"> et </w:t>
      </w:r>
      <w:r w:rsidR="000C3F18">
        <w:rPr>
          <w:rFonts w:ascii="Times New Roman" w:hAnsi="Times New Roman"/>
          <w:sz w:val="24"/>
          <w:szCs w:val="24"/>
        </w:rPr>
        <w:t>« </w:t>
      </w:r>
      <w:r w:rsidR="007D1B0C">
        <w:rPr>
          <w:rFonts w:ascii="Times New Roman" w:hAnsi="Times New Roman"/>
          <w:sz w:val="24"/>
          <w:szCs w:val="24"/>
        </w:rPr>
        <w:t xml:space="preserve">cause </w:t>
      </w:r>
      <w:r w:rsidR="00BB7E40" w:rsidRPr="002954BB">
        <w:rPr>
          <w:rFonts w:ascii="Times New Roman" w:hAnsi="Times New Roman"/>
          <w:sz w:val="24"/>
          <w:szCs w:val="24"/>
        </w:rPr>
        <w:t>licite » dans l’ex-article 1108 : le « contenu » nouveau est donc bien ce qu’on désignait naguère –</w:t>
      </w:r>
      <w:r w:rsidR="000C3F18">
        <w:rPr>
          <w:rFonts w:ascii="Times New Roman" w:hAnsi="Times New Roman"/>
          <w:sz w:val="24"/>
          <w:szCs w:val="24"/>
        </w:rPr>
        <w:t> </w:t>
      </w:r>
      <w:r w:rsidR="00BB7E40" w:rsidRPr="002954BB">
        <w:rPr>
          <w:rFonts w:ascii="Times New Roman" w:hAnsi="Times New Roman"/>
          <w:sz w:val="24"/>
          <w:szCs w:val="24"/>
        </w:rPr>
        <w:t>déjà jadis</w:t>
      </w:r>
      <w:r w:rsidR="000C3F18">
        <w:rPr>
          <w:rFonts w:ascii="Times New Roman" w:hAnsi="Times New Roman"/>
          <w:sz w:val="24"/>
          <w:szCs w:val="24"/>
        </w:rPr>
        <w:t> </w:t>
      </w:r>
      <w:r w:rsidR="00BB7E40" w:rsidRPr="002954BB">
        <w:rPr>
          <w:rFonts w:ascii="Times New Roman" w:hAnsi="Times New Roman"/>
          <w:sz w:val="24"/>
          <w:szCs w:val="24"/>
        </w:rPr>
        <w:t>– comme les questions relatives à l’objet et à la cause, deux question</w:t>
      </w:r>
      <w:r w:rsidR="007D1B0C">
        <w:rPr>
          <w:rFonts w:ascii="Times New Roman" w:hAnsi="Times New Roman"/>
          <w:sz w:val="24"/>
          <w:szCs w:val="24"/>
        </w:rPr>
        <w:t>s</w:t>
      </w:r>
      <w:r w:rsidR="00BB7E40" w:rsidRPr="002954BB">
        <w:rPr>
          <w:rFonts w:ascii="Times New Roman" w:hAnsi="Times New Roman"/>
          <w:sz w:val="24"/>
          <w:szCs w:val="24"/>
        </w:rPr>
        <w:t xml:space="preserve"> essentielles relatives à la validité d’un contrat. La cause est morte, vive le contenu ? Il n’est </w:t>
      </w:r>
      <w:r w:rsidR="00DC1213">
        <w:rPr>
          <w:rFonts w:ascii="Times New Roman" w:hAnsi="Times New Roman"/>
          <w:sz w:val="24"/>
          <w:szCs w:val="24"/>
        </w:rPr>
        <w:t xml:space="preserve">pas </w:t>
      </w:r>
      <w:r w:rsidR="00BB7E40" w:rsidRPr="002954BB">
        <w:rPr>
          <w:rFonts w:ascii="Times New Roman" w:hAnsi="Times New Roman"/>
          <w:sz w:val="24"/>
          <w:szCs w:val="24"/>
        </w:rPr>
        <w:t>certain que la notion de « contenu » soit immédiatement « opérationnelle » et pas simplement circonstancielle</w:t>
      </w:r>
      <w:r w:rsidR="00746A30" w:rsidRPr="002954BB">
        <w:rPr>
          <w:rStyle w:val="Appelnotedebasdep"/>
          <w:rFonts w:ascii="Times New Roman" w:hAnsi="Times New Roman"/>
          <w:sz w:val="24"/>
          <w:szCs w:val="24"/>
        </w:rPr>
        <w:footnoteReference w:id="2"/>
      </w:r>
      <w:r w:rsidR="00BB7E40" w:rsidRPr="002954BB">
        <w:rPr>
          <w:rFonts w:ascii="Times New Roman" w:hAnsi="Times New Roman"/>
          <w:sz w:val="24"/>
          <w:szCs w:val="24"/>
        </w:rPr>
        <w:t xml:space="preserve"> : il fallait </w:t>
      </w:r>
      <w:r w:rsidR="007D1B0C">
        <w:rPr>
          <w:rFonts w:ascii="Times New Roman" w:hAnsi="Times New Roman"/>
          <w:sz w:val="24"/>
          <w:szCs w:val="24"/>
        </w:rPr>
        <w:t xml:space="preserve">sans doute un terme, </w:t>
      </w:r>
      <w:r w:rsidR="00BB7E40" w:rsidRPr="002954BB">
        <w:rPr>
          <w:rFonts w:ascii="Times New Roman" w:hAnsi="Times New Roman"/>
          <w:sz w:val="24"/>
          <w:szCs w:val="24"/>
        </w:rPr>
        <w:t>quelque chose, une dénomination, pour remplacer la notion d’</w:t>
      </w:r>
      <w:r w:rsidR="00DC1213">
        <w:rPr>
          <w:rFonts w:ascii="Times New Roman" w:hAnsi="Times New Roman"/>
          <w:sz w:val="24"/>
          <w:szCs w:val="24"/>
        </w:rPr>
        <w:t> « </w:t>
      </w:r>
      <w:r w:rsidR="00BB7E40" w:rsidRPr="002954BB">
        <w:rPr>
          <w:rFonts w:ascii="Times New Roman" w:hAnsi="Times New Roman"/>
          <w:sz w:val="24"/>
          <w:szCs w:val="24"/>
        </w:rPr>
        <w:t xml:space="preserve">intérêt </w:t>
      </w:r>
      <w:r w:rsidR="00DC1213">
        <w:rPr>
          <w:rFonts w:ascii="Times New Roman" w:hAnsi="Times New Roman"/>
          <w:sz w:val="24"/>
          <w:szCs w:val="24"/>
        </w:rPr>
        <w:t xml:space="preserve">au contrat » qui se substituait déjà à la cause dans le </w:t>
      </w:r>
      <w:r w:rsidR="00BB7E40" w:rsidRPr="002954BB">
        <w:rPr>
          <w:rFonts w:ascii="Times New Roman" w:hAnsi="Times New Roman"/>
          <w:sz w:val="24"/>
          <w:szCs w:val="24"/>
        </w:rPr>
        <w:t xml:space="preserve">projet de la Chancellerie de 2009. </w:t>
      </w:r>
    </w:p>
    <w:p w:rsidR="00BB7E40" w:rsidRPr="002954BB" w:rsidRDefault="00BB7E40" w:rsidP="008B4212">
      <w:pPr>
        <w:spacing w:after="0" w:line="240" w:lineRule="auto"/>
        <w:jc w:val="both"/>
        <w:rPr>
          <w:rFonts w:ascii="Times New Roman" w:hAnsi="Times New Roman"/>
          <w:sz w:val="24"/>
          <w:szCs w:val="24"/>
        </w:rPr>
      </w:pPr>
    </w:p>
    <w:p w:rsidR="00EB0C76" w:rsidRPr="002954BB" w:rsidRDefault="00BB7E40" w:rsidP="008B4212">
      <w:pPr>
        <w:spacing w:after="0" w:line="240" w:lineRule="auto"/>
        <w:jc w:val="both"/>
        <w:rPr>
          <w:rFonts w:ascii="Times New Roman" w:hAnsi="Times New Roman"/>
          <w:sz w:val="24"/>
          <w:szCs w:val="24"/>
        </w:rPr>
      </w:pPr>
      <w:r w:rsidRPr="002954BB">
        <w:rPr>
          <w:rFonts w:ascii="Times New Roman" w:hAnsi="Times New Roman"/>
          <w:sz w:val="24"/>
          <w:szCs w:val="24"/>
        </w:rPr>
        <w:t xml:space="preserve">La question des </w:t>
      </w:r>
      <w:r w:rsidR="00DC1213">
        <w:rPr>
          <w:rFonts w:ascii="Times New Roman" w:hAnsi="Times New Roman"/>
          <w:sz w:val="24"/>
          <w:szCs w:val="24"/>
        </w:rPr>
        <w:t>« </w:t>
      </w:r>
      <w:r w:rsidRPr="002954BB">
        <w:rPr>
          <w:rFonts w:ascii="Times New Roman" w:hAnsi="Times New Roman"/>
          <w:sz w:val="24"/>
          <w:szCs w:val="24"/>
        </w:rPr>
        <w:t>pouvoirs du juge</w:t>
      </w:r>
      <w:r w:rsidR="00DC1213">
        <w:rPr>
          <w:rFonts w:ascii="Times New Roman" w:hAnsi="Times New Roman"/>
          <w:sz w:val="24"/>
          <w:szCs w:val="24"/>
        </w:rPr>
        <w:t> »</w:t>
      </w:r>
      <w:r w:rsidRPr="002954BB">
        <w:rPr>
          <w:rFonts w:ascii="Times New Roman" w:hAnsi="Times New Roman"/>
          <w:sz w:val="24"/>
          <w:szCs w:val="24"/>
        </w:rPr>
        <w:t>, ensuite, est une question très sensible en droit des contrats, et notamment des contrats d’affaires, de distribution</w:t>
      </w:r>
      <w:r w:rsidR="004B2E0D" w:rsidRPr="002954BB">
        <w:rPr>
          <w:rFonts w:ascii="Times New Roman" w:hAnsi="Times New Roman"/>
          <w:sz w:val="24"/>
          <w:szCs w:val="24"/>
        </w:rPr>
        <w:t>. Là encore, quelle audace, à Lille, terre de conquêtes sociales</w:t>
      </w:r>
      <w:r w:rsidR="00D07870">
        <w:rPr>
          <w:rFonts w:ascii="Times New Roman" w:hAnsi="Times New Roman"/>
          <w:sz w:val="24"/>
          <w:szCs w:val="24"/>
        </w:rPr>
        <w:t>,</w:t>
      </w:r>
      <w:r w:rsidR="004B2E0D" w:rsidRPr="002954BB">
        <w:rPr>
          <w:rFonts w:ascii="Times New Roman" w:hAnsi="Times New Roman"/>
          <w:sz w:val="24"/>
          <w:szCs w:val="24"/>
        </w:rPr>
        <w:t xml:space="preserve"> pour promouvoir les pouvoirs du juge </w:t>
      </w:r>
      <w:r w:rsidR="00DC1213">
        <w:rPr>
          <w:rFonts w:ascii="Times New Roman" w:hAnsi="Times New Roman"/>
          <w:sz w:val="24"/>
          <w:szCs w:val="24"/>
        </w:rPr>
        <w:t xml:space="preserve">dans les </w:t>
      </w:r>
      <w:r w:rsidR="004B2E0D" w:rsidRPr="002954BB">
        <w:rPr>
          <w:rFonts w:ascii="Times New Roman" w:hAnsi="Times New Roman"/>
          <w:sz w:val="24"/>
          <w:szCs w:val="24"/>
        </w:rPr>
        <w:t xml:space="preserve">contrats de distribution. Jadis, là encore, les pouvoirs du juge étaient contenus dans de strictes limites. Le juge était le « serviteur » du contrat, formule à peine moins dédaigneuse que celle, plus générale, faisant du juge la « bouche de la loi », un automate enfin dompté, ce juge, fils des « magistrats » de l’Ancien régime qui osaient, </w:t>
      </w:r>
      <w:r w:rsidR="004B2E0D" w:rsidRPr="002954BB">
        <w:rPr>
          <w:rFonts w:ascii="Times New Roman" w:hAnsi="Times New Roman"/>
          <w:sz w:val="24"/>
          <w:szCs w:val="24"/>
        </w:rPr>
        <w:lastRenderedPageBreak/>
        <w:t xml:space="preserve">parfois, formuler des remontrances au roi, jusqu’au « bon juge Magnaud » </w:t>
      </w:r>
      <w:r w:rsidR="00D07870">
        <w:rPr>
          <w:rFonts w:ascii="Times New Roman" w:hAnsi="Times New Roman"/>
          <w:sz w:val="24"/>
          <w:szCs w:val="24"/>
        </w:rPr>
        <w:t>guère mieux traité, mais pour d’autres raisons</w:t>
      </w:r>
      <w:r w:rsidR="004B2E0D" w:rsidRPr="002954BB">
        <w:rPr>
          <w:rFonts w:ascii="Times New Roman" w:hAnsi="Times New Roman"/>
          <w:sz w:val="24"/>
          <w:szCs w:val="24"/>
        </w:rPr>
        <w:t>. Entre les deux, la place du juge était au centre, sage, silencieux et soumis, jusqu’au début du XX</w:t>
      </w:r>
      <w:r w:rsidR="0029446F" w:rsidRPr="0029446F">
        <w:rPr>
          <w:rFonts w:ascii="Times New Roman" w:hAnsi="Times New Roman"/>
          <w:sz w:val="24"/>
          <w:szCs w:val="24"/>
          <w:vertAlign w:val="superscript"/>
        </w:rPr>
        <w:t>e</w:t>
      </w:r>
      <w:r w:rsidR="004B2E0D" w:rsidRPr="002954BB">
        <w:rPr>
          <w:rFonts w:ascii="Times New Roman" w:hAnsi="Times New Roman"/>
          <w:sz w:val="24"/>
          <w:szCs w:val="24"/>
        </w:rPr>
        <w:t xml:space="preserve"> siècle et, plus encore, aux années 1970 où, piqué de fièvre (ré)interprétative du droit des contrats</w:t>
      </w:r>
      <w:r w:rsidR="00D07870">
        <w:rPr>
          <w:rFonts w:ascii="Times New Roman" w:hAnsi="Times New Roman"/>
          <w:sz w:val="24"/>
          <w:szCs w:val="24"/>
        </w:rPr>
        <w:t>,</w:t>
      </w:r>
      <w:r w:rsidR="004B2E0D" w:rsidRPr="002954BB">
        <w:rPr>
          <w:rFonts w:ascii="Times New Roman" w:hAnsi="Times New Roman"/>
          <w:sz w:val="24"/>
          <w:szCs w:val="24"/>
        </w:rPr>
        <w:t xml:space="preserve"> </w:t>
      </w:r>
      <w:r w:rsidR="00D07870">
        <w:rPr>
          <w:rFonts w:ascii="Times New Roman" w:hAnsi="Times New Roman"/>
          <w:sz w:val="24"/>
          <w:szCs w:val="24"/>
        </w:rPr>
        <w:t xml:space="preserve">et </w:t>
      </w:r>
      <w:r w:rsidR="004B2E0D" w:rsidRPr="002954BB">
        <w:rPr>
          <w:rFonts w:ascii="Times New Roman" w:hAnsi="Times New Roman"/>
          <w:sz w:val="24"/>
          <w:szCs w:val="24"/>
        </w:rPr>
        <w:t xml:space="preserve">notamment au sujet des contrats de distribution, le juge s’est mis à écouter </w:t>
      </w:r>
      <w:r w:rsidR="00DC1213">
        <w:rPr>
          <w:rFonts w:ascii="Times New Roman" w:hAnsi="Times New Roman"/>
          <w:sz w:val="24"/>
          <w:szCs w:val="24"/>
        </w:rPr>
        <w:t>d</w:t>
      </w:r>
      <w:r w:rsidR="004B2E0D" w:rsidRPr="002954BB">
        <w:rPr>
          <w:rFonts w:ascii="Times New Roman" w:hAnsi="Times New Roman"/>
          <w:sz w:val="24"/>
          <w:szCs w:val="24"/>
        </w:rPr>
        <w:t xml:space="preserve">es avocats aventureux : stations-services, cuves, concession commerciale, franchise, exclusivité, non-concurrence, prix et détermination du prix, application des règles du droit de la concurrence, etc., le juge, la Cour de cassation notamment, s’est mise à proposer un renouvellement total de l’interprétation </w:t>
      </w:r>
      <w:r w:rsidR="00D07870">
        <w:rPr>
          <w:rFonts w:ascii="Times New Roman" w:hAnsi="Times New Roman"/>
          <w:sz w:val="24"/>
          <w:szCs w:val="24"/>
        </w:rPr>
        <w:t xml:space="preserve">des règles applicables aux </w:t>
      </w:r>
      <w:r w:rsidR="004B2E0D" w:rsidRPr="002954BB">
        <w:rPr>
          <w:rFonts w:ascii="Times New Roman" w:hAnsi="Times New Roman"/>
          <w:sz w:val="24"/>
          <w:szCs w:val="24"/>
        </w:rPr>
        <w:t>contrats. Ce n’est pas le lieu de proposer une explication ou une description de ce mouvement, mais simplement d’observer que les contrats soumis au juge avaient changé, et avec eux, les manières d’interpréter les règles qui leur étaient appliquées. Le Code civil de 1804 proposait une analyse fondée sur le triptyque « vente-bail-louage d’</w:t>
      </w:r>
      <w:r w:rsidR="0082771D" w:rsidRPr="002954BB">
        <w:rPr>
          <w:rFonts w:ascii="Times New Roman" w:hAnsi="Times New Roman"/>
          <w:sz w:val="24"/>
          <w:szCs w:val="24"/>
        </w:rPr>
        <w:t>ouvrage</w:t>
      </w:r>
      <w:r w:rsidR="004B2E0D" w:rsidRPr="002954BB">
        <w:rPr>
          <w:rFonts w:ascii="Times New Roman" w:hAnsi="Times New Roman"/>
          <w:sz w:val="24"/>
          <w:szCs w:val="24"/>
        </w:rPr>
        <w:t xml:space="preserve"> », très largement dominé par la vente, contrat très particulier, translatif de propriété et à exécution sinon </w:t>
      </w:r>
      <w:r w:rsidR="00EB0C76" w:rsidRPr="002954BB">
        <w:rPr>
          <w:rFonts w:ascii="Times New Roman" w:hAnsi="Times New Roman"/>
          <w:sz w:val="24"/>
          <w:szCs w:val="24"/>
        </w:rPr>
        <w:t>instantanée</w:t>
      </w:r>
      <w:r w:rsidR="004B2E0D" w:rsidRPr="002954BB">
        <w:rPr>
          <w:rFonts w:ascii="Times New Roman" w:hAnsi="Times New Roman"/>
          <w:sz w:val="24"/>
          <w:szCs w:val="24"/>
        </w:rPr>
        <w:t xml:space="preserve"> du moins rapide</w:t>
      </w:r>
      <w:r w:rsidR="00EB0C76" w:rsidRPr="002954BB">
        <w:rPr>
          <w:rFonts w:ascii="Times New Roman" w:hAnsi="Times New Roman"/>
          <w:sz w:val="24"/>
          <w:szCs w:val="24"/>
        </w:rPr>
        <w:t>, tandis qu’apparaissent avec les contrats de d</w:t>
      </w:r>
      <w:r w:rsidR="005026A8">
        <w:rPr>
          <w:rFonts w:ascii="Times New Roman" w:hAnsi="Times New Roman"/>
          <w:sz w:val="24"/>
          <w:szCs w:val="24"/>
        </w:rPr>
        <w:t>urée</w:t>
      </w:r>
      <w:r w:rsidR="00EB0C76" w:rsidRPr="002954BB">
        <w:rPr>
          <w:rFonts w:ascii="Times New Roman" w:hAnsi="Times New Roman"/>
          <w:sz w:val="24"/>
          <w:szCs w:val="24"/>
        </w:rPr>
        <w:t xml:space="preserve"> que sont les contrats de distribution, des notions </w:t>
      </w:r>
      <w:r w:rsidR="005026A8">
        <w:rPr>
          <w:rFonts w:ascii="Times New Roman" w:hAnsi="Times New Roman"/>
          <w:sz w:val="24"/>
          <w:szCs w:val="24"/>
        </w:rPr>
        <w:t xml:space="preserve">nouvelles, voire fuyantes, </w:t>
      </w:r>
      <w:r w:rsidR="00EB0C76" w:rsidRPr="002954BB">
        <w:rPr>
          <w:rFonts w:ascii="Times New Roman" w:hAnsi="Times New Roman"/>
          <w:sz w:val="24"/>
          <w:szCs w:val="24"/>
        </w:rPr>
        <w:t>comme celle d’intérêt à contracter</w:t>
      </w:r>
      <w:r w:rsidR="005026A8">
        <w:rPr>
          <w:rFonts w:ascii="Times New Roman" w:hAnsi="Times New Roman"/>
          <w:sz w:val="24"/>
          <w:szCs w:val="24"/>
        </w:rPr>
        <w:t xml:space="preserve">, notion fugace et appelée par nature à varier avec </w:t>
      </w:r>
      <w:r w:rsidR="00EB0C76" w:rsidRPr="002954BB">
        <w:rPr>
          <w:rFonts w:ascii="Times New Roman" w:hAnsi="Times New Roman"/>
          <w:sz w:val="24"/>
          <w:szCs w:val="24"/>
        </w:rPr>
        <w:t xml:space="preserve">le temps, de concurrence, de dépendance, </w:t>
      </w:r>
      <w:r w:rsidR="00DC1213">
        <w:rPr>
          <w:rFonts w:ascii="Times New Roman" w:hAnsi="Times New Roman"/>
          <w:sz w:val="24"/>
          <w:szCs w:val="24"/>
        </w:rPr>
        <w:t xml:space="preserve">de circulation, </w:t>
      </w:r>
      <w:r w:rsidR="00EB0C76" w:rsidRPr="002954BB">
        <w:rPr>
          <w:rFonts w:ascii="Times New Roman" w:hAnsi="Times New Roman"/>
          <w:sz w:val="24"/>
          <w:szCs w:val="24"/>
        </w:rPr>
        <w:t xml:space="preserve">d’abus, </w:t>
      </w:r>
      <w:r w:rsidR="00DC1213">
        <w:rPr>
          <w:rFonts w:ascii="Times New Roman" w:hAnsi="Times New Roman"/>
          <w:sz w:val="24"/>
          <w:szCs w:val="24"/>
        </w:rPr>
        <w:t xml:space="preserve">de rupture, </w:t>
      </w:r>
      <w:r w:rsidR="00EB0C76" w:rsidRPr="002954BB">
        <w:rPr>
          <w:rFonts w:ascii="Times New Roman" w:hAnsi="Times New Roman"/>
          <w:sz w:val="24"/>
          <w:szCs w:val="24"/>
        </w:rPr>
        <w:t>etc., inconnus du Code civil. La jurisprudence née de cette nouvelle interprétation des règles du droit civil des contrats s’est principalement fondée sur leur application aux contrats de distribution, alors même qu’aucune réglementation, ou presque, ne venait entraver le pouvoir d’interprétation du juge. La question des pouvoirs du juge sera posée ici</w:t>
      </w:r>
      <w:r w:rsidR="002954BB">
        <w:rPr>
          <w:rStyle w:val="Appelnotedebasdep"/>
          <w:rFonts w:ascii="Times New Roman" w:hAnsi="Times New Roman"/>
          <w:sz w:val="24"/>
          <w:szCs w:val="24"/>
        </w:rPr>
        <w:footnoteReference w:id="3"/>
      </w:r>
      <w:r w:rsidR="00EB0C76" w:rsidRPr="002954BB">
        <w:rPr>
          <w:rFonts w:ascii="Times New Roman" w:hAnsi="Times New Roman"/>
          <w:sz w:val="24"/>
          <w:szCs w:val="24"/>
        </w:rPr>
        <w:t xml:space="preserve"> cependant, non point comme base d’une réflexion de théorie du droit appliquée au droit de la distribution, mais au sens technique de cette impertinence judiciaire qui permettrait au juge, se libérant de sa condition de « serviteur », de créer des obligations non prévues dans un contrat, d’interpréter le contrat en fonction de ressorts différents des fondements moraux traditionnels du droit des contrats en empruntant les rives de l’analyse économique et de l’efficacité comme fondement</w:t>
      </w:r>
      <w:r w:rsidR="0021132A">
        <w:rPr>
          <w:rFonts w:ascii="Times New Roman" w:hAnsi="Times New Roman"/>
          <w:sz w:val="24"/>
          <w:szCs w:val="24"/>
        </w:rPr>
        <w:t>s</w:t>
      </w:r>
      <w:r w:rsidR="00EB0C76" w:rsidRPr="002954BB">
        <w:rPr>
          <w:rFonts w:ascii="Times New Roman" w:hAnsi="Times New Roman"/>
          <w:sz w:val="24"/>
          <w:szCs w:val="24"/>
        </w:rPr>
        <w:t xml:space="preserve"> qui l’accompagne</w:t>
      </w:r>
      <w:r w:rsidR="0021132A">
        <w:rPr>
          <w:rFonts w:ascii="Times New Roman" w:hAnsi="Times New Roman"/>
          <w:sz w:val="24"/>
          <w:szCs w:val="24"/>
        </w:rPr>
        <w:t>nt</w:t>
      </w:r>
      <w:r w:rsidR="00EB0C76" w:rsidRPr="002954BB">
        <w:rPr>
          <w:rFonts w:ascii="Times New Roman" w:hAnsi="Times New Roman"/>
          <w:sz w:val="24"/>
          <w:szCs w:val="24"/>
        </w:rPr>
        <w:t xml:space="preserve">, et enfin de neutraliser des obligations ou des effets, au nom d’un ordre public, soit faible (dit de protection) soit fort (dit de direction). </w:t>
      </w:r>
      <w:r w:rsidR="00DC1213">
        <w:rPr>
          <w:rFonts w:ascii="Times New Roman" w:hAnsi="Times New Roman"/>
          <w:sz w:val="24"/>
          <w:szCs w:val="24"/>
        </w:rPr>
        <w:t xml:space="preserve">Par ailleurs, de quel juge traite-on ? </w:t>
      </w:r>
      <w:r w:rsidR="00DC1213" w:rsidRPr="002954BB">
        <w:rPr>
          <w:rFonts w:ascii="Times New Roman" w:hAnsi="Times New Roman"/>
          <w:sz w:val="24"/>
          <w:szCs w:val="24"/>
        </w:rPr>
        <w:t>La</w:t>
      </w:r>
      <w:r w:rsidR="00DC1213">
        <w:rPr>
          <w:rFonts w:ascii="Times New Roman" w:hAnsi="Times New Roman"/>
          <w:sz w:val="24"/>
          <w:szCs w:val="24"/>
        </w:rPr>
        <w:t xml:space="preserve"> tradition processuelle française masque la figure « du » juge derrière la juridiction, à l’inverse de la tradition anglo-américaine notamment. Il reste que la</w:t>
      </w:r>
      <w:r w:rsidR="00DC1213" w:rsidRPr="002954BB">
        <w:rPr>
          <w:rFonts w:ascii="Times New Roman" w:hAnsi="Times New Roman"/>
          <w:sz w:val="24"/>
          <w:szCs w:val="24"/>
        </w:rPr>
        <w:t xml:space="preserve"> fonction du droit </w:t>
      </w:r>
      <w:r w:rsidR="00DC1213" w:rsidRPr="002954BB">
        <w:rPr>
          <w:rFonts w:ascii="Times New Roman" w:hAnsi="Times New Roman"/>
          <w:i/>
          <w:sz w:val="24"/>
          <w:szCs w:val="24"/>
        </w:rPr>
        <w:t>civil</w:t>
      </w:r>
      <w:r w:rsidR="00DC1213" w:rsidRPr="002954BB">
        <w:rPr>
          <w:rFonts w:ascii="Times New Roman" w:hAnsi="Times New Roman"/>
          <w:sz w:val="24"/>
          <w:szCs w:val="24"/>
        </w:rPr>
        <w:t xml:space="preserve"> des contrats ne doit pas tromper l’observateur</w:t>
      </w:r>
      <w:r w:rsidR="00DC1213">
        <w:rPr>
          <w:rFonts w:ascii="Times New Roman" w:hAnsi="Times New Roman"/>
          <w:sz w:val="24"/>
          <w:szCs w:val="24"/>
        </w:rPr>
        <w:t> </w:t>
      </w:r>
      <w:r w:rsidR="00DC1213" w:rsidRPr="002954BB">
        <w:rPr>
          <w:rFonts w:ascii="Times New Roman" w:hAnsi="Times New Roman"/>
          <w:sz w:val="24"/>
          <w:szCs w:val="24"/>
        </w:rPr>
        <w:t xml:space="preserve">: le juge naturel du droit des contrats (éventuellement d’affaires) est </w:t>
      </w:r>
      <w:r w:rsidR="00DC1213">
        <w:rPr>
          <w:rFonts w:ascii="Times New Roman" w:hAnsi="Times New Roman"/>
          <w:sz w:val="24"/>
          <w:szCs w:val="24"/>
        </w:rPr>
        <w:t xml:space="preserve">d’abord </w:t>
      </w:r>
      <w:r w:rsidR="00DC1213" w:rsidRPr="002954BB">
        <w:rPr>
          <w:rFonts w:ascii="Times New Roman" w:hAnsi="Times New Roman"/>
          <w:sz w:val="24"/>
          <w:szCs w:val="24"/>
        </w:rPr>
        <w:t>le tribunal de commerce</w:t>
      </w:r>
      <w:r w:rsidR="00DC1213">
        <w:rPr>
          <w:rFonts w:ascii="Times New Roman" w:hAnsi="Times New Roman"/>
          <w:sz w:val="24"/>
          <w:szCs w:val="24"/>
        </w:rPr>
        <w:t>, puis une Cour d’appel, et enfin la Cour de cassation</w:t>
      </w:r>
      <w:r w:rsidR="00DC1213" w:rsidRPr="002954BB">
        <w:rPr>
          <w:rFonts w:ascii="Times New Roman" w:hAnsi="Times New Roman"/>
          <w:sz w:val="24"/>
          <w:szCs w:val="24"/>
        </w:rPr>
        <w:t>.</w:t>
      </w:r>
      <w:r w:rsidR="00DC1213">
        <w:rPr>
          <w:rFonts w:ascii="Times New Roman" w:hAnsi="Times New Roman"/>
          <w:sz w:val="24"/>
          <w:szCs w:val="24"/>
        </w:rPr>
        <w:t xml:space="preserve"> Il est évident alors que les « pouvoirs du juge », en tant qu’ils intéressent des appréciations, souveraines, de situations factuelles, sont ceux des juges du fond, principalement, les pouvoirs du juge de cassation, en revanche, demeurant ceux qui sont les leurs en termes d’interprétation des règles du droit des contrats dont on peut parier qu’elles seront aussi novatrices, surprenantes parfois, qu’autrefois et feront le bonheur d’une nouvelle génération d’arrêtistes. </w:t>
      </w:r>
    </w:p>
    <w:p w:rsidR="00EF78E6" w:rsidRPr="002954BB" w:rsidRDefault="00EF78E6" w:rsidP="008B4212">
      <w:pPr>
        <w:spacing w:after="0" w:line="240" w:lineRule="auto"/>
        <w:jc w:val="both"/>
        <w:rPr>
          <w:rFonts w:ascii="Times New Roman" w:hAnsi="Times New Roman"/>
          <w:sz w:val="24"/>
          <w:szCs w:val="24"/>
        </w:rPr>
      </w:pPr>
    </w:p>
    <w:p w:rsidR="0010728A" w:rsidRPr="002954BB" w:rsidRDefault="00EB0C76" w:rsidP="008B4212">
      <w:pPr>
        <w:spacing w:after="0" w:line="240" w:lineRule="auto"/>
        <w:jc w:val="both"/>
        <w:rPr>
          <w:rFonts w:ascii="Times New Roman" w:hAnsi="Times New Roman"/>
          <w:sz w:val="24"/>
          <w:szCs w:val="24"/>
        </w:rPr>
      </w:pPr>
      <w:r w:rsidRPr="002954BB">
        <w:rPr>
          <w:rFonts w:ascii="Times New Roman" w:hAnsi="Times New Roman"/>
          <w:sz w:val="24"/>
          <w:szCs w:val="24"/>
        </w:rPr>
        <w:t>Le tableau ne serait pas complet si on n’ajoutait pas</w:t>
      </w:r>
      <w:r w:rsidR="00DC1213">
        <w:rPr>
          <w:rFonts w:ascii="Times New Roman" w:hAnsi="Times New Roman"/>
          <w:sz w:val="24"/>
          <w:szCs w:val="24"/>
        </w:rPr>
        <w:t>, aux règles du Code civil,</w:t>
      </w:r>
      <w:r w:rsidRPr="002954BB">
        <w:rPr>
          <w:rFonts w:ascii="Times New Roman" w:hAnsi="Times New Roman"/>
          <w:sz w:val="24"/>
          <w:szCs w:val="24"/>
        </w:rPr>
        <w:t xml:space="preserve"> les règles du Code de commerce consacrées aux contrats de distribution, outre les règles du droit de la concurrence des articles</w:t>
      </w:r>
      <w:r w:rsidR="006F0D22">
        <w:rPr>
          <w:rFonts w:ascii="Times New Roman" w:hAnsi="Times New Roman"/>
          <w:sz w:val="24"/>
          <w:szCs w:val="24"/>
        </w:rPr>
        <w:t> </w:t>
      </w:r>
      <w:r w:rsidRPr="002954BB">
        <w:rPr>
          <w:rFonts w:ascii="Times New Roman" w:hAnsi="Times New Roman"/>
          <w:sz w:val="24"/>
          <w:szCs w:val="24"/>
        </w:rPr>
        <w:t>L.</w:t>
      </w:r>
      <w:r w:rsidR="006F0D22">
        <w:rPr>
          <w:rFonts w:ascii="Times New Roman" w:hAnsi="Times New Roman"/>
          <w:sz w:val="24"/>
          <w:szCs w:val="24"/>
        </w:rPr>
        <w:t> </w:t>
      </w:r>
      <w:r w:rsidRPr="002954BB">
        <w:rPr>
          <w:rFonts w:ascii="Times New Roman" w:hAnsi="Times New Roman"/>
          <w:sz w:val="24"/>
          <w:szCs w:val="24"/>
        </w:rPr>
        <w:t xml:space="preserve">420-1 et </w:t>
      </w:r>
      <w:r w:rsidR="006F0D22">
        <w:rPr>
          <w:rFonts w:ascii="Times New Roman" w:hAnsi="Times New Roman"/>
          <w:sz w:val="24"/>
          <w:szCs w:val="24"/>
        </w:rPr>
        <w:t>L. 420-</w:t>
      </w:r>
      <w:r w:rsidRPr="002954BB">
        <w:rPr>
          <w:rFonts w:ascii="Times New Roman" w:hAnsi="Times New Roman"/>
          <w:sz w:val="24"/>
          <w:szCs w:val="24"/>
        </w:rPr>
        <w:t xml:space="preserve">2 du </w:t>
      </w:r>
      <w:r w:rsidR="000C3F18">
        <w:rPr>
          <w:rFonts w:ascii="Times New Roman" w:hAnsi="Times New Roman"/>
          <w:sz w:val="24"/>
          <w:szCs w:val="24"/>
        </w:rPr>
        <w:t>c</w:t>
      </w:r>
      <w:r w:rsidRPr="002954BB">
        <w:rPr>
          <w:rFonts w:ascii="Times New Roman" w:hAnsi="Times New Roman"/>
          <w:sz w:val="24"/>
          <w:szCs w:val="24"/>
        </w:rPr>
        <w:t>ode de commerce, soit directement et relatives aux clauses d’exclusivité (C.</w:t>
      </w:r>
      <w:r w:rsidR="006F0D22">
        <w:rPr>
          <w:rFonts w:ascii="Times New Roman" w:hAnsi="Times New Roman"/>
          <w:sz w:val="24"/>
          <w:szCs w:val="24"/>
        </w:rPr>
        <w:t> </w:t>
      </w:r>
      <w:r w:rsidRPr="002954BB">
        <w:rPr>
          <w:rFonts w:ascii="Times New Roman" w:hAnsi="Times New Roman"/>
          <w:sz w:val="24"/>
          <w:szCs w:val="24"/>
        </w:rPr>
        <w:t>com., art.</w:t>
      </w:r>
      <w:r w:rsidR="000C3F18">
        <w:rPr>
          <w:rFonts w:ascii="Times New Roman" w:hAnsi="Times New Roman"/>
          <w:sz w:val="24"/>
          <w:szCs w:val="24"/>
        </w:rPr>
        <w:t> </w:t>
      </w:r>
      <w:r w:rsidRPr="002954BB">
        <w:rPr>
          <w:rFonts w:ascii="Times New Roman" w:hAnsi="Times New Roman"/>
          <w:sz w:val="24"/>
          <w:szCs w:val="24"/>
        </w:rPr>
        <w:t>L.</w:t>
      </w:r>
      <w:r w:rsidR="000C3F18">
        <w:rPr>
          <w:rFonts w:ascii="Times New Roman" w:hAnsi="Times New Roman"/>
          <w:sz w:val="24"/>
          <w:szCs w:val="24"/>
        </w:rPr>
        <w:t> </w:t>
      </w:r>
      <w:r w:rsidRPr="002954BB">
        <w:rPr>
          <w:rFonts w:ascii="Times New Roman" w:hAnsi="Times New Roman"/>
          <w:sz w:val="24"/>
          <w:szCs w:val="24"/>
        </w:rPr>
        <w:t xml:space="preserve">330-1 et </w:t>
      </w:r>
      <w:r w:rsidR="007C65DF">
        <w:rPr>
          <w:rFonts w:ascii="Times New Roman" w:hAnsi="Times New Roman"/>
          <w:sz w:val="24"/>
          <w:szCs w:val="24"/>
        </w:rPr>
        <w:t>L. 330-</w:t>
      </w:r>
      <w:r w:rsidRPr="002954BB">
        <w:rPr>
          <w:rFonts w:ascii="Times New Roman" w:hAnsi="Times New Roman"/>
          <w:sz w:val="24"/>
          <w:szCs w:val="24"/>
        </w:rPr>
        <w:t xml:space="preserve">2), </w:t>
      </w:r>
      <w:r w:rsidRPr="002954BB">
        <w:rPr>
          <w:rFonts w:ascii="Times New Roman" w:hAnsi="Times New Roman"/>
          <w:sz w:val="24"/>
          <w:szCs w:val="24"/>
        </w:rPr>
        <w:lastRenderedPageBreak/>
        <w:t>aux devoirs précontractuels d’information (C.</w:t>
      </w:r>
      <w:r w:rsidR="006F0D22">
        <w:rPr>
          <w:rFonts w:ascii="Times New Roman" w:hAnsi="Times New Roman"/>
          <w:sz w:val="24"/>
          <w:szCs w:val="24"/>
        </w:rPr>
        <w:t> </w:t>
      </w:r>
      <w:r w:rsidRPr="002954BB">
        <w:rPr>
          <w:rFonts w:ascii="Times New Roman" w:hAnsi="Times New Roman"/>
          <w:sz w:val="24"/>
          <w:szCs w:val="24"/>
        </w:rPr>
        <w:t>com., art.</w:t>
      </w:r>
      <w:r w:rsidR="000C3F18">
        <w:rPr>
          <w:rFonts w:ascii="Times New Roman" w:hAnsi="Times New Roman"/>
          <w:sz w:val="24"/>
          <w:szCs w:val="24"/>
        </w:rPr>
        <w:t> </w:t>
      </w:r>
      <w:r w:rsidRPr="002954BB">
        <w:rPr>
          <w:rFonts w:ascii="Times New Roman" w:hAnsi="Times New Roman"/>
          <w:sz w:val="24"/>
          <w:szCs w:val="24"/>
        </w:rPr>
        <w:t>L.</w:t>
      </w:r>
      <w:r w:rsidR="000C3F18">
        <w:rPr>
          <w:rFonts w:ascii="Times New Roman" w:hAnsi="Times New Roman"/>
          <w:sz w:val="24"/>
          <w:szCs w:val="24"/>
        </w:rPr>
        <w:t> </w:t>
      </w:r>
      <w:r w:rsidRPr="002954BB">
        <w:rPr>
          <w:rFonts w:ascii="Times New Roman" w:hAnsi="Times New Roman"/>
          <w:sz w:val="24"/>
          <w:szCs w:val="24"/>
        </w:rPr>
        <w:t xml:space="preserve">330-3), aux </w:t>
      </w:r>
      <w:r w:rsidR="0021132A">
        <w:rPr>
          <w:rFonts w:ascii="Times New Roman" w:hAnsi="Times New Roman"/>
          <w:sz w:val="24"/>
          <w:szCs w:val="24"/>
        </w:rPr>
        <w:t xml:space="preserve">tout récemment consacrés </w:t>
      </w:r>
      <w:r w:rsidRPr="002954BB">
        <w:rPr>
          <w:rFonts w:ascii="Times New Roman" w:hAnsi="Times New Roman"/>
          <w:sz w:val="24"/>
          <w:szCs w:val="24"/>
        </w:rPr>
        <w:t>« réseaux de distribution commerciale » (C.</w:t>
      </w:r>
      <w:r w:rsidR="006F0D22">
        <w:rPr>
          <w:rFonts w:ascii="Times New Roman" w:hAnsi="Times New Roman"/>
          <w:sz w:val="24"/>
          <w:szCs w:val="24"/>
        </w:rPr>
        <w:t> </w:t>
      </w:r>
      <w:r w:rsidRPr="002954BB">
        <w:rPr>
          <w:rFonts w:ascii="Times New Roman" w:hAnsi="Times New Roman"/>
          <w:sz w:val="24"/>
          <w:szCs w:val="24"/>
        </w:rPr>
        <w:t>com., art.</w:t>
      </w:r>
      <w:r w:rsidR="000C3F18">
        <w:rPr>
          <w:rFonts w:ascii="Times New Roman" w:hAnsi="Times New Roman"/>
          <w:sz w:val="24"/>
          <w:szCs w:val="24"/>
        </w:rPr>
        <w:t> </w:t>
      </w:r>
      <w:r w:rsidRPr="002954BB">
        <w:rPr>
          <w:rFonts w:ascii="Times New Roman" w:hAnsi="Times New Roman"/>
          <w:sz w:val="24"/>
          <w:szCs w:val="24"/>
        </w:rPr>
        <w:t>L</w:t>
      </w:r>
      <w:r w:rsidR="000C3F18">
        <w:rPr>
          <w:rFonts w:ascii="Times New Roman" w:hAnsi="Times New Roman"/>
          <w:sz w:val="24"/>
          <w:szCs w:val="24"/>
        </w:rPr>
        <w:t>. </w:t>
      </w:r>
      <w:r w:rsidRPr="002954BB">
        <w:rPr>
          <w:rFonts w:ascii="Times New Roman" w:hAnsi="Times New Roman"/>
          <w:sz w:val="24"/>
          <w:szCs w:val="24"/>
        </w:rPr>
        <w:t xml:space="preserve">340-1 et </w:t>
      </w:r>
      <w:r w:rsidR="00A752F2">
        <w:rPr>
          <w:rFonts w:ascii="Times New Roman" w:hAnsi="Times New Roman"/>
          <w:sz w:val="24"/>
          <w:szCs w:val="24"/>
        </w:rPr>
        <w:t>L. 340-</w:t>
      </w:r>
      <w:r w:rsidRPr="002954BB">
        <w:rPr>
          <w:rFonts w:ascii="Times New Roman" w:hAnsi="Times New Roman"/>
          <w:sz w:val="24"/>
          <w:szCs w:val="24"/>
        </w:rPr>
        <w:t>2, ou indirectement</w:t>
      </w:r>
      <w:r w:rsidR="0010728A" w:rsidRPr="002954BB">
        <w:rPr>
          <w:rFonts w:ascii="Times New Roman" w:hAnsi="Times New Roman"/>
          <w:sz w:val="24"/>
          <w:szCs w:val="24"/>
        </w:rPr>
        <w:t>, au stade de la négociation (C.</w:t>
      </w:r>
      <w:r w:rsidR="006F0D22">
        <w:rPr>
          <w:rFonts w:ascii="Times New Roman" w:hAnsi="Times New Roman"/>
          <w:sz w:val="24"/>
          <w:szCs w:val="24"/>
        </w:rPr>
        <w:t> </w:t>
      </w:r>
      <w:r w:rsidR="0010728A" w:rsidRPr="002954BB">
        <w:rPr>
          <w:rFonts w:ascii="Times New Roman" w:hAnsi="Times New Roman"/>
          <w:sz w:val="24"/>
          <w:szCs w:val="24"/>
        </w:rPr>
        <w:t>com., art.</w:t>
      </w:r>
      <w:r w:rsidR="000C3F18">
        <w:rPr>
          <w:rFonts w:ascii="Times New Roman" w:hAnsi="Times New Roman"/>
          <w:sz w:val="24"/>
          <w:szCs w:val="24"/>
        </w:rPr>
        <w:t> </w:t>
      </w:r>
      <w:r w:rsidR="0010728A" w:rsidRPr="002954BB">
        <w:rPr>
          <w:rFonts w:ascii="Times New Roman" w:hAnsi="Times New Roman"/>
          <w:sz w:val="24"/>
          <w:szCs w:val="24"/>
        </w:rPr>
        <w:t>L.</w:t>
      </w:r>
      <w:r w:rsidR="000C3F18">
        <w:rPr>
          <w:rFonts w:ascii="Times New Roman" w:hAnsi="Times New Roman"/>
          <w:sz w:val="24"/>
          <w:szCs w:val="24"/>
        </w:rPr>
        <w:t> </w:t>
      </w:r>
      <w:r w:rsidR="0010728A" w:rsidRPr="002954BB">
        <w:rPr>
          <w:rFonts w:ascii="Times New Roman" w:hAnsi="Times New Roman"/>
          <w:sz w:val="24"/>
          <w:szCs w:val="24"/>
        </w:rPr>
        <w:t xml:space="preserve">441-6 </w:t>
      </w:r>
      <w:r w:rsidR="006F0D22">
        <w:rPr>
          <w:rFonts w:ascii="Times New Roman" w:hAnsi="Times New Roman"/>
          <w:sz w:val="24"/>
          <w:szCs w:val="24"/>
        </w:rPr>
        <w:t xml:space="preserve">et </w:t>
      </w:r>
      <w:r w:rsidR="0010728A" w:rsidRPr="002954BB">
        <w:rPr>
          <w:rFonts w:ascii="Times New Roman" w:hAnsi="Times New Roman"/>
          <w:sz w:val="24"/>
          <w:szCs w:val="24"/>
        </w:rPr>
        <w:t xml:space="preserve">s.) ou des « abus » </w:t>
      </w:r>
      <w:r w:rsidR="00774A69">
        <w:rPr>
          <w:rFonts w:ascii="Times New Roman" w:hAnsi="Times New Roman"/>
          <w:sz w:val="24"/>
          <w:szCs w:val="24"/>
        </w:rPr>
        <w:t xml:space="preserve">de toutes sortes </w:t>
      </w:r>
      <w:r w:rsidR="0010728A" w:rsidRPr="002954BB">
        <w:rPr>
          <w:rFonts w:ascii="Times New Roman" w:hAnsi="Times New Roman"/>
          <w:sz w:val="24"/>
          <w:szCs w:val="24"/>
        </w:rPr>
        <w:t>(C.</w:t>
      </w:r>
      <w:r w:rsidR="006F0D22">
        <w:rPr>
          <w:rFonts w:ascii="Times New Roman" w:hAnsi="Times New Roman"/>
          <w:sz w:val="24"/>
          <w:szCs w:val="24"/>
        </w:rPr>
        <w:t> </w:t>
      </w:r>
      <w:r w:rsidR="0010728A" w:rsidRPr="002954BB">
        <w:rPr>
          <w:rFonts w:ascii="Times New Roman" w:hAnsi="Times New Roman"/>
          <w:sz w:val="24"/>
          <w:szCs w:val="24"/>
        </w:rPr>
        <w:t>com., art.</w:t>
      </w:r>
      <w:r w:rsidR="000C3F18">
        <w:rPr>
          <w:rFonts w:ascii="Times New Roman" w:hAnsi="Times New Roman"/>
          <w:sz w:val="24"/>
          <w:szCs w:val="24"/>
        </w:rPr>
        <w:t> </w:t>
      </w:r>
      <w:r w:rsidR="0010728A" w:rsidRPr="002954BB">
        <w:rPr>
          <w:rFonts w:ascii="Times New Roman" w:hAnsi="Times New Roman"/>
          <w:sz w:val="24"/>
          <w:szCs w:val="24"/>
        </w:rPr>
        <w:t>L.</w:t>
      </w:r>
      <w:r w:rsidR="000C3F18">
        <w:rPr>
          <w:rFonts w:ascii="Times New Roman" w:hAnsi="Times New Roman"/>
          <w:sz w:val="24"/>
          <w:szCs w:val="24"/>
        </w:rPr>
        <w:t> </w:t>
      </w:r>
      <w:r w:rsidR="0010728A" w:rsidRPr="002954BB">
        <w:rPr>
          <w:rFonts w:ascii="Times New Roman" w:hAnsi="Times New Roman"/>
          <w:sz w:val="24"/>
          <w:szCs w:val="24"/>
        </w:rPr>
        <w:t>442-6, not. I</w:t>
      </w:r>
      <w:r w:rsidR="00582EC7">
        <w:rPr>
          <w:rFonts w:ascii="Times New Roman" w:hAnsi="Times New Roman"/>
          <w:sz w:val="24"/>
          <w:szCs w:val="24"/>
        </w:rPr>
        <w:t>,</w:t>
      </w:r>
      <w:r w:rsidR="0010728A" w:rsidRPr="002954BB">
        <w:rPr>
          <w:rFonts w:ascii="Times New Roman" w:hAnsi="Times New Roman"/>
          <w:sz w:val="24"/>
          <w:szCs w:val="24"/>
        </w:rPr>
        <w:t xml:space="preserve"> 2° et 5°)</w:t>
      </w:r>
      <w:r w:rsidR="00774A69">
        <w:rPr>
          <w:rFonts w:ascii="Times New Roman" w:hAnsi="Times New Roman"/>
          <w:sz w:val="24"/>
          <w:szCs w:val="24"/>
        </w:rPr>
        <w:t>, y compris à travers une série de clauses on contrats prohibés (</w:t>
      </w:r>
      <w:r w:rsidR="00774A69" w:rsidRPr="002954BB">
        <w:rPr>
          <w:rFonts w:ascii="Times New Roman" w:hAnsi="Times New Roman"/>
          <w:sz w:val="24"/>
          <w:szCs w:val="24"/>
        </w:rPr>
        <w:t>C.</w:t>
      </w:r>
      <w:r w:rsidR="00774A69">
        <w:rPr>
          <w:rFonts w:ascii="Times New Roman" w:hAnsi="Times New Roman"/>
          <w:sz w:val="24"/>
          <w:szCs w:val="24"/>
        </w:rPr>
        <w:t> </w:t>
      </w:r>
      <w:r w:rsidR="00774A69" w:rsidRPr="002954BB">
        <w:rPr>
          <w:rFonts w:ascii="Times New Roman" w:hAnsi="Times New Roman"/>
          <w:sz w:val="24"/>
          <w:szCs w:val="24"/>
        </w:rPr>
        <w:t>com., art.</w:t>
      </w:r>
      <w:r w:rsidR="00774A69">
        <w:rPr>
          <w:rFonts w:ascii="Times New Roman" w:hAnsi="Times New Roman"/>
          <w:sz w:val="24"/>
          <w:szCs w:val="24"/>
        </w:rPr>
        <w:t> </w:t>
      </w:r>
      <w:r w:rsidR="00774A69" w:rsidRPr="002954BB">
        <w:rPr>
          <w:rFonts w:ascii="Times New Roman" w:hAnsi="Times New Roman"/>
          <w:sz w:val="24"/>
          <w:szCs w:val="24"/>
        </w:rPr>
        <w:t>L.</w:t>
      </w:r>
      <w:r w:rsidR="00774A69">
        <w:rPr>
          <w:rFonts w:ascii="Times New Roman" w:hAnsi="Times New Roman"/>
          <w:sz w:val="24"/>
          <w:szCs w:val="24"/>
        </w:rPr>
        <w:t> 442-6, II) et la fameuse « action du ministre » (</w:t>
      </w:r>
      <w:r w:rsidR="00774A69" w:rsidRPr="002954BB">
        <w:rPr>
          <w:rFonts w:ascii="Times New Roman" w:hAnsi="Times New Roman"/>
          <w:sz w:val="24"/>
          <w:szCs w:val="24"/>
        </w:rPr>
        <w:t>C.</w:t>
      </w:r>
      <w:r w:rsidR="00774A69">
        <w:rPr>
          <w:rFonts w:ascii="Times New Roman" w:hAnsi="Times New Roman"/>
          <w:sz w:val="24"/>
          <w:szCs w:val="24"/>
        </w:rPr>
        <w:t> </w:t>
      </w:r>
      <w:r w:rsidR="00774A69" w:rsidRPr="002954BB">
        <w:rPr>
          <w:rFonts w:ascii="Times New Roman" w:hAnsi="Times New Roman"/>
          <w:sz w:val="24"/>
          <w:szCs w:val="24"/>
        </w:rPr>
        <w:t>com., art.</w:t>
      </w:r>
      <w:r w:rsidR="00774A69">
        <w:rPr>
          <w:rFonts w:ascii="Times New Roman" w:hAnsi="Times New Roman"/>
          <w:sz w:val="24"/>
          <w:szCs w:val="24"/>
        </w:rPr>
        <w:t> </w:t>
      </w:r>
      <w:r w:rsidR="00774A69" w:rsidRPr="002954BB">
        <w:rPr>
          <w:rFonts w:ascii="Times New Roman" w:hAnsi="Times New Roman"/>
          <w:sz w:val="24"/>
          <w:szCs w:val="24"/>
        </w:rPr>
        <w:t>L.</w:t>
      </w:r>
      <w:r w:rsidR="00774A69">
        <w:rPr>
          <w:rFonts w:ascii="Times New Roman" w:hAnsi="Times New Roman"/>
          <w:sz w:val="24"/>
          <w:szCs w:val="24"/>
        </w:rPr>
        <w:t> 442-6, III)</w:t>
      </w:r>
      <w:r w:rsidR="00774A69">
        <w:rPr>
          <w:rStyle w:val="Appelnotedebasdep"/>
          <w:rFonts w:ascii="Times New Roman" w:hAnsi="Times New Roman"/>
          <w:sz w:val="24"/>
          <w:szCs w:val="24"/>
        </w:rPr>
        <w:footnoteReference w:id="4"/>
      </w:r>
      <w:r w:rsidR="0010728A" w:rsidRPr="002954BB">
        <w:rPr>
          <w:rFonts w:ascii="Times New Roman" w:hAnsi="Times New Roman"/>
          <w:sz w:val="24"/>
          <w:szCs w:val="24"/>
        </w:rPr>
        <w:t>.</w:t>
      </w:r>
    </w:p>
    <w:p w:rsidR="0010728A" w:rsidRPr="002954BB" w:rsidRDefault="0010728A" w:rsidP="008B4212">
      <w:pPr>
        <w:spacing w:after="0" w:line="240" w:lineRule="auto"/>
        <w:jc w:val="both"/>
        <w:rPr>
          <w:rFonts w:ascii="Times New Roman" w:hAnsi="Times New Roman"/>
          <w:sz w:val="24"/>
          <w:szCs w:val="24"/>
        </w:rPr>
      </w:pPr>
    </w:p>
    <w:p w:rsidR="0010728A" w:rsidRPr="002954BB" w:rsidRDefault="0010728A" w:rsidP="008B4212">
      <w:pPr>
        <w:spacing w:after="0" w:line="240" w:lineRule="auto"/>
        <w:jc w:val="both"/>
        <w:rPr>
          <w:rFonts w:ascii="Times New Roman" w:hAnsi="Times New Roman"/>
          <w:sz w:val="24"/>
          <w:szCs w:val="24"/>
        </w:rPr>
      </w:pPr>
      <w:r w:rsidRPr="002954BB">
        <w:rPr>
          <w:rFonts w:ascii="Times New Roman" w:hAnsi="Times New Roman"/>
          <w:sz w:val="24"/>
          <w:szCs w:val="24"/>
        </w:rPr>
        <w:t xml:space="preserve">Deux remarques peuvent </w:t>
      </w:r>
      <w:r w:rsidR="00EF78E6" w:rsidRPr="002954BB">
        <w:rPr>
          <w:rFonts w:ascii="Times New Roman" w:hAnsi="Times New Roman"/>
          <w:sz w:val="24"/>
          <w:szCs w:val="24"/>
        </w:rPr>
        <w:t xml:space="preserve">encore </w:t>
      </w:r>
      <w:r w:rsidRPr="002954BB">
        <w:rPr>
          <w:rFonts w:ascii="Times New Roman" w:hAnsi="Times New Roman"/>
          <w:sz w:val="24"/>
          <w:szCs w:val="24"/>
        </w:rPr>
        <w:t>être ajoutées. La première concerne l’application future de l’article</w:t>
      </w:r>
      <w:r w:rsidR="006F0D22">
        <w:rPr>
          <w:rFonts w:ascii="Times New Roman" w:hAnsi="Times New Roman"/>
          <w:sz w:val="24"/>
          <w:szCs w:val="24"/>
        </w:rPr>
        <w:t> </w:t>
      </w:r>
      <w:r w:rsidRPr="002954BB">
        <w:rPr>
          <w:rFonts w:ascii="Times New Roman" w:hAnsi="Times New Roman"/>
          <w:sz w:val="24"/>
          <w:szCs w:val="24"/>
        </w:rPr>
        <w:t>1105 qui remplace et reprend, de manière plus large l’ex-article</w:t>
      </w:r>
      <w:r w:rsidR="0068054B">
        <w:rPr>
          <w:rFonts w:ascii="Times New Roman" w:hAnsi="Times New Roman"/>
          <w:sz w:val="24"/>
          <w:szCs w:val="24"/>
        </w:rPr>
        <w:t> </w:t>
      </w:r>
      <w:r w:rsidRPr="002954BB">
        <w:rPr>
          <w:rFonts w:ascii="Times New Roman" w:hAnsi="Times New Roman"/>
          <w:sz w:val="24"/>
          <w:szCs w:val="24"/>
        </w:rPr>
        <w:t>1107. Or, un regard un peu acéré pourrait faire observer que la question du déséquilibre significatif, envisagée dans l’article</w:t>
      </w:r>
      <w:r w:rsidR="006F0D22">
        <w:rPr>
          <w:rFonts w:ascii="Times New Roman" w:hAnsi="Times New Roman"/>
          <w:sz w:val="24"/>
          <w:szCs w:val="24"/>
        </w:rPr>
        <w:t> </w:t>
      </w:r>
      <w:r w:rsidRPr="002954BB">
        <w:rPr>
          <w:rFonts w:ascii="Times New Roman" w:hAnsi="Times New Roman"/>
          <w:sz w:val="24"/>
          <w:szCs w:val="24"/>
        </w:rPr>
        <w:t>L.</w:t>
      </w:r>
      <w:r w:rsidR="006F0D22">
        <w:rPr>
          <w:rFonts w:ascii="Times New Roman" w:hAnsi="Times New Roman"/>
          <w:sz w:val="24"/>
          <w:szCs w:val="24"/>
        </w:rPr>
        <w:t> </w:t>
      </w:r>
      <w:r w:rsidRPr="002954BB">
        <w:rPr>
          <w:rFonts w:ascii="Times New Roman" w:hAnsi="Times New Roman"/>
          <w:sz w:val="24"/>
          <w:szCs w:val="24"/>
        </w:rPr>
        <w:t>442-6, I, 2°</w:t>
      </w:r>
      <w:r w:rsidR="006F0D22">
        <w:rPr>
          <w:rFonts w:ascii="Times New Roman" w:hAnsi="Times New Roman"/>
          <w:sz w:val="24"/>
          <w:szCs w:val="24"/>
        </w:rPr>
        <w:t>,</w:t>
      </w:r>
      <w:r w:rsidRPr="002954BB">
        <w:rPr>
          <w:rFonts w:ascii="Times New Roman" w:hAnsi="Times New Roman"/>
          <w:sz w:val="24"/>
          <w:szCs w:val="24"/>
        </w:rPr>
        <w:t xml:space="preserve"> du </w:t>
      </w:r>
      <w:r w:rsidR="000C3F18">
        <w:rPr>
          <w:rFonts w:ascii="Times New Roman" w:hAnsi="Times New Roman"/>
          <w:sz w:val="24"/>
          <w:szCs w:val="24"/>
        </w:rPr>
        <w:t>c</w:t>
      </w:r>
      <w:r w:rsidRPr="002954BB">
        <w:rPr>
          <w:rFonts w:ascii="Times New Roman" w:hAnsi="Times New Roman"/>
          <w:sz w:val="24"/>
          <w:szCs w:val="24"/>
        </w:rPr>
        <w:t>ode de commerce, celle de la rupture brutale des relations commerciales établies (C.</w:t>
      </w:r>
      <w:r w:rsidR="00A752F2">
        <w:rPr>
          <w:rFonts w:ascii="Times New Roman" w:hAnsi="Times New Roman"/>
          <w:sz w:val="24"/>
          <w:szCs w:val="24"/>
        </w:rPr>
        <w:t> </w:t>
      </w:r>
      <w:r w:rsidRPr="002954BB">
        <w:rPr>
          <w:rFonts w:ascii="Times New Roman" w:hAnsi="Times New Roman"/>
          <w:sz w:val="24"/>
          <w:szCs w:val="24"/>
        </w:rPr>
        <w:t>com., art.</w:t>
      </w:r>
      <w:r w:rsidR="000C3F18">
        <w:rPr>
          <w:rFonts w:ascii="Times New Roman" w:hAnsi="Times New Roman"/>
          <w:sz w:val="24"/>
          <w:szCs w:val="24"/>
        </w:rPr>
        <w:t> </w:t>
      </w:r>
      <w:r w:rsidRPr="002954BB">
        <w:rPr>
          <w:rFonts w:ascii="Times New Roman" w:hAnsi="Times New Roman"/>
          <w:sz w:val="24"/>
          <w:szCs w:val="24"/>
        </w:rPr>
        <w:t>L.</w:t>
      </w:r>
      <w:r w:rsidR="000C3F18">
        <w:rPr>
          <w:rFonts w:ascii="Times New Roman" w:hAnsi="Times New Roman"/>
          <w:sz w:val="24"/>
          <w:szCs w:val="24"/>
        </w:rPr>
        <w:t> </w:t>
      </w:r>
      <w:r w:rsidRPr="002954BB">
        <w:rPr>
          <w:rFonts w:ascii="Times New Roman" w:hAnsi="Times New Roman"/>
          <w:sz w:val="24"/>
          <w:szCs w:val="24"/>
        </w:rPr>
        <w:t>442-6, I, 5°) ou encore aux clauses d’adaptation dans certains contrats en raison de changement de circonstances économiques (C.</w:t>
      </w:r>
      <w:r w:rsidR="00A752F2">
        <w:rPr>
          <w:rFonts w:ascii="Times New Roman" w:hAnsi="Times New Roman"/>
          <w:sz w:val="24"/>
          <w:szCs w:val="24"/>
        </w:rPr>
        <w:t> </w:t>
      </w:r>
      <w:r w:rsidRPr="002954BB">
        <w:rPr>
          <w:rFonts w:ascii="Times New Roman" w:hAnsi="Times New Roman"/>
          <w:sz w:val="24"/>
          <w:szCs w:val="24"/>
        </w:rPr>
        <w:t>com., art.</w:t>
      </w:r>
      <w:r w:rsidR="00A43D88">
        <w:rPr>
          <w:rFonts w:ascii="Times New Roman" w:hAnsi="Times New Roman"/>
          <w:sz w:val="24"/>
          <w:szCs w:val="24"/>
        </w:rPr>
        <w:t> </w:t>
      </w:r>
      <w:r w:rsidRPr="002954BB">
        <w:rPr>
          <w:rFonts w:ascii="Times New Roman" w:hAnsi="Times New Roman"/>
          <w:sz w:val="24"/>
          <w:szCs w:val="24"/>
        </w:rPr>
        <w:t>L.</w:t>
      </w:r>
      <w:r w:rsidR="00A43D88">
        <w:rPr>
          <w:rFonts w:ascii="Times New Roman" w:hAnsi="Times New Roman"/>
          <w:sz w:val="24"/>
          <w:szCs w:val="24"/>
        </w:rPr>
        <w:t> </w:t>
      </w:r>
      <w:r w:rsidRPr="002954BB">
        <w:rPr>
          <w:rFonts w:ascii="Times New Roman" w:hAnsi="Times New Roman"/>
          <w:sz w:val="24"/>
          <w:szCs w:val="24"/>
        </w:rPr>
        <w:t>441-8), jusqu’alors contenues à des situations particulières ou rencontrant de nombreux obstacles, processuels notamment, disposent désormais d’un fondement légal dans les règles du droit civil, commun, des contrats</w:t>
      </w:r>
      <w:r w:rsidR="0021132A">
        <w:rPr>
          <w:rFonts w:ascii="Times New Roman" w:hAnsi="Times New Roman"/>
          <w:sz w:val="24"/>
          <w:szCs w:val="24"/>
        </w:rPr>
        <w:t xml:space="preserve">, comme une petite revanche de la Chancellerie sur le </w:t>
      </w:r>
      <w:r w:rsidR="00E17318">
        <w:rPr>
          <w:rFonts w:ascii="Times New Roman" w:hAnsi="Times New Roman"/>
          <w:sz w:val="24"/>
          <w:szCs w:val="24"/>
        </w:rPr>
        <w:t>m</w:t>
      </w:r>
      <w:r w:rsidR="0021132A">
        <w:rPr>
          <w:rFonts w:ascii="Times New Roman" w:hAnsi="Times New Roman"/>
          <w:sz w:val="24"/>
          <w:szCs w:val="24"/>
        </w:rPr>
        <w:t>inistère de l’</w:t>
      </w:r>
      <w:r w:rsidR="00E17318">
        <w:rPr>
          <w:rFonts w:ascii="Times New Roman" w:hAnsi="Times New Roman"/>
          <w:sz w:val="24"/>
          <w:szCs w:val="24"/>
        </w:rPr>
        <w:t>É</w:t>
      </w:r>
      <w:r w:rsidR="0021132A">
        <w:rPr>
          <w:rFonts w:ascii="Times New Roman" w:hAnsi="Times New Roman"/>
          <w:sz w:val="24"/>
          <w:szCs w:val="24"/>
        </w:rPr>
        <w:t>conomie</w:t>
      </w:r>
      <w:r w:rsidRPr="002954BB">
        <w:rPr>
          <w:rFonts w:ascii="Times New Roman" w:hAnsi="Times New Roman"/>
          <w:sz w:val="24"/>
          <w:szCs w:val="24"/>
        </w:rPr>
        <w:t>. Une deuxième conce</w:t>
      </w:r>
      <w:r w:rsidR="00EF78E6" w:rsidRPr="002954BB">
        <w:rPr>
          <w:rFonts w:ascii="Times New Roman" w:hAnsi="Times New Roman"/>
          <w:sz w:val="24"/>
          <w:szCs w:val="24"/>
        </w:rPr>
        <w:t>rne</w:t>
      </w:r>
      <w:r w:rsidRPr="002954BB">
        <w:rPr>
          <w:rFonts w:ascii="Times New Roman" w:hAnsi="Times New Roman"/>
          <w:sz w:val="24"/>
          <w:szCs w:val="24"/>
        </w:rPr>
        <w:t xml:space="preserve"> une véritable révolution dans le </w:t>
      </w:r>
      <w:r w:rsidR="00AD3C6A">
        <w:rPr>
          <w:rFonts w:ascii="Times New Roman" w:hAnsi="Times New Roman"/>
          <w:sz w:val="24"/>
          <w:szCs w:val="24"/>
        </w:rPr>
        <w:t>C</w:t>
      </w:r>
      <w:r w:rsidRPr="002954BB">
        <w:rPr>
          <w:rFonts w:ascii="Times New Roman" w:hAnsi="Times New Roman"/>
          <w:sz w:val="24"/>
          <w:szCs w:val="24"/>
        </w:rPr>
        <w:t>ode civil</w:t>
      </w:r>
      <w:r w:rsidR="0021132A">
        <w:rPr>
          <w:rStyle w:val="Appelnotedebasdep"/>
          <w:rFonts w:ascii="Times New Roman" w:hAnsi="Times New Roman"/>
          <w:sz w:val="24"/>
          <w:szCs w:val="24"/>
        </w:rPr>
        <w:footnoteReference w:id="5"/>
      </w:r>
      <w:r w:rsidRPr="002954BB">
        <w:rPr>
          <w:rFonts w:ascii="Times New Roman" w:hAnsi="Times New Roman"/>
          <w:sz w:val="24"/>
          <w:szCs w:val="24"/>
        </w:rPr>
        <w:t>, à travers</w:t>
      </w:r>
      <w:r w:rsidR="00EF78E6" w:rsidRPr="002954BB">
        <w:rPr>
          <w:rFonts w:ascii="Times New Roman" w:hAnsi="Times New Roman"/>
          <w:sz w:val="24"/>
          <w:szCs w:val="24"/>
        </w:rPr>
        <w:t xml:space="preserve"> l’introduction des contrats d’adhésion, à l’article</w:t>
      </w:r>
      <w:r w:rsidR="006F0D22">
        <w:rPr>
          <w:rFonts w:ascii="Times New Roman" w:hAnsi="Times New Roman"/>
          <w:sz w:val="24"/>
          <w:szCs w:val="24"/>
        </w:rPr>
        <w:t> </w:t>
      </w:r>
      <w:r w:rsidR="00EF78E6" w:rsidRPr="002954BB">
        <w:rPr>
          <w:rFonts w:ascii="Times New Roman" w:hAnsi="Times New Roman"/>
          <w:sz w:val="24"/>
          <w:szCs w:val="24"/>
        </w:rPr>
        <w:t xml:space="preserve">1110 du </w:t>
      </w:r>
      <w:r w:rsidR="00A43D88">
        <w:rPr>
          <w:rFonts w:ascii="Times New Roman" w:hAnsi="Times New Roman"/>
          <w:sz w:val="24"/>
          <w:szCs w:val="24"/>
        </w:rPr>
        <w:t>c</w:t>
      </w:r>
      <w:r w:rsidR="00EF78E6" w:rsidRPr="002954BB">
        <w:rPr>
          <w:rFonts w:ascii="Times New Roman" w:hAnsi="Times New Roman"/>
          <w:sz w:val="24"/>
          <w:szCs w:val="24"/>
        </w:rPr>
        <w:t>ode civil, opposés aux contrats de gré à gré, alors même que la plupart des contrats de distribution peuvent être considérés comme des contrats d’adhésion, du moins en fonction d’une interprétation prévisible, quand bien même le texte de l’article</w:t>
      </w:r>
      <w:r w:rsidR="006F0D22">
        <w:rPr>
          <w:rFonts w:ascii="Times New Roman" w:hAnsi="Times New Roman"/>
          <w:sz w:val="24"/>
          <w:szCs w:val="24"/>
        </w:rPr>
        <w:t> </w:t>
      </w:r>
      <w:r w:rsidR="00EF78E6" w:rsidRPr="002954BB">
        <w:rPr>
          <w:rFonts w:ascii="Times New Roman" w:hAnsi="Times New Roman"/>
          <w:sz w:val="24"/>
          <w:szCs w:val="24"/>
        </w:rPr>
        <w:t>1110 ne serait pas très clair (</w:t>
      </w:r>
      <w:r w:rsidR="006F0D22">
        <w:rPr>
          <w:rFonts w:ascii="Times New Roman" w:hAnsi="Times New Roman"/>
          <w:sz w:val="24"/>
          <w:szCs w:val="24"/>
        </w:rPr>
        <w:t>voir</w:t>
      </w:r>
      <w:r w:rsidR="00EF78E6" w:rsidRPr="002954BB">
        <w:rPr>
          <w:rFonts w:ascii="Times New Roman" w:hAnsi="Times New Roman"/>
          <w:sz w:val="24"/>
          <w:szCs w:val="24"/>
        </w:rPr>
        <w:t xml:space="preserve"> </w:t>
      </w:r>
      <w:r w:rsidR="0029446F" w:rsidRPr="0029446F">
        <w:rPr>
          <w:rFonts w:ascii="Times New Roman" w:hAnsi="Times New Roman"/>
          <w:i/>
          <w:sz w:val="24"/>
          <w:szCs w:val="24"/>
        </w:rPr>
        <w:t>infra</w:t>
      </w:r>
      <w:r w:rsidR="00EF78E6" w:rsidRPr="002954BB">
        <w:rPr>
          <w:rFonts w:ascii="Times New Roman" w:hAnsi="Times New Roman"/>
          <w:sz w:val="24"/>
          <w:szCs w:val="24"/>
        </w:rPr>
        <w:t>).</w:t>
      </w:r>
    </w:p>
    <w:p w:rsidR="00EB0C76" w:rsidRPr="002954BB" w:rsidRDefault="00EB0C76" w:rsidP="008B4212">
      <w:pPr>
        <w:spacing w:after="0" w:line="240" w:lineRule="auto"/>
        <w:jc w:val="both"/>
        <w:rPr>
          <w:rFonts w:ascii="Times New Roman" w:hAnsi="Times New Roman"/>
          <w:sz w:val="24"/>
          <w:szCs w:val="24"/>
        </w:rPr>
      </w:pPr>
    </w:p>
    <w:p w:rsidR="00EF78E6" w:rsidRPr="002954BB" w:rsidRDefault="00EF78E6" w:rsidP="00EF78E6">
      <w:pPr>
        <w:spacing w:after="0" w:line="240" w:lineRule="auto"/>
        <w:jc w:val="both"/>
        <w:rPr>
          <w:rFonts w:ascii="Times New Roman" w:hAnsi="Times New Roman"/>
          <w:sz w:val="24"/>
          <w:szCs w:val="24"/>
        </w:rPr>
      </w:pPr>
      <w:r w:rsidRPr="002954BB">
        <w:rPr>
          <w:rFonts w:ascii="Times New Roman" w:hAnsi="Times New Roman"/>
          <w:sz w:val="24"/>
          <w:szCs w:val="24"/>
        </w:rPr>
        <w:t xml:space="preserve">On peut alors constater, à défaut de s’en réjouir ou de s’en offusquer, que l’ordonnance de 2016 consacre cette évolution, au-delà même des termes promis par le </w:t>
      </w:r>
      <w:r w:rsidR="00852343">
        <w:rPr>
          <w:rFonts w:ascii="Times New Roman" w:hAnsi="Times New Roman"/>
          <w:sz w:val="24"/>
          <w:szCs w:val="24"/>
        </w:rPr>
        <w:t>p</w:t>
      </w:r>
      <w:r w:rsidRPr="002954BB">
        <w:rPr>
          <w:rFonts w:ascii="Times New Roman" w:hAnsi="Times New Roman"/>
          <w:sz w:val="24"/>
          <w:szCs w:val="24"/>
        </w:rPr>
        <w:t>rojet d’ordonnance dévoilé en 2015, et d’ailleurs bien au-delà des questions touchant au seul contrôle du contenu du contrat, vers celles relatives à la révision pour imprévision (C.</w:t>
      </w:r>
      <w:r w:rsidR="006F0D22">
        <w:rPr>
          <w:rFonts w:ascii="Times New Roman" w:hAnsi="Times New Roman"/>
          <w:sz w:val="24"/>
          <w:szCs w:val="24"/>
        </w:rPr>
        <w:t> </w:t>
      </w:r>
      <w:r w:rsidRPr="002954BB">
        <w:rPr>
          <w:rFonts w:ascii="Times New Roman" w:hAnsi="Times New Roman"/>
          <w:sz w:val="24"/>
          <w:szCs w:val="24"/>
        </w:rPr>
        <w:t>civ., art.</w:t>
      </w:r>
      <w:r w:rsidR="00A43D88">
        <w:rPr>
          <w:rFonts w:ascii="Times New Roman" w:hAnsi="Times New Roman"/>
          <w:sz w:val="24"/>
          <w:szCs w:val="24"/>
        </w:rPr>
        <w:t> </w:t>
      </w:r>
      <w:r w:rsidRPr="002954BB">
        <w:rPr>
          <w:rFonts w:ascii="Times New Roman" w:hAnsi="Times New Roman"/>
          <w:sz w:val="24"/>
          <w:szCs w:val="24"/>
        </w:rPr>
        <w:t>1195) ou encore de l’exécution forcée des obligations (C.</w:t>
      </w:r>
      <w:r w:rsidR="006F0D22">
        <w:rPr>
          <w:rFonts w:ascii="Times New Roman" w:hAnsi="Times New Roman"/>
          <w:sz w:val="24"/>
          <w:szCs w:val="24"/>
        </w:rPr>
        <w:t> </w:t>
      </w:r>
      <w:r w:rsidRPr="002954BB">
        <w:rPr>
          <w:rFonts w:ascii="Times New Roman" w:hAnsi="Times New Roman"/>
          <w:sz w:val="24"/>
          <w:szCs w:val="24"/>
        </w:rPr>
        <w:t>civ., art.</w:t>
      </w:r>
      <w:r w:rsidR="00A43D88">
        <w:rPr>
          <w:rFonts w:ascii="Times New Roman" w:hAnsi="Times New Roman"/>
          <w:sz w:val="24"/>
          <w:szCs w:val="24"/>
        </w:rPr>
        <w:t> </w:t>
      </w:r>
      <w:r w:rsidRPr="002954BB">
        <w:rPr>
          <w:rFonts w:ascii="Times New Roman" w:hAnsi="Times New Roman"/>
          <w:sz w:val="24"/>
          <w:szCs w:val="24"/>
        </w:rPr>
        <w:t xml:space="preserve">1213, mais </w:t>
      </w:r>
      <w:r w:rsidR="0029446F" w:rsidRPr="0029446F">
        <w:rPr>
          <w:rFonts w:ascii="Times New Roman" w:hAnsi="Times New Roman"/>
          <w:i/>
          <w:sz w:val="24"/>
          <w:szCs w:val="24"/>
        </w:rPr>
        <w:t>quid</w:t>
      </w:r>
      <w:r w:rsidRPr="002954BB">
        <w:rPr>
          <w:rFonts w:ascii="Times New Roman" w:hAnsi="Times New Roman"/>
          <w:sz w:val="24"/>
          <w:szCs w:val="24"/>
        </w:rPr>
        <w:t xml:space="preserve"> de l’exé</w:t>
      </w:r>
      <w:r w:rsidR="00DD2DD8" w:rsidRPr="002954BB">
        <w:rPr>
          <w:rFonts w:ascii="Times New Roman" w:hAnsi="Times New Roman"/>
          <w:sz w:val="24"/>
          <w:szCs w:val="24"/>
        </w:rPr>
        <w:t>cution forcée des contrats ?). N</w:t>
      </w:r>
      <w:r w:rsidRPr="002954BB">
        <w:rPr>
          <w:rFonts w:ascii="Times New Roman" w:hAnsi="Times New Roman"/>
          <w:sz w:val="24"/>
          <w:szCs w:val="24"/>
        </w:rPr>
        <w:t xml:space="preserve">ous nous contenterons ici, des pouvoirs du juge dans le contrôle du contenu les contrats de distribution, sans doute, mais de quel juge ? Par conséquent et contrairement aux apparences, les pouvoirs du juge sont moins </w:t>
      </w:r>
      <w:r w:rsidRPr="002954BB">
        <w:rPr>
          <w:rFonts w:ascii="Times New Roman" w:hAnsi="Times New Roman"/>
          <w:i/>
          <w:sz w:val="24"/>
          <w:szCs w:val="24"/>
        </w:rPr>
        <w:t xml:space="preserve">innovants </w:t>
      </w:r>
      <w:r w:rsidRPr="002954BB">
        <w:rPr>
          <w:rFonts w:ascii="Times New Roman" w:hAnsi="Times New Roman"/>
          <w:sz w:val="24"/>
          <w:szCs w:val="24"/>
        </w:rPr>
        <w:t xml:space="preserve">que </w:t>
      </w:r>
      <w:r w:rsidRPr="002954BB">
        <w:rPr>
          <w:rFonts w:ascii="Times New Roman" w:hAnsi="Times New Roman"/>
          <w:i/>
          <w:sz w:val="24"/>
          <w:szCs w:val="24"/>
        </w:rPr>
        <w:t>consacrés</w:t>
      </w:r>
      <w:r w:rsidR="0021132A">
        <w:rPr>
          <w:rFonts w:ascii="Times New Roman" w:hAnsi="Times New Roman"/>
          <w:sz w:val="24"/>
          <w:szCs w:val="24"/>
        </w:rPr>
        <w:t>, à la fois dans l</w:t>
      </w:r>
      <w:r w:rsidR="00DD2DD8" w:rsidRPr="002954BB">
        <w:rPr>
          <w:rFonts w:ascii="Times New Roman" w:hAnsi="Times New Roman"/>
          <w:sz w:val="24"/>
          <w:szCs w:val="24"/>
        </w:rPr>
        <w:t>’</w:t>
      </w:r>
      <w:r w:rsidR="0021132A">
        <w:rPr>
          <w:rFonts w:ascii="Times New Roman" w:hAnsi="Times New Roman"/>
          <w:sz w:val="24"/>
          <w:szCs w:val="24"/>
        </w:rPr>
        <w:t>o</w:t>
      </w:r>
      <w:r w:rsidR="00DD2DD8" w:rsidRPr="002954BB">
        <w:rPr>
          <w:rFonts w:ascii="Times New Roman" w:hAnsi="Times New Roman"/>
          <w:sz w:val="24"/>
          <w:szCs w:val="24"/>
        </w:rPr>
        <w:t xml:space="preserve">bservation des pouvoirs de </w:t>
      </w:r>
      <w:r w:rsidR="00DD2DD8" w:rsidRPr="002954BB">
        <w:rPr>
          <w:rFonts w:ascii="Times New Roman" w:hAnsi="Times New Roman"/>
          <w:i/>
          <w:sz w:val="24"/>
          <w:szCs w:val="24"/>
        </w:rPr>
        <w:t xml:space="preserve">création </w:t>
      </w:r>
      <w:r w:rsidR="00DD2DD8" w:rsidRPr="002954BB">
        <w:rPr>
          <w:rFonts w:ascii="Times New Roman" w:hAnsi="Times New Roman"/>
          <w:sz w:val="24"/>
          <w:szCs w:val="24"/>
        </w:rPr>
        <w:t xml:space="preserve">(I) que de </w:t>
      </w:r>
      <w:r w:rsidR="00DD2DD8" w:rsidRPr="002954BB">
        <w:rPr>
          <w:rFonts w:ascii="Times New Roman" w:hAnsi="Times New Roman"/>
          <w:i/>
          <w:sz w:val="24"/>
          <w:szCs w:val="24"/>
        </w:rPr>
        <w:t xml:space="preserve">neutralisation </w:t>
      </w:r>
      <w:r w:rsidR="00DD2DD8" w:rsidRPr="002954BB">
        <w:rPr>
          <w:rFonts w:ascii="Times New Roman" w:hAnsi="Times New Roman"/>
          <w:sz w:val="24"/>
          <w:szCs w:val="24"/>
        </w:rPr>
        <w:t>(II) du juge.</w:t>
      </w:r>
    </w:p>
    <w:p w:rsidR="002B7431" w:rsidRPr="002954BB" w:rsidRDefault="002B7431" w:rsidP="00EF78E6">
      <w:pPr>
        <w:spacing w:after="0" w:line="240" w:lineRule="auto"/>
        <w:jc w:val="both"/>
        <w:rPr>
          <w:rFonts w:ascii="Times New Roman" w:hAnsi="Times New Roman"/>
          <w:sz w:val="24"/>
          <w:szCs w:val="24"/>
        </w:rPr>
      </w:pPr>
    </w:p>
    <w:p w:rsidR="00DD2DD8" w:rsidRPr="002954BB" w:rsidRDefault="00DD2DD8" w:rsidP="00DD2DD8">
      <w:pPr>
        <w:spacing w:after="0" w:line="240" w:lineRule="auto"/>
        <w:jc w:val="both"/>
        <w:rPr>
          <w:rFonts w:ascii="Times New Roman" w:hAnsi="Times New Roman"/>
          <w:b/>
          <w:sz w:val="24"/>
          <w:szCs w:val="24"/>
        </w:rPr>
      </w:pPr>
      <w:r w:rsidRPr="002954BB">
        <w:rPr>
          <w:rFonts w:ascii="Times New Roman" w:hAnsi="Times New Roman"/>
          <w:b/>
          <w:sz w:val="24"/>
          <w:szCs w:val="24"/>
        </w:rPr>
        <w:t>I.</w:t>
      </w:r>
      <w:r w:rsidR="006F0D22">
        <w:rPr>
          <w:rFonts w:ascii="Times New Roman" w:hAnsi="Times New Roman"/>
          <w:b/>
          <w:sz w:val="24"/>
          <w:szCs w:val="24"/>
        </w:rPr>
        <w:t> – </w:t>
      </w:r>
      <w:r w:rsidRPr="002954BB">
        <w:rPr>
          <w:rFonts w:ascii="Times New Roman" w:hAnsi="Times New Roman"/>
          <w:b/>
          <w:sz w:val="24"/>
          <w:szCs w:val="24"/>
        </w:rPr>
        <w:t>Le pouvoir de création du juge</w:t>
      </w:r>
    </w:p>
    <w:p w:rsidR="00DD2DD8" w:rsidRPr="002954BB" w:rsidRDefault="00DD2DD8" w:rsidP="00DD2DD8">
      <w:pPr>
        <w:spacing w:after="0" w:line="240" w:lineRule="auto"/>
        <w:jc w:val="both"/>
        <w:rPr>
          <w:rFonts w:ascii="Times New Roman" w:hAnsi="Times New Roman"/>
          <w:sz w:val="24"/>
          <w:szCs w:val="24"/>
        </w:rPr>
      </w:pPr>
    </w:p>
    <w:p w:rsidR="00DD2DD8" w:rsidRPr="002954BB" w:rsidRDefault="00DD2DD8" w:rsidP="00DD2DD8">
      <w:pPr>
        <w:spacing w:after="0" w:line="240" w:lineRule="auto"/>
        <w:jc w:val="both"/>
        <w:rPr>
          <w:rFonts w:ascii="Times New Roman" w:hAnsi="Times New Roman"/>
          <w:sz w:val="24"/>
          <w:szCs w:val="24"/>
        </w:rPr>
      </w:pPr>
      <w:r w:rsidRPr="002954BB">
        <w:rPr>
          <w:rFonts w:ascii="Times New Roman" w:hAnsi="Times New Roman"/>
          <w:sz w:val="24"/>
          <w:szCs w:val="24"/>
        </w:rPr>
        <w:t>Ce pouvoir de création, traditionnellement reconnus au juge, ou plus exactement « auto</w:t>
      </w:r>
      <w:r w:rsidR="00774A69">
        <w:rPr>
          <w:rFonts w:ascii="Times New Roman" w:hAnsi="Times New Roman"/>
          <w:sz w:val="24"/>
          <w:szCs w:val="24"/>
        </w:rPr>
        <w:t>-</w:t>
      </w:r>
      <w:r w:rsidRPr="002954BB">
        <w:rPr>
          <w:rFonts w:ascii="Times New Roman" w:hAnsi="Times New Roman"/>
          <w:sz w:val="24"/>
          <w:szCs w:val="24"/>
        </w:rPr>
        <w:t xml:space="preserve">reconnu » </w:t>
      </w:r>
      <w:r w:rsidRPr="002954BB">
        <w:rPr>
          <w:rFonts w:ascii="Times New Roman" w:hAnsi="Times New Roman"/>
          <w:i/>
          <w:sz w:val="24"/>
          <w:szCs w:val="24"/>
        </w:rPr>
        <w:t xml:space="preserve">par </w:t>
      </w:r>
      <w:r w:rsidRPr="002954BB">
        <w:rPr>
          <w:rFonts w:ascii="Times New Roman" w:hAnsi="Times New Roman"/>
          <w:sz w:val="24"/>
          <w:szCs w:val="24"/>
        </w:rPr>
        <w:t>le juge dans le cadre de son pouvoir général d’interprétation des normes juridiques, fait l’objet de dispositions spécifiques, à la fois spéciales s’agissant notamment de la détermination de la prestation ou du prix, et générales.</w:t>
      </w:r>
    </w:p>
    <w:p w:rsidR="00DD2DD8" w:rsidRPr="002954BB" w:rsidRDefault="00DD2DD8" w:rsidP="00DD2DD8">
      <w:pPr>
        <w:spacing w:after="0" w:line="240" w:lineRule="auto"/>
        <w:jc w:val="both"/>
        <w:rPr>
          <w:rFonts w:ascii="Times New Roman" w:hAnsi="Times New Roman"/>
          <w:sz w:val="24"/>
          <w:szCs w:val="24"/>
        </w:rPr>
      </w:pPr>
    </w:p>
    <w:p w:rsidR="00DD2DD8" w:rsidRPr="002954BB" w:rsidRDefault="00DD2DD8" w:rsidP="00DD2DD8">
      <w:pPr>
        <w:spacing w:after="0" w:line="240" w:lineRule="auto"/>
        <w:jc w:val="both"/>
        <w:rPr>
          <w:rFonts w:ascii="Times New Roman" w:hAnsi="Times New Roman"/>
          <w:b/>
          <w:sz w:val="24"/>
          <w:szCs w:val="24"/>
        </w:rPr>
      </w:pPr>
      <w:r w:rsidRPr="002954BB">
        <w:rPr>
          <w:rFonts w:ascii="Times New Roman" w:hAnsi="Times New Roman"/>
          <w:b/>
          <w:sz w:val="24"/>
          <w:szCs w:val="24"/>
        </w:rPr>
        <w:t>A.</w:t>
      </w:r>
      <w:r w:rsidR="006F0D22">
        <w:rPr>
          <w:rFonts w:ascii="Times New Roman" w:hAnsi="Times New Roman"/>
          <w:b/>
          <w:sz w:val="24"/>
          <w:szCs w:val="24"/>
        </w:rPr>
        <w:t> – </w:t>
      </w:r>
      <w:r w:rsidRPr="002954BB">
        <w:rPr>
          <w:rFonts w:ascii="Times New Roman" w:hAnsi="Times New Roman"/>
          <w:b/>
          <w:sz w:val="24"/>
          <w:szCs w:val="24"/>
        </w:rPr>
        <w:t>Les pouvoirs spéciaux de création du juge</w:t>
      </w:r>
    </w:p>
    <w:p w:rsidR="00DD2DD8" w:rsidRPr="002954BB" w:rsidRDefault="00DD2DD8" w:rsidP="00DD2DD8">
      <w:pPr>
        <w:spacing w:after="0" w:line="240" w:lineRule="auto"/>
        <w:jc w:val="both"/>
        <w:rPr>
          <w:rFonts w:ascii="Times New Roman" w:hAnsi="Times New Roman"/>
          <w:b/>
          <w:sz w:val="24"/>
          <w:szCs w:val="24"/>
        </w:rPr>
      </w:pPr>
    </w:p>
    <w:p w:rsidR="0029446F" w:rsidRPr="0029446F" w:rsidRDefault="0029446F" w:rsidP="0029446F">
      <w:pPr>
        <w:pStyle w:val="Paragraphedeliste"/>
        <w:numPr>
          <w:ilvl w:val="0"/>
          <w:numId w:val="4"/>
        </w:numPr>
        <w:spacing w:after="0" w:line="240" w:lineRule="auto"/>
        <w:jc w:val="both"/>
        <w:rPr>
          <w:rFonts w:ascii="Times New Roman" w:hAnsi="Times New Roman"/>
          <w:b/>
          <w:sz w:val="24"/>
          <w:szCs w:val="24"/>
        </w:rPr>
      </w:pPr>
      <w:r w:rsidRPr="0029446F">
        <w:rPr>
          <w:rFonts w:ascii="Times New Roman" w:hAnsi="Times New Roman"/>
          <w:b/>
          <w:sz w:val="24"/>
          <w:szCs w:val="24"/>
        </w:rPr>
        <w:t>La détermination de la prestation du contrat cadre</w:t>
      </w:r>
    </w:p>
    <w:p w:rsidR="00DD2DD8" w:rsidRPr="002954BB" w:rsidRDefault="00DD2DD8" w:rsidP="00DD2DD8">
      <w:pPr>
        <w:spacing w:after="0" w:line="240" w:lineRule="auto"/>
        <w:jc w:val="both"/>
        <w:rPr>
          <w:rFonts w:ascii="Times New Roman" w:hAnsi="Times New Roman"/>
          <w:b/>
          <w:sz w:val="24"/>
          <w:szCs w:val="24"/>
        </w:rPr>
      </w:pPr>
    </w:p>
    <w:p w:rsidR="00DD2DD8" w:rsidRPr="002954BB" w:rsidRDefault="00DD2DD8" w:rsidP="00DD2DD8">
      <w:pPr>
        <w:pStyle w:val="Style1"/>
        <w:numPr>
          <w:ilvl w:val="0"/>
          <w:numId w:val="0"/>
        </w:numPr>
        <w:jc w:val="both"/>
      </w:pPr>
      <w:r w:rsidRPr="002954BB">
        <w:t>L’article</w:t>
      </w:r>
      <w:r w:rsidR="003D689C">
        <w:t> </w:t>
      </w:r>
      <w:r w:rsidRPr="002954BB">
        <w:t>1163 concentre en un texte ramassé ce que le Code de 1804  formulait aux articles</w:t>
      </w:r>
      <w:r w:rsidR="003D689C">
        <w:t> </w:t>
      </w:r>
      <w:r w:rsidRPr="002954BB">
        <w:t>1126 à 1130 : le contrat peut avoir pour objet une « prestation » et non plus simplement une « chose » présente ou future, cette prestation doit être possible, déterminée ou déterminable, rendant grâce à l’idée de l’ex-article</w:t>
      </w:r>
      <w:r w:rsidR="003D689C">
        <w:t> </w:t>
      </w:r>
      <w:r w:rsidRPr="002954BB">
        <w:t>1127 selon laquelle l’objet doit être « certain ». Le dernier alinéa de l’article</w:t>
      </w:r>
      <w:r w:rsidR="003D689C">
        <w:t> </w:t>
      </w:r>
      <w:r w:rsidRPr="002954BB">
        <w:t xml:space="preserve">1163 propose toutefois une formule ambiguë : </w:t>
      </w:r>
      <w:r w:rsidRPr="002954BB">
        <w:rPr>
          <w:i/>
        </w:rPr>
        <w:t xml:space="preserve">« la prestation est déterminable lorsqu’elle peut être déduite du contrat ou par référence aux usages ou aux relations antérieures des parties, sans qu’un nouvel accord des parties soit nécessaire ». </w:t>
      </w:r>
      <w:r w:rsidRPr="002954BB">
        <w:t>On saisit bien l’intérêt de cette disposition dans des contrats usuels, lorsqu’il s’agit d’assurer la technique de détermination de l’objet ou de l’ouvrage prévu au contrat, de vente ou d’entreprise notamment. Dans les contrats-cadre en revanche, la situation est parfois plus complexe. Bien des contrats cadres en effet sont assez pauvres en obligations, de telle manière que le « contrat » en tant qu’il permettrait de déduire ces obligations, permet alors une forte implication du juge, à supposer qu’il le souhaite ou qu’il l’ose.</w:t>
      </w:r>
    </w:p>
    <w:p w:rsidR="00DD2DD8" w:rsidRPr="002954BB" w:rsidRDefault="00DD2DD8" w:rsidP="00DD2DD8">
      <w:pPr>
        <w:pStyle w:val="Style1"/>
        <w:numPr>
          <w:ilvl w:val="0"/>
          <w:numId w:val="0"/>
        </w:numPr>
        <w:jc w:val="both"/>
      </w:pPr>
    </w:p>
    <w:p w:rsidR="00DD2DD8" w:rsidRPr="002954BB" w:rsidRDefault="00DD2DD8" w:rsidP="00DD2DD8">
      <w:pPr>
        <w:pStyle w:val="Style1"/>
        <w:numPr>
          <w:ilvl w:val="0"/>
          <w:numId w:val="0"/>
        </w:numPr>
        <w:jc w:val="both"/>
      </w:pPr>
      <w:r w:rsidRPr="002954BB">
        <w:t xml:space="preserve">Par exemple, le « contrat de franchise » est un contrat bien connu des spécialistes du droit de la distribution, quoi que ce contrat ne fasse l’objet d’aucune disposition légale spécifique, sinon de manière indirecte dans le </w:t>
      </w:r>
      <w:r w:rsidR="00A43D88">
        <w:t>c</w:t>
      </w:r>
      <w:r w:rsidRPr="002954BB">
        <w:t>ode de commerce (C.</w:t>
      </w:r>
      <w:r w:rsidR="00504F84">
        <w:t> </w:t>
      </w:r>
      <w:r w:rsidRPr="002954BB">
        <w:t>com., art.</w:t>
      </w:r>
      <w:r w:rsidR="00A43D88">
        <w:t> </w:t>
      </w:r>
      <w:r w:rsidRPr="002954BB">
        <w:t>L.</w:t>
      </w:r>
      <w:r w:rsidR="00A43D88">
        <w:t> </w:t>
      </w:r>
      <w:r w:rsidRPr="002954BB">
        <w:t>330-3,</w:t>
      </w:r>
      <w:r w:rsidR="00A43D88">
        <w:t> </w:t>
      </w:r>
      <w:r w:rsidRPr="002954BB">
        <w:t>L.</w:t>
      </w:r>
      <w:r w:rsidR="00A43D88">
        <w:t> </w:t>
      </w:r>
      <w:r w:rsidRPr="002954BB">
        <w:t xml:space="preserve">340-1 et </w:t>
      </w:r>
      <w:r w:rsidR="00504F84">
        <w:t>L. 340-</w:t>
      </w:r>
      <w:r w:rsidRPr="002954BB">
        <w:t>2). Pourtant, tous les observateurs considèrent que le contrat de franchise comprend des « éléments » nécessaires, dont des obligations peuvent être déduites : un savoir-faire, des signes distinctifs et une assistance. Toutefois la pratique décisionnelle (étatique ou arbitrale) montre que l’intensité de ces éléments, et donc des obligations qui en découlent, est faible, en l’absence de renforcement dans le contrat lui-même : un savoir-faire consistant en une simple collection de produits par exemple suffit, pour autant qu’il ne soit pas immédiatement accessible, des signes distinctifs n’ont pas à faire l’objet d’une notoriété particulière, et l’exigence d’assistance se satisfait d’une présence minimale. Si la jurisprudence choisissait de « durcir » les exigences en la matière, elle pourrait identifier les exigences du « contrat » de franchise, au sens de l’article</w:t>
      </w:r>
      <w:r w:rsidR="00504F84">
        <w:t> </w:t>
      </w:r>
      <w:r w:rsidRPr="002954BB">
        <w:t>1163, avant d’en déduire les prestations objet des obligation</w:t>
      </w:r>
      <w:r w:rsidR="00635D2F">
        <w:t>s</w:t>
      </w:r>
      <w:r w:rsidRPr="002954BB">
        <w:t>, dans le sens de la protection des franchisés ou de la liberté des franchiseurs, au gré des politiques judiciaires choisies.</w:t>
      </w:r>
    </w:p>
    <w:p w:rsidR="003D29F9" w:rsidRPr="002954BB" w:rsidRDefault="003D29F9" w:rsidP="00DD2DD8">
      <w:pPr>
        <w:pStyle w:val="Style1"/>
        <w:numPr>
          <w:ilvl w:val="0"/>
          <w:numId w:val="0"/>
        </w:numPr>
        <w:jc w:val="both"/>
      </w:pPr>
    </w:p>
    <w:p w:rsidR="003D29F9" w:rsidRPr="002954BB" w:rsidRDefault="003D29F9" w:rsidP="00DD2DD8">
      <w:pPr>
        <w:pStyle w:val="Style1"/>
        <w:numPr>
          <w:ilvl w:val="0"/>
          <w:numId w:val="0"/>
        </w:numPr>
        <w:jc w:val="both"/>
      </w:pPr>
      <w:r w:rsidRPr="002954BB">
        <w:t>On peut également penser au contenu des contrats de concession dits aussi de distribution exclusive. Il n’est pas rare que ces contrats soient conclus sur des bases très simples, dans laquelle le territoire attribué au distributeur sans précision de la nature des obligations pesant sur le concédant sur ce territoire, de sorte que la reconnaissance d’une obligation d’exclusivité pesant sur ce dernier, qui semble consubstantielle à ce type de contrat aux observateurs</w:t>
      </w:r>
      <w:r w:rsidRPr="002954BB">
        <w:rPr>
          <w:rStyle w:val="Appelnotedebasdep"/>
        </w:rPr>
        <w:footnoteReference w:id="6"/>
      </w:r>
      <w:r w:rsidRPr="002954BB">
        <w:t xml:space="preserve"> ne l’est pas toujours pour les juges. Là encore une considération de la nature du contrat, permettrait au juge de déterminer ensuite les prestations inhérentes à ce contrat.</w:t>
      </w:r>
    </w:p>
    <w:p w:rsidR="00DD2DD8" w:rsidRPr="002954BB" w:rsidRDefault="00DD2DD8" w:rsidP="00DD2DD8">
      <w:pPr>
        <w:spacing w:after="0" w:line="240" w:lineRule="auto"/>
        <w:jc w:val="both"/>
        <w:rPr>
          <w:rFonts w:ascii="Times New Roman" w:hAnsi="Times New Roman"/>
          <w:b/>
          <w:sz w:val="24"/>
          <w:szCs w:val="24"/>
        </w:rPr>
      </w:pPr>
    </w:p>
    <w:p w:rsidR="0029446F" w:rsidRPr="0029446F" w:rsidRDefault="0029446F" w:rsidP="0029446F">
      <w:pPr>
        <w:pStyle w:val="Paragraphedeliste"/>
        <w:numPr>
          <w:ilvl w:val="0"/>
          <w:numId w:val="4"/>
        </w:numPr>
        <w:spacing w:after="0" w:line="240" w:lineRule="auto"/>
        <w:jc w:val="both"/>
        <w:rPr>
          <w:rFonts w:ascii="Times New Roman" w:hAnsi="Times New Roman"/>
          <w:b/>
          <w:sz w:val="24"/>
          <w:szCs w:val="24"/>
        </w:rPr>
      </w:pPr>
      <w:r w:rsidRPr="0029446F">
        <w:rPr>
          <w:rFonts w:ascii="Times New Roman" w:hAnsi="Times New Roman"/>
          <w:b/>
          <w:sz w:val="24"/>
          <w:szCs w:val="24"/>
        </w:rPr>
        <w:t>La détermination du prix des contrats cadres</w:t>
      </w:r>
    </w:p>
    <w:p w:rsidR="00DD2DD8" w:rsidRPr="002954BB" w:rsidRDefault="00DD2DD8" w:rsidP="00DD2DD8">
      <w:pPr>
        <w:pStyle w:val="Style1"/>
        <w:numPr>
          <w:ilvl w:val="0"/>
          <w:numId w:val="0"/>
        </w:numPr>
        <w:jc w:val="both"/>
      </w:pPr>
    </w:p>
    <w:p w:rsidR="00DD2DD8" w:rsidRPr="002954BB" w:rsidRDefault="003D29F9" w:rsidP="00DD2DD8">
      <w:pPr>
        <w:pStyle w:val="Style1"/>
        <w:numPr>
          <w:ilvl w:val="0"/>
          <w:numId w:val="0"/>
        </w:numPr>
        <w:jc w:val="both"/>
      </w:pPr>
      <w:r w:rsidRPr="002954BB">
        <w:t>Si l</w:t>
      </w:r>
      <w:r w:rsidR="00DD2DD8" w:rsidRPr="002954BB">
        <w:t>es articles</w:t>
      </w:r>
      <w:r w:rsidR="00504F84">
        <w:t> </w:t>
      </w:r>
      <w:r w:rsidR="00DD2DD8" w:rsidRPr="002954BB">
        <w:t xml:space="preserve">1165 et 1166 du </w:t>
      </w:r>
      <w:r w:rsidR="00A43D88">
        <w:t>c</w:t>
      </w:r>
      <w:r w:rsidR="00DD2DD8" w:rsidRPr="002954BB">
        <w:t>ode civil paraissent incongrus dans cette partie </w:t>
      </w:r>
      <w:r w:rsidR="00635D2F">
        <w:t>car</w:t>
      </w:r>
      <w:r w:rsidR="00DD2DD8" w:rsidRPr="002954BB">
        <w:t xml:space="preserve"> ils concernent </w:t>
      </w:r>
      <w:r w:rsidR="0029446F" w:rsidRPr="0029446F">
        <w:rPr>
          <w:i/>
        </w:rPr>
        <w:t>a priori</w:t>
      </w:r>
      <w:r w:rsidR="00DD2DD8" w:rsidRPr="002954BB">
        <w:t xml:space="preserve"> les règles relatives aux contra</w:t>
      </w:r>
      <w:r w:rsidRPr="002954BB">
        <w:t>t</w:t>
      </w:r>
      <w:r w:rsidR="00DD2DD8" w:rsidRPr="002954BB">
        <w:t>s spéciaux, les contrats d’entreprise</w:t>
      </w:r>
      <w:r w:rsidRPr="002954BB">
        <w:t xml:space="preserve"> </w:t>
      </w:r>
      <w:r w:rsidRPr="002954BB">
        <w:lastRenderedPageBreak/>
        <w:t xml:space="preserve">notamment, et quand bien même ils apportent des informations intéressantes, s’agissant par exemple de la question de la </w:t>
      </w:r>
      <w:r w:rsidR="00DD2DD8" w:rsidRPr="002954BB">
        <w:t>« qualité conforme aux attentes légitimes » des parties</w:t>
      </w:r>
      <w:r w:rsidRPr="002954BB">
        <w:rPr>
          <w:rStyle w:val="Appelnotedebasdep"/>
        </w:rPr>
        <w:footnoteReference w:id="7"/>
      </w:r>
      <w:r w:rsidRPr="002954BB">
        <w:t>, c’est surtout l’article</w:t>
      </w:r>
      <w:r w:rsidR="00504F84">
        <w:t> </w:t>
      </w:r>
      <w:r w:rsidRPr="002954BB">
        <w:t>1164 qui importe ici, en</w:t>
      </w:r>
      <w:r w:rsidR="00635D2F">
        <w:t xml:space="preserve"> tan</w:t>
      </w:r>
      <w:r w:rsidRPr="002954BB">
        <w:t>t</w:t>
      </w:r>
      <w:r w:rsidR="00635D2F">
        <w:t xml:space="preserve"> </w:t>
      </w:r>
      <w:r w:rsidRPr="002954BB">
        <w:t>q</w:t>
      </w:r>
      <w:r w:rsidR="00635D2F">
        <w:t>u</w:t>
      </w:r>
      <w:r w:rsidRPr="002954BB">
        <w:t>’il propose les techniques de détermination du prix dans les contrats cadres</w:t>
      </w:r>
      <w:r w:rsidR="00DD2DD8" w:rsidRPr="002954BB">
        <w:t>.</w:t>
      </w:r>
      <w:r w:rsidRPr="002954BB">
        <w:t xml:space="preserve"> Pourtant, l</w:t>
      </w:r>
      <w:r w:rsidR="00DD2DD8" w:rsidRPr="002954BB">
        <w:t>’article</w:t>
      </w:r>
      <w:r w:rsidR="00504F84">
        <w:t> </w:t>
      </w:r>
      <w:r w:rsidR="00DD2DD8" w:rsidRPr="002954BB">
        <w:t xml:space="preserve">1164 se borne, </w:t>
      </w:r>
      <w:r w:rsidR="0029446F" w:rsidRPr="0029446F">
        <w:rPr>
          <w:i/>
        </w:rPr>
        <w:t>a priori</w:t>
      </w:r>
      <w:r w:rsidR="00DD2DD8" w:rsidRPr="002954BB">
        <w:t xml:space="preserve">, à reprendre le contenu de la jurisprudence de 1995 qui a eu pour effet d’éteindre le contentieux considérable qui s’était développé depuis les années 1960 sur le fondement de l’indétermination du prix de ces contrats, notamment dans le secteur des contrats de distribution, </w:t>
      </w:r>
      <w:r w:rsidR="00635D2F">
        <w:t xml:space="preserve">ce </w:t>
      </w:r>
      <w:r w:rsidR="00DD2DD8" w:rsidRPr="002954BB">
        <w:t xml:space="preserve">qui illustre, d’ailleurs, le fait </w:t>
      </w:r>
      <w:r w:rsidR="007C23FD">
        <w:t xml:space="preserve">que </w:t>
      </w:r>
      <w:r w:rsidR="00DD2DD8" w:rsidRPr="002954BB">
        <w:t>le contentieux des contrats déséquilibrés ne trouvait pas, malgré la notion de cause, de fondement clair et assuré. Il n’y en a d’ailleurs toujours pas.</w:t>
      </w:r>
      <w:r w:rsidRPr="002954BB">
        <w:t xml:space="preserve"> </w:t>
      </w:r>
      <w:r w:rsidR="00DD2DD8" w:rsidRPr="002954BB">
        <w:t>Techniquement, l’article</w:t>
      </w:r>
      <w:r w:rsidR="00504F84">
        <w:t> </w:t>
      </w:r>
      <w:r w:rsidR="00DD2DD8" w:rsidRPr="002954BB">
        <w:t>1164 limite toutefois, apparemment, la portée de la jurisprudence de 1995 aux seuls contrats-cadres, où celle-ci se proposait pour tous les contrats.</w:t>
      </w:r>
    </w:p>
    <w:p w:rsidR="00DD2DD8" w:rsidRPr="002954BB" w:rsidRDefault="00DD2DD8" w:rsidP="00DD2DD8">
      <w:pPr>
        <w:pStyle w:val="Style1"/>
        <w:numPr>
          <w:ilvl w:val="0"/>
          <w:numId w:val="0"/>
        </w:numPr>
        <w:jc w:val="both"/>
      </w:pPr>
    </w:p>
    <w:p w:rsidR="00DD2DD8" w:rsidRPr="002954BB" w:rsidRDefault="00DD2DD8" w:rsidP="003D29F9">
      <w:pPr>
        <w:pStyle w:val="Style1"/>
        <w:numPr>
          <w:ilvl w:val="0"/>
          <w:numId w:val="0"/>
        </w:numPr>
        <w:jc w:val="both"/>
      </w:pPr>
      <w:r w:rsidRPr="002954BB">
        <w:t>Surtout, il impose une exigence nouvelle et originale de procéduralisation de la détermination du prix. Ainsi, la fixation unilatérale du prix dans les contrats cadre</w:t>
      </w:r>
      <w:r w:rsidR="00635D2F">
        <w:t>s</w:t>
      </w:r>
      <w:r w:rsidRPr="002954BB">
        <w:t xml:space="preserve">, n’est plus un simple constat du fonctionnement de ces contrats : la fixation unilatérale </w:t>
      </w:r>
      <w:r w:rsidRPr="002954BB">
        <w:rPr>
          <w:i/>
        </w:rPr>
        <w:t>« peut être convenue »</w:t>
      </w:r>
      <w:r w:rsidRPr="002954BB">
        <w:t>. Si elle ne l’est point, par exemple parce que les parties n’ont pas inséré une clause de « prix c</w:t>
      </w:r>
      <w:r w:rsidR="00635D2F">
        <w:t>atalogue », que se passera-t-il</w:t>
      </w:r>
      <w:r w:rsidRPr="002954BB">
        <w:t xml:space="preserve"> cependant ? Le contrat sera-t-il </w:t>
      </w:r>
      <w:r w:rsidR="00635D2F">
        <w:t xml:space="preserve">annulable </w:t>
      </w:r>
      <w:r w:rsidRPr="002954BB">
        <w:t xml:space="preserve">pour absence de prix ? Ce serait très surprenant. Disons que cette convention peut être expresse ou implicite. </w:t>
      </w:r>
    </w:p>
    <w:p w:rsidR="00DD2DD8" w:rsidRPr="002954BB" w:rsidRDefault="00DD2DD8" w:rsidP="00DD2DD8">
      <w:pPr>
        <w:pStyle w:val="Style1"/>
        <w:numPr>
          <w:ilvl w:val="0"/>
          <w:numId w:val="0"/>
        </w:numPr>
        <w:jc w:val="both"/>
      </w:pPr>
    </w:p>
    <w:p w:rsidR="00DD2DD8" w:rsidRPr="002954BB" w:rsidRDefault="003D29F9" w:rsidP="00DD2DD8">
      <w:pPr>
        <w:pStyle w:val="Style1"/>
        <w:numPr>
          <w:ilvl w:val="0"/>
          <w:numId w:val="0"/>
        </w:numPr>
        <w:jc w:val="both"/>
      </w:pPr>
      <w:r w:rsidRPr="002954BB">
        <w:t xml:space="preserve">En outre </w:t>
      </w:r>
      <w:r w:rsidR="00DD2DD8" w:rsidRPr="002954BB">
        <w:t>la fixation unilatérale (et non la seule hausse d’un prix) du prix doit être motivée, en cas de contestation, et ne doutons pas qu’il y aura des contestations. L’article</w:t>
      </w:r>
      <w:r w:rsidR="00504F84">
        <w:t> </w:t>
      </w:r>
      <w:r w:rsidR="00DD2DD8" w:rsidRPr="002954BB">
        <w:t>1164 offre alors un complément utile et inattendu au dispositif de l’article</w:t>
      </w:r>
      <w:r w:rsidR="00504F84">
        <w:t> </w:t>
      </w:r>
      <w:r w:rsidR="00DD2DD8" w:rsidRPr="002954BB">
        <w:t xml:space="preserve">1195 sur le contrôle de l’imprévision. En effet, la hausse de prix imposée unilatéralement par l’une des parties, le fournisseur, doit simplement être motivée. Outre l’hommage aux (vaines) tentatives doctrinales du solidarisme contractuel qui trouvent là une étonnante consécration, même si la sanction de l’absence de motivation n’est pas le pouvoir de révision offert au juge comme cela apparaissait de manière opportune dans le projet de 2015, mais dans l’allocation de dommages et intérêts ou  la résolution du contrat. </w:t>
      </w:r>
      <w:r w:rsidR="00504F84">
        <w:t>À</w:t>
      </w:r>
      <w:r w:rsidR="00DD2DD8" w:rsidRPr="002954BB">
        <w:t xml:space="preserve"> moins que le distributeur n’use de sa faculté de demander la révision du prix.</w:t>
      </w:r>
    </w:p>
    <w:p w:rsidR="00DD2DD8" w:rsidRPr="002954BB" w:rsidRDefault="00DD2DD8" w:rsidP="00DD2DD8">
      <w:pPr>
        <w:pStyle w:val="Style1"/>
        <w:numPr>
          <w:ilvl w:val="0"/>
          <w:numId w:val="0"/>
        </w:numPr>
        <w:jc w:val="both"/>
        <w:rPr>
          <w:b/>
          <w:i/>
          <w:color w:val="1F497D" w:themeColor="text2"/>
        </w:rPr>
      </w:pPr>
    </w:p>
    <w:p w:rsidR="00DD2DD8" w:rsidRPr="002954BB" w:rsidRDefault="003D29F9" w:rsidP="003D29F9">
      <w:pPr>
        <w:pStyle w:val="Style1"/>
        <w:numPr>
          <w:ilvl w:val="0"/>
          <w:numId w:val="0"/>
        </w:numPr>
        <w:jc w:val="both"/>
        <w:rPr>
          <w:b/>
        </w:rPr>
      </w:pPr>
      <w:r w:rsidRPr="002954BB">
        <w:rPr>
          <w:b/>
        </w:rPr>
        <w:t>B.</w:t>
      </w:r>
      <w:r w:rsidR="006F0D22">
        <w:rPr>
          <w:b/>
        </w:rPr>
        <w:t> – </w:t>
      </w:r>
      <w:r w:rsidRPr="002954BB">
        <w:rPr>
          <w:b/>
        </w:rPr>
        <w:t>Les pouvoirs généraux de création du juge</w:t>
      </w:r>
      <w:r w:rsidR="00DD2DD8" w:rsidRPr="002954BB">
        <w:rPr>
          <w:b/>
        </w:rPr>
        <w:t xml:space="preserve"> </w:t>
      </w:r>
    </w:p>
    <w:p w:rsidR="00DD2DD8" w:rsidRPr="002954BB" w:rsidRDefault="00DD2DD8" w:rsidP="00DD2DD8">
      <w:pPr>
        <w:spacing w:after="0" w:line="240" w:lineRule="auto"/>
        <w:jc w:val="both"/>
        <w:rPr>
          <w:rFonts w:ascii="Times New Roman" w:hAnsi="Times New Roman"/>
          <w:sz w:val="24"/>
          <w:szCs w:val="24"/>
        </w:rPr>
      </w:pPr>
    </w:p>
    <w:p w:rsidR="003D29F9" w:rsidRPr="002954BB" w:rsidRDefault="007C718D" w:rsidP="00DD2DD8">
      <w:pPr>
        <w:spacing w:after="0" w:line="240" w:lineRule="auto"/>
        <w:jc w:val="both"/>
        <w:rPr>
          <w:rFonts w:ascii="Times New Roman" w:hAnsi="Times New Roman"/>
          <w:sz w:val="24"/>
          <w:szCs w:val="24"/>
        </w:rPr>
      </w:pPr>
      <w:r w:rsidRPr="002954BB">
        <w:rPr>
          <w:rFonts w:ascii="Times New Roman" w:hAnsi="Times New Roman"/>
          <w:sz w:val="24"/>
          <w:szCs w:val="24"/>
        </w:rPr>
        <w:t>Inutile de s’étendre sur ce point particulièrement étudié, sinon pour envisager deux questions, à savoir la question de savoir si, d’une part, la réforme entretient ou retient la question de l’exigence de la bonne foi dans les contrats et d’autre part si « l’abandon de la cause » par la réforme est une réalité. Il est inutile, en effet, de rappeler que la question de la bonne foi dans les contrats, ou de la cause, participent d’une</w:t>
      </w:r>
      <w:r w:rsidR="000E5F56" w:rsidRPr="002954BB">
        <w:rPr>
          <w:rFonts w:ascii="Times New Roman" w:hAnsi="Times New Roman"/>
          <w:sz w:val="24"/>
          <w:szCs w:val="24"/>
        </w:rPr>
        <w:t xml:space="preserve"> considération, faible ou forte, de la « morale » ou de la « justice » contractuelles, inhérentes ou à rejeter par la juge, notamment dans les contrats de distribution</w:t>
      </w:r>
      <w:r w:rsidR="008673DA" w:rsidRPr="002954BB">
        <w:rPr>
          <w:rStyle w:val="Appelnotedebasdep"/>
          <w:rFonts w:ascii="Times New Roman" w:hAnsi="Times New Roman"/>
          <w:sz w:val="24"/>
          <w:szCs w:val="24"/>
        </w:rPr>
        <w:footnoteReference w:id="8"/>
      </w:r>
      <w:r w:rsidR="000E5F56" w:rsidRPr="002954BB">
        <w:rPr>
          <w:rFonts w:ascii="Times New Roman" w:hAnsi="Times New Roman"/>
          <w:sz w:val="24"/>
          <w:szCs w:val="24"/>
        </w:rPr>
        <w:t xml:space="preserve">. </w:t>
      </w:r>
    </w:p>
    <w:p w:rsidR="001E53AD" w:rsidRPr="002954BB" w:rsidRDefault="001E53AD" w:rsidP="00DD2DD8">
      <w:pPr>
        <w:spacing w:after="0" w:line="240" w:lineRule="auto"/>
        <w:jc w:val="both"/>
        <w:rPr>
          <w:rFonts w:ascii="Times New Roman" w:hAnsi="Times New Roman"/>
          <w:sz w:val="24"/>
          <w:szCs w:val="24"/>
        </w:rPr>
      </w:pPr>
    </w:p>
    <w:p w:rsidR="001E53AD" w:rsidRPr="002954BB" w:rsidRDefault="001E53AD" w:rsidP="000356AE">
      <w:pPr>
        <w:spacing w:after="0" w:line="240" w:lineRule="auto"/>
        <w:jc w:val="both"/>
        <w:rPr>
          <w:rFonts w:ascii="Times New Roman" w:hAnsi="Times New Roman"/>
          <w:sz w:val="24"/>
          <w:szCs w:val="24"/>
        </w:rPr>
      </w:pPr>
      <w:r w:rsidRPr="002954BB">
        <w:rPr>
          <w:rFonts w:ascii="Times New Roman" w:hAnsi="Times New Roman"/>
          <w:sz w:val="24"/>
          <w:szCs w:val="24"/>
        </w:rPr>
        <w:lastRenderedPageBreak/>
        <w:t xml:space="preserve">Sur le premier point, la réforme du droit des contrats semble maintenir le </w:t>
      </w:r>
      <w:r w:rsidRPr="002954BB">
        <w:rPr>
          <w:rFonts w:ascii="Times New Roman" w:hAnsi="Times New Roman"/>
          <w:i/>
          <w:sz w:val="24"/>
          <w:szCs w:val="24"/>
        </w:rPr>
        <w:t>statu quo </w:t>
      </w:r>
      <w:r w:rsidRPr="002954BB">
        <w:rPr>
          <w:rFonts w:ascii="Times New Roman" w:hAnsi="Times New Roman"/>
          <w:sz w:val="24"/>
          <w:szCs w:val="24"/>
        </w:rPr>
        <w:t>:</w:t>
      </w:r>
      <w:r w:rsidR="000356AE" w:rsidRPr="002954BB">
        <w:rPr>
          <w:rFonts w:ascii="Times New Roman" w:hAnsi="Times New Roman"/>
          <w:sz w:val="24"/>
          <w:szCs w:val="24"/>
        </w:rPr>
        <w:t xml:space="preserve"> le dépeçage de l’ex-article</w:t>
      </w:r>
      <w:r w:rsidR="00504F84">
        <w:rPr>
          <w:rFonts w:ascii="Times New Roman" w:hAnsi="Times New Roman"/>
          <w:sz w:val="24"/>
          <w:szCs w:val="24"/>
        </w:rPr>
        <w:t> </w:t>
      </w:r>
      <w:r w:rsidR="000356AE" w:rsidRPr="002954BB">
        <w:rPr>
          <w:rFonts w:ascii="Times New Roman" w:hAnsi="Times New Roman"/>
          <w:sz w:val="24"/>
          <w:szCs w:val="24"/>
        </w:rPr>
        <w:t xml:space="preserve">1134 du </w:t>
      </w:r>
      <w:r w:rsidR="007C23FD">
        <w:rPr>
          <w:rFonts w:ascii="Times New Roman" w:hAnsi="Times New Roman"/>
          <w:sz w:val="24"/>
          <w:szCs w:val="24"/>
        </w:rPr>
        <w:t>c</w:t>
      </w:r>
      <w:r w:rsidR="000356AE" w:rsidRPr="002954BB">
        <w:rPr>
          <w:rFonts w:ascii="Times New Roman" w:hAnsi="Times New Roman"/>
          <w:sz w:val="24"/>
          <w:szCs w:val="24"/>
        </w:rPr>
        <w:t>ode civil tel qu’il était prévu dans le projet de loi, qui séparait l’ex-alinéa trois de l’article</w:t>
      </w:r>
      <w:r w:rsidR="00504F84">
        <w:rPr>
          <w:rFonts w:ascii="Times New Roman" w:hAnsi="Times New Roman"/>
          <w:sz w:val="24"/>
          <w:szCs w:val="24"/>
        </w:rPr>
        <w:t> </w:t>
      </w:r>
      <w:r w:rsidR="000356AE" w:rsidRPr="002954BB">
        <w:rPr>
          <w:rFonts w:ascii="Times New Roman" w:hAnsi="Times New Roman"/>
          <w:sz w:val="24"/>
          <w:szCs w:val="24"/>
        </w:rPr>
        <w:t>1134 des deux premiers, s’opère finalement à l’envers. Les articles</w:t>
      </w:r>
      <w:r w:rsidR="00504F84">
        <w:rPr>
          <w:rFonts w:ascii="Times New Roman" w:hAnsi="Times New Roman"/>
          <w:sz w:val="24"/>
          <w:szCs w:val="24"/>
        </w:rPr>
        <w:t> </w:t>
      </w:r>
      <w:r w:rsidR="000356AE" w:rsidRPr="002954BB">
        <w:rPr>
          <w:rFonts w:ascii="Times New Roman" w:hAnsi="Times New Roman"/>
          <w:sz w:val="24"/>
          <w:szCs w:val="24"/>
        </w:rPr>
        <w:t>1103 et 1104 reprennent à l’identique le</w:t>
      </w:r>
      <w:r w:rsidR="00635D2F">
        <w:rPr>
          <w:rFonts w:ascii="Times New Roman" w:hAnsi="Times New Roman"/>
          <w:sz w:val="24"/>
          <w:szCs w:val="24"/>
        </w:rPr>
        <w:t>s</w:t>
      </w:r>
      <w:r w:rsidR="000356AE" w:rsidRPr="002954BB">
        <w:rPr>
          <w:rFonts w:ascii="Times New Roman" w:hAnsi="Times New Roman"/>
          <w:sz w:val="24"/>
          <w:szCs w:val="24"/>
        </w:rPr>
        <w:t xml:space="preserve"> premier</w:t>
      </w:r>
      <w:r w:rsidR="00635D2F">
        <w:rPr>
          <w:rFonts w:ascii="Times New Roman" w:hAnsi="Times New Roman"/>
          <w:sz w:val="24"/>
          <w:szCs w:val="24"/>
        </w:rPr>
        <w:t xml:space="preserve"> et</w:t>
      </w:r>
      <w:r w:rsidR="000356AE" w:rsidRPr="002954BB">
        <w:rPr>
          <w:rFonts w:ascii="Times New Roman" w:hAnsi="Times New Roman"/>
          <w:sz w:val="24"/>
          <w:szCs w:val="24"/>
        </w:rPr>
        <w:t xml:space="preserve"> troisième  alinéas de l’ex-article</w:t>
      </w:r>
      <w:r w:rsidR="00504F84">
        <w:rPr>
          <w:rFonts w:ascii="Times New Roman" w:hAnsi="Times New Roman"/>
          <w:sz w:val="24"/>
          <w:szCs w:val="24"/>
        </w:rPr>
        <w:t> </w:t>
      </w:r>
      <w:r w:rsidR="000356AE" w:rsidRPr="002954BB">
        <w:rPr>
          <w:rFonts w:ascii="Times New Roman" w:hAnsi="Times New Roman"/>
          <w:sz w:val="24"/>
          <w:szCs w:val="24"/>
        </w:rPr>
        <w:t>1134, l’article</w:t>
      </w:r>
      <w:r w:rsidR="00504F84">
        <w:rPr>
          <w:rFonts w:ascii="Times New Roman" w:hAnsi="Times New Roman"/>
          <w:sz w:val="24"/>
          <w:szCs w:val="24"/>
        </w:rPr>
        <w:t> </w:t>
      </w:r>
      <w:r w:rsidR="000356AE" w:rsidRPr="002954BB">
        <w:rPr>
          <w:rFonts w:ascii="Times New Roman" w:hAnsi="Times New Roman"/>
          <w:sz w:val="24"/>
          <w:szCs w:val="24"/>
        </w:rPr>
        <w:t>1104 élargissant l’exigence de bonne foi à la formation et la négociation des contrats. Les deux sont donc érigés en dispositions générales voire en « principes directeurs » des contrats. La réforme restaure ainsi l’équilibre, à arbitrer par les juges, entre les ex-alinéas de l’article</w:t>
      </w:r>
      <w:r w:rsidR="00504F84">
        <w:rPr>
          <w:rFonts w:ascii="Times New Roman" w:hAnsi="Times New Roman"/>
          <w:sz w:val="24"/>
          <w:szCs w:val="24"/>
        </w:rPr>
        <w:t> </w:t>
      </w:r>
      <w:r w:rsidR="000356AE" w:rsidRPr="002954BB">
        <w:rPr>
          <w:rFonts w:ascii="Times New Roman" w:hAnsi="Times New Roman"/>
          <w:sz w:val="24"/>
          <w:szCs w:val="24"/>
        </w:rPr>
        <w:t>1134 du code civil. Par conséquent, on ne saurai</w:t>
      </w:r>
      <w:r w:rsidR="00635D2F">
        <w:rPr>
          <w:rFonts w:ascii="Times New Roman" w:hAnsi="Times New Roman"/>
          <w:sz w:val="24"/>
          <w:szCs w:val="24"/>
        </w:rPr>
        <w:t>t affirmer que la réforme entend</w:t>
      </w:r>
      <w:r w:rsidR="000356AE" w:rsidRPr="002954BB">
        <w:rPr>
          <w:rFonts w:ascii="Times New Roman" w:hAnsi="Times New Roman"/>
          <w:sz w:val="24"/>
          <w:szCs w:val="24"/>
        </w:rPr>
        <w:t xml:space="preserve"> prendre parti de manière quelconque, dans le débat judiciaire existant depuis les années 1990</w:t>
      </w:r>
      <w:r w:rsidR="00FD2B49" w:rsidRPr="002954BB">
        <w:rPr>
          <w:rFonts w:ascii="Times New Roman" w:hAnsi="Times New Roman"/>
          <w:sz w:val="24"/>
          <w:szCs w:val="24"/>
        </w:rPr>
        <w:t xml:space="preserve"> notamment autour de la question du solidarisme contractuel, ou quelque appellation que ce soit dans le futur</w:t>
      </w:r>
      <w:r w:rsidR="000356AE" w:rsidRPr="002954BB">
        <w:rPr>
          <w:rFonts w:ascii="Times New Roman" w:hAnsi="Times New Roman"/>
          <w:sz w:val="24"/>
          <w:szCs w:val="24"/>
        </w:rPr>
        <w:t xml:space="preserve">. </w:t>
      </w:r>
      <w:r w:rsidR="0001562B" w:rsidRPr="002954BB">
        <w:rPr>
          <w:rFonts w:ascii="Times New Roman" w:hAnsi="Times New Roman"/>
          <w:sz w:val="24"/>
          <w:szCs w:val="24"/>
        </w:rPr>
        <w:t xml:space="preserve">On en reste donc, formellement, à la situation judiciaire existante, c’est-à-dire celle d’un ensemble d’interprétations en faveur de la reconnaissance d’obligations inhérentes au contrat, notamment de distribution, tant que celles-ci n’atteignent que des prérogatives contractuelles et non la substance du contrat, si du moins on peut toujours s’en tenir aux limites posées depuis </w:t>
      </w:r>
      <w:r w:rsidR="000356AE" w:rsidRPr="002954BB">
        <w:rPr>
          <w:rFonts w:ascii="Times New Roman" w:hAnsi="Times New Roman"/>
          <w:sz w:val="24"/>
          <w:szCs w:val="24"/>
        </w:rPr>
        <w:t xml:space="preserve">l’arrêt </w:t>
      </w:r>
      <w:r w:rsidR="000356AE" w:rsidRPr="002954BB">
        <w:rPr>
          <w:rFonts w:ascii="Times New Roman" w:hAnsi="Times New Roman"/>
          <w:i/>
          <w:sz w:val="24"/>
          <w:szCs w:val="24"/>
        </w:rPr>
        <w:t>Les Maréchaux</w:t>
      </w:r>
      <w:r w:rsidR="00635D2F">
        <w:rPr>
          <w:rStyle w:val="Appelnotedebasdep"/>
          <w:rFonts w:ascii="Times New Roman" w:hAnsi="Times New Roman"/>
          <w:sz w:val="24"/>
          <w:szCs w:val="24"/>
        </w:rPr>
        <w:footnoteReference w:id="9"/>
      </w:r>
      <w:r w:rsidR="000356AE" w:rsidRPr="002954BB">
        <w:rPr>
          <w:rFonts w:ascii="Times New Roman" w:hAnsi="Times New Roman"/>
          <w:sz w:val="24"/>
          <w:szCs w:val="24"/>
        </w:rPr>
        <w:t>.</w:t>
      </w:r>
      <w:r w:rsidRPr="002954BB">
        <w:rPr>
          <w:rFonts w:ascii="Times New Roman" w:hAnsi="Times New Roman"/>
          <w:sz w:val="24"/>
          <w:szCs w:val="24"/>
        </w:rPr>
        <w:t xml:space="preserve"> </w:t>
      </w:r>
      <w:r w:rsidR="0001562B" w:rsidRPr="002954BB">
        <w:rPr>
          <w:rFonts w:ascii="Times New Roman" w:hAnsi="Times New Roman"/>
          <w:sz w:val="24"/>
          <w:szCs w:val="24"/>
        </w:rPr>
        <w:t>Tout aménagement dans un sens ou dans l’autre dépendra donc des choix posés par la politique judiciaire à venir</w:t>
      </w:r>
      <w:r w:rsidR="007C23FD">
        <w:rPr>
          <w:rFonts w:ascii="Times New Roman" w:hAnsi="Times New Roman"/>
          <w:sz w:val="24"/>
          <w:szCs w:val="24"/>
        </w:rPr>
        <w:t xml:space="preserve"> </w:t>
      </w:r>
      <w:r w:rsidR="0001562B" w:rsidRPr="002954BB">
        <w:rPr>
          <w:rFonts w:ascii="Times New Roman" w:hAnsi="Times New Roman"/>
          <w:sz w:val="24"/>
          <w:szCs w:val="24"/>
        </w:rPr>
        <w:t>et donc des arguments présentés dans les affaires à venir.</w:t>
      </w:r>
    </w:p>
    <w:p w:rsidR="0001562B" w:rsidRPr="002954BB" w:rsidRDefault="0001562B" w:rsidP="000356AE">
      <w:pPr>
        <w:spacing w:after="0" w:line="240" w:lineRule="auto"/>
        <w:jc w:val="both"/>
        <w:rPr>
          <w:rFonts w:ascii="Times New Roman" w:hAnsi="Times New Roman"/>
          <w:sz w:val="24"/>
          <w:szCs w:val="24"/>
        </w:rPr>
      </w:pPr>
    </w:p>
    <w:p w:rsidR="00D04177" w:rsidRPr="002954BB" w:rsidRDefault="0001562B" w:rsidP="00D04177">
      <w:pPr>
        <w:spacing w:after="0" w:line="240" w:lineRule="auto"/>
        <w:jc w:val="both"/>
        <w:rPr>
          <w:rFonts w:ascii="Times New Roman" w:hAnsi="Times New Roman"/>
          <w:sz w:val="24"/>
          <w:szCs w:val="24"/>
        </w:rPr>
      </w:pPr>
      <w:r w:rsidRPr="002954BB">
        <w:rPr>
          <w:rFonts w:ascii="Times New Roman" w:hAnsi="Times New Roman"/>
          <w:sz w:val="24"/>
          <w:szCs w:val="24"/>
        </w:rPr>
        <w:t xml:space="preserve">Sur le second point, la « fin » de la cause est formellement actée, par l’abandon du terme « cause », cause de l’obligation ou cause du contrat, surtout. </w:t>
      </w:r>
      <w:r w:rsidR="000817B2" w:rsidRPr="002954BB">
        <w:rPr>
          <w:rFonts w:ascii="Times New Roman" w:hAnsi="Times New Roman"/>
          <w:sz w:val="24"/>
          <w:szCs w:val="24"/>
        </w:rPr>
        <w:t xml:space="preserve">Or la cause était un outil particulièrement utile pour </w:t>
      </w:r>
      <w:r w:rsidR="001F3644" w:rsidRPr="002954BB">
        <w:rPr>
          <w:rFonts w:ascii="Times New Roman" w:hAnsi="Times New Roman"/>
          <w:sz w:val="24"/>
          <w:szCs w:val="24"/>
        </w:rPr>
        <w:t xml:space="preserve">promouvoir une solution visant à sauver ou au contraire à neutraliser une situation non </w:t>
      </w:r>
      <w:r w:rsidR="00652EF1" w:rsidRPr="002954BB">
        <w:rPr>
          <w:rFonts w:ascii="Times New Roman" w:hAnsi="Times New Roman"/>
          <w:sz w:val="24"/>
          <w:szCs w:val="24"/>
        </w:rPr>
        <w:t xml:space="preserve">prévue </w:t>
      </w:r>
      <w:r w:rsidR="001F3644" w:rsidRPr="002954BB">
        <w:rPr>
          <w:rFonts w:ascii="Times New Roman" w:hAnsi="Times New Roman"/>
          <w:sz w:val="24"/>
          <w:szCs w:val="24"/>
        </w:rPr>
        <w:t xml:space="preserve">par des </w:t>
      </w:r>
      <w:r w:rsidR="00652EF1" w:rsidRPr="002954BB">
        <w:rPr>
          <w:rFonts w:ascii="Times New Roman" w:hAnsi="Times New Roman"/>
          <w:sz w:val="24"/>
          <w:szCs w:val="24"/>
        </w:rPr>
        <w:t xml:space="preserve">règles existantes, qu’il s’agisse d’une situation de validité d’un contrat ou d’équivalence des prestations dans un contrat. Là encore la situation normative est en réalité plus normalisée. </w:t>
      </w:r>
      <w:r w:rsidR="00611E9B" w:rsidRPr="002954BB">
        <w:rPr>
          <w:rFonts w:ascii="Times New Roman" w:hAnsi="Times New Roman"/>
          <w:sz w:val="24"/>
          <w:szCs w:val="24"/>
        </w:rPr>
        <w:t xml:space="preserve"> L’ « abandon » de la cause se résume finalement à sa transformation </w:t>
      </w:r>
      <w:r w:rsidR="00635D2F">
        <w:rPr>
          <w:rFonts w:ascii="Times New Roman" w:hAnsi="Times New Roman"/>
          <w:sz w:val="24"/>
          <w:szCs w:val="24"/>
        </w:rPr>
        <w:t>sémantique, v</w:t>
      </w:r>
      <w:r w:rsidR="00611E9B" w:rsidRPr="002954BB">
        <w:rPr>
          <w:rFonts w:ascii="Times New Roman" w:hAnsi="Times New Roman"/>
          <w:sz w:val="24"/>
          <w:szCs w:val="24"/>
        </w:rPr>
        <w:t>ers la notion de « but » et sa déclinaison dans les articles</w:t>
      </w:r>
      <w:r w:rsidR="00504F84">
        <w:rPr>
          <w:rFonts w:ascii="Times New Roman" w:hAnsi="Times New Roman"/>
          <w:sz w:val="24"/>
          <w:szCs w:val="24"/>
        </w:rPr>
        <w:t> </w:t>
      </w:r>
      <w:r w:rsidR="00611E9B" w:rsidRPr="002954BB">
        <w:rPr>
          <w:rFonts w:ascii="Times New Roman" w:hAnsi="Times New Roman"/>
          <w:sz w:val="24"/>
          <w:szCs w:val="24"/>
        </w:rPr>
        <w:t xml:space="preserve">1162 et suivants </w:t>
      </w:r>
      <w:r w:rsidR="00380158">
        <w:rPr>
          <w:rFonts w:ascii="Times New Roman" w:hAnsi="Times New Roman"/>
          <w:sz w:val="24"/>
          <w:szCs w:val="24"/>
        </w:rPr>
        <w:t>d</w:t>
      </w:r>
      <w:r w:rsidR="00611E9B" w:rsidRPr="002954BB">
        <w:rPr>
          <w:rFonts w:ascii="Times New Roman" w:hAnsi="Times New Roman"/>
          <w:sz w:val="24"/>
          <w:szCs w:val="24"/>
        </w:rPr>
        <w:t xml:space="preserve">u </w:t>
      </w:r>
      <w:r w:rsidR="00380158">
        <w:rPr>
          <w:rFonts w:ascii="Times New Roman" w:hAnsi="Times New Roman"/>
          <w:sz w:val="24"/>
          <w:szCs w:val="24"/>
        </w:rPr>
        <w:t>c</w:t>
      </w:r>
      <w:r w:rsidR="00611E9B" w:rsidRPr="002954BB">
        <w:rPr>
          <w:rFonts w:ascii="Times New Roman" w:hAnsi="Times New Roman"/>
          <w:sz w:val="24"/>
          <w:szCs w:val="24"/>
        </w:rPr>
        <w:t xml:space="preserve">ode civil. </w:t>
      </w:r>
      <w:r w:rsidR="00FF0536" w:rsidRPr="002954BB">
        <w:rPr>
          <w:rFonts w:ascii="Times New Roman" w:hAnsi="Times New Roman"/>
          <w:sz w:val="24"/>
          <w:szCs w:val="24"/>
        </w:rPr>
        <w:t xml:space="preserve">Il reste que cette modification n’est pas sans conséquence, et pas seulement de manière sémantique. En effet, les déclinaisons </w:t>
      </w:r>
      <w:r w:rsidR="00C904C5" w:rsidRPr="002954BB">
        <w:rPr>
          <w:rFonts w:ascii="Times New Roman" w:hAnsi="Times New Roman"/>
          <w:sz w:val="24"/>
          <w:szCs w:val="24"/>
        </w:rPr>
        <w:t>du « but » aux articles</w:t>
      </w:r>
      <w:r w:rsidR="00504F84">
        <w:rPr>
          <w:rFonts w:ascii="Times New Roman" w:hAnsi="Times New Roman"/>
          <w:sz w:val="24"/>
          <w:szCs w:val="24"/>
        </w:rPr>
        <w:t> </w:t>
      </w:r>
      <w:r w:rsidR="00C904C5" w:rsidRPr="002954BB">
        <w:rPr>
          <w:rFonts w:ascii="Times New Roman" w:hAnsi="Times New Roman"/>
          <w:sz w:val="24"/>
          <w:szCs w:val="24"/>
        </w:rPr>
        <w:t>1163 et suivants ne reprennent pas toutes les solutions jurisprudentielles qui avaient été rendues sous l’égide</w:t>
      </w:r>
      <w:r w:rsidR="00380158">
        <w:rPr>
          <w:rFonts w:ascii="Times New Roman" w:hAnsi="Times New Roman"/>
          <w:sz w:val="24"/>
          <w:szCs w:val="24"/>
        </w:rPr>
        <w:t xml:space="preserve"> de</w:t>
      </w:r>
      <w:r w:rsidR="00C904C5" w:rsidRPr="002954BB">
        <w:rPr>
          <w:rFonts w:ascii="Times New Roman" w:hAnsi="Times New Roman"/>
          <w:sz w:val="24"/>
          <w:szCs w:val="24"/>
        </w:rPr>
        <w:t xml:space="preserve"> la cause, la question de la neutralisation des clauses contraires aux obligations essentielles ou au déséquilibre significatif (</w:t>
      </w:r>
      <w:r w:rsidR="00504F84">
        <w:rPr>
          <w:rFonts w:ascii="Times New Roman" w:hAnsi="Times New Roman"/>
          <w:sz w:val="24"/>
          <w:szCs w:val="24"/>
        </w:rPr>
        <w:t>voir</w:t>
      </w:r>
      <w:r w:rsidR="00C904C5" w:rsidRPr="002954BB">
        <w:rPr>
          <w:rFonts w:ascii="Times New Roman" w:hAnsi="Times New Roman"/>
          <w:sz w:val="24"/>
          <w:szCs w:val="24"/>
        </w:rPr>
        <w:t xml:space="preserve"> </w:t>
      </w:r>
      <w:r w:rsidR="0029446F" w:rsidRPr="0029446F">
        <w:rPr>
          <w:rFonts w:ascii="Times New Roman" w:hAnsi="Times New Roman"/>
          <w:i/>
          <w:sz w:val="24"/>
          <w:szCs w:val="24"/>
        </w:rPr>
        <w:t>infra</w:t>
      </w:r>
      <w:r w:rsidR="00C904C5" w:rsidRPr="002954BB">
        <w:rPr>
          <w:rFonts w:ascii="Times New Roman" w:hAnsi="Times New Roman"/>
          <w:sz w:val="24"/>
          <w:szCs w:val="24"/>
        </w:rPr>
        <w:t xml:space="preserve">), notamment s’agissant de la question, essentielle, de la contrariété à l’ordre public, qu’il soit établi ou virtuel, d’une clause ou d’un contrat. Par exemple,  un contrat de franchise sans savoir-faire est considéré comme annulable </w:t>
      </w:r>
      <w:r w:rsidR="000572CB" w:rsidRPr="002954BB">
        <w:rPr>
          <w:rFonts w:ascii="Times New Roman" w:hAnsi="Times New Roman"/>
          <w:sz w:val="24"/>
          <w:szCs w:val="24"/>
        </w:rPr>
        <w:t>sur le fondement de l’absence de « cause », ou de « but » du fait de l’absence d’équivalence des prestati</w:t>
      </w:r>
      <w:r w:rsidR="00B42CB7" w:rsidRPr="002954BB">
        <w:rPr>
          <w:rFonts w:ascii="Times New Roman" w:hAnsi="Times New Roman"/>
          <w:sz w:val="24"/>
          <w:szCs w:val="24"/>
        </w:rPr>
        <w:t>ons réciproques dans ce contrat</w:t>
      </w:r>
      <w:r w:rsidR="00B42CB7" w:rsidRPr="002954BB">
        <w:rPr>
          <w:rStyle w:val="Appelnotedebasdep"/>
          <w:rFonts w:ascii="Times New Roman" w:hAnsi="Times New Roman"/>
          <w:sz w:val="24"/>
          <w:szCs w:val="24"/>
        </w:rPr>
        <w:footnoteReference w:id="10"/>
      </w:r>
      <w:r w:rsidR="003A6900" w:rsidRPr="002954BB">
        <w:rPr>
          <w:rFonts w:ascii="Times New Roman" w:hAnsi="Times New Roman"/>
          <w:sz w:val="24"/>
          <w:szCs w:val="24"/>
        </w:rPr>
        <w:t xml:space="preserve">. C’est encore le </w:t>
      </w:r>
      <w:r w:rsidR="00635D2F">
        <w:rPr>
          <w:rFonts w:ascii="Times New Roman" w:hAnsi="Times New Roman"/>
          <w:sz w:val="24"/>
          <w:szCs w:val="24"/>
        </w:rPr>
        <w:t>cas à propos des clauses de non-</w:t>
      </w:r>
      <w:r w:rsidR="003A6900" w:rsidRPr="002954BB">
        <w:rPr>
          <w:rFonts w:ascii="Times New Roman" w:hAnsi="Times New Roman"/>
          <w:sz w:val="24"/>
          <w:szCs w:val="24"/>
        </w:rPr>
        <w:t xml:space="preserve">concurrence, et de ses dérivées, clauses de non affiliation ou de non sollicitation, dont le contrôle est traditionnellement assuré </w:t>
      </w:r>
      <w:r w:rsidR="00DE736C" w:rsidRPr="002954BB">
        <w:rPr>
          <w:rFonts w:ascii="Times New Roman" w:hAnsi="Times New Roman"/>
          <w:sz w:val="24"/>
          <w:szCs w:val="24"/>
        </w:rPr>
        <w:t xml:space="preserve">sur le fondement de </w:t>
      </w:r>
      <w:r w:rsidR="00611E9B" w:rsidRPr="002954BB">
        <w:rPr>
          <w:rFonts w:ascii="Times New Roman" w:hAnsi="Times New Roman"/>
          <w:sz w:val="24"/>
          <w:szCs w:val="24"/>
        </w:rPr>
        <w:t>l’ex-article</w:t>
      </w:r>
      <w:r w:rsidR="00504F84">
        <w:rPr>
          <w:rFonts w:ascii="Times New Roman" w:hAnsi="Times New Roman"/>
          <w:sz w:val="24"/>
          <w:szCs w:val="24"/>
        </w:rPr>
        <w:t> </w:t>
      </w:r>
      <w:r w:rsidR="00611E9B" w:rsidRPr="002954BB">
        <w:rPr>
          <w:rFonts w:ascii="Times New Roman" w:hAnsi="Times New Roman"/>
          <w:sz w:val="24"/>
          <w:szCs w:val="24"/>
        </w:rPr>
        <w:t>1131 alors qu’on ne trouve pas dans les dispositions qui suivent l’article</w:t>
      </w:r>
      <w:r w:rsidR="00504F84">
        <w:rPr>
          <w:rFonts w:ascii="Times New Roman" w:hAnsi="Times New Roman"/>
          <w:sz w:val="24"/>
          <w:szCs w:val="24"/>
        </w:rPr>
        <w:t> </w:t>
      </w:r>
      <w:r w:rsidR="00611E9B" w:rsidRPr="002954BB">
        <w:rPr>
          <w:rFonts w:ascii="Times New Roman" w:hAnsi="Times New Roman"/>
          <w:sz w:val="24"/>
          <w:szCs w:val="24"/>
        </w:rPr>
        <w:t xml:space="preserve">1162 de </w:t>
      </w:r>
      <w:r w:rsidR="00D04177" w:rsidRPr="002954BB">
        <w:rPr>
          <w:rFonts w:ascii="Times New Roman" w:hAnsi="Times New Roman"/>
          <w:sz w:val="24"/>
          <w:szCs w:val="24"/>
        </w:rPr>
        <w:t xml:space="preserve">règle </w:t>
      </w:r>
      <w:r w:rsidR="00611E9B" w:rsidRPr="002954BB">
        <w:rPr>
          <w:rFonts w:ascii="Times New Roman" w:hAnsi="Times New Roman"/>
          <w:sz w:val="24"/>
          <w:szCs w:val="24"/>
        </w:rPr>
        <w:t>correspondant exactement à la mécanique permettant, jusqu’à présent, de sanctionner les clauses de non concurrence non proportionnées, par les moyens contractuels mis en œuvre, à l’objectif légitime protégé par ces derniers.</w:t>
      </w:r>
      <w:r w:rsidR="00D04177" w:rsidRPr="002954BB">
        <w:rPr>
          <w:rFonts w:ascii="Times New Roman" w:hAnsi="Times New Roman"/>
          <w:sz w:val="24"/>
          <w:szCs w:val="24"/>
        </w:rPr>
        <w:t xml:space="preserve"> Il pourrait suffire à </w:t>
      </w:r>
      <w:r w:rsidR="00611E9B" w:rsidRPr="002954BB">
        <w:rPr>
          <w:rFonts w:ascii="Times New Roman" w:hAnsi="Times New Roman"/>
          <w:sz w:val="24"/>
          <w:szCs w:val="24"/>
        </w:rPr>
        <w:t xml:space="preserve">la Cour de cassation de fonder le contrôle de validité de ces clauses sur </w:t>
      </w:r>
      <w:r w:rsidR="00611E9B" w:rsidRPr="002954BB">
        <w:rPr>
          <w:rFonts w:ascii="Times New Roman" w:hAnsi="Times New Roman"/>
          <w:sz w:val="24"/>
          <w:szCs w:val="24"/>
        </w:rPr>
        <w:lastRenderedPageBreak/>
        <w:t>l’article</w:t>
      </w:r>
      <w:r w:rsidR="00504F84">
        <w:rPr>
          <w:rFonts w:ascii="Times New Roman" w:hAnsi="Times New Roman"/>
          <w:sz w:val="24"/>
          <w:szCs w:val="24"/>
        </w:rPr>
        <w:t> </w:t>
      </w:r>
      <w:r w:rsidR="00611E9B" w:rsidRPr="002954BB">
        <w:rPr>
          <w:rFonts w:ascii="Times New Roman" w:hAnsi="Times New Roman"/>
          <w:sz w:val="24"/>
          <w:szCs w:val="24"/>
        </w:rPr>
        <w:t xml:space="preserve">1162 du </w:t>
      </w:r>
      <w:r w:rsidR="00380158">
        <w:rPr>
          <w:rFonts w:ascii="Times New Roman" w:hAnsi="Times New Roman"/>
          <w:sz w:val="24"/>
          <w:szCs w:val="24"/>
        </w:rPr>
        <w:t>c</w:t>
      </w:r>
      <w:r w:rsidR="00611E9B" w:rsidRPr="002954BB">
        <w:rPr>
          <w:rFonts w:ascii="Times New Roman" w:hAnsi="Times New Roman"/>
          <w:sz w:val="24"/>
          <w:szCs w:val="24"/>
        </w:rPr>
        <w:t>ode civil pour que l’on ait la conformation que la fonction juridique du « but » du contrat est bien celui anciennement assumé par la « cause ».</w:t>
      </w:r>
      <w:r w:rsidR="00D04177" w:rsidRPr="002954BB">
        <w:rPr>
          <w:rFonts w:ascii="Times New Roman" w:hAnsi="Times New Roman"/>
          <w:sz w:val="24"/>
          <w:szCs w:val="24"/>
        </w:rPr>
        <w:t xml:space="preserve"> </w:t>
      </w:r>
    </w:p>
    <w:p w:rsidR="00640FB6" w:rsidRPr="002954BB" w:rsidRDefault="00640FB6" w:rsidP="00D04177">
      <w:pPr>
        <w:spacing w:after="0" w:line="240" w:lineRule="auto"/>
        <w:jc w:val="both"/>
        <w:rPr>
          <w:rFonts w:ascii="Times New Roman" w:hAnsi="Times New Roman"/>
          <w:sz w:val="24"/>
          <w:szCs w:val="24"/>
        </w:rPr>
      </w:pPr>
    </w:p>
    <w:p w:rsidR="00640FB6" w:rsidRPr="002954BB" w:rsidRDefault="00640FB6" w:rsidP="00D04177">
      <w:pPr>
        <w:spacing w:after="0" w:line="240" w:lineRule="auto"/>
        <w:jc w:val="both"/>
        <w:rPr>
          <w:rFonts w:ascii="Times New Roman" w:hAnsi="Times New Roman"/>
          <w:sz w:val="24"/>
          <w:szCs w:val="24"/>
        </w:rPr>
      </w:pPr>
      <w:r w:rsidRPr="002954BB">
        <w:rPr>
          <w:rFonts w:ascii="Times New Roman" w:hAnsi="Times New Roman"/>
          <w:sz w:val="24"/>
          <w:szCs w:val="24"/>
        </w:rPr>
        <w:t xml:space="preserve">De ce point de vue, les pouvoirs généraux de création du juge sont plus limités qu’on aurait pu le penser ; plus exactement, les pouvoirs du juges, à supposer d’ailleurs que ceux-ci dépendent de règles substantielles comme celles du Code civil, sont inchangés. </w:t>
      </w:r>
    </w:p>
    <w:p w:rsidR="00640FB6" w:rsidRPr="002954BB" w:rsidRDefault="00640FB6" w:rsidP="00D04177">
      <w:pPr>
        <w:spacing w:after="0" w:line="240" w:lineRule="auto"/>
        <w:jc w:val="both"/>
        <w:rPr>
          <w:rFonts w:ascii="Times New Roman" w:hAnsi="Times New Roman"/>
          <w:sz w:val="24"/>
          <w:szCs w:val="24"/>
        </w:rPr>
      </w:pPr>
    </w:p>
    <w:p w:rsidR="00640FB6" w:rsidRPr="002954BB" w:rsidRDefault="00640FB6" w:rsidP="00D04177">
      <w:pPr>
        <w:spacing w:after="0" w:line="240" w:lineRule="auto"/>
        <w:jc w:val="both"/>
        <w:rPr>
          <w:rFonts w:ascii="Times New Roman" w:hAnsi="Times New Roman"/>
          <w:b/>
          <w:sz w:val="24"/>
          <w:szCs w:val="24"/>
        </w:rPr>
      </w:pPr>
      <w:r w:rsidRPr="002954BB">
        <w:rPr>
          <w:rFonts w:ascii="Times New Roman" w:hAnsi="Times New Roman"/>
          <w:b/>
          <w:sz w:val="24"/>
          <w:szCs w:val="24"/>
        </w:rPr>
        <w:t>II.</w:t>
      </w:r>
      <w:r w:rsidR="006F0D22">
        <w:rPr>
          <w:rFonts w:ascii="Times New Roman" w:hAnsi="Times New Roman"/>
          <w:b/>
          <w:sz w:val="24"/>
          <w:szCs w:val="24"/>
        </w:rPr>
        <w:t> – </w:t>
      </w:r>
      <w:r w:rsidRPr="002954BB">
        <w:rPr>
          <w:rFonts w:ascii="Times New Roman" w:hAnsi="Times New Roman"/>
          <w:b/>
          <w:sz w:val="24"/>
          <w:szCs w:val="24"/>
        </w:rPr>
        <w:t>Les pouvoirs de neutralisation du juge</w:t>
      </w:r>
    </w:p>
    <w:p w:rsidR="00611E9B" w:rsidRPr="002954BB" w:rsidRDefault="00611E9B" w:rsidP="00611E9B">
      <w:pPr>
        <w:spacing w:after="0" w:line="240" w:lineRule="auto"/>
        <w:jc w:val="both"/>
        <w:rPr>
          <w:rFonts w:ascii="Times New Roman" w:hAnsi="Times New Roman"/>
          <w:sz w:val="24"/>
          <w:szCs w:val="24"/>
        </w:rPr>
      </w:pPr>
    </w:p>
    <w:p w:rsidR="00586E97" w:rsidRPr="002954BB" w:rsidRDefault="00640FB6" w:rsidP="00966917">
      <w:pPr>
        <w:widowControl w:val="0"/>
        <w:autoSpaceDE w:val="0"/>
        <w:autoSpaceDN w:val="0"/>
        <w:adjustRightInd w:val="0"/>
        <w:spacing w:after="0" w:line="260" w:lineRule="atLeast"/>
        <w:jc w:val="both"/>
        <w:rPr>
          <w:rFonts w:ascii="Times New Roman" w:hAnsi="Times New Roman"/>
          <w:sz w:val="24"/>
          <w:szCs w:val="24"/>
        </w:rPr>
      </w:pPr>
      <w:r w:rsidRPr="002954BB">
        <w:rPr>
          <w:rFonts w:ascii="Times New Roman" w:hAnsi="Times New Roman"/>
          <w:sz w:val="24"/>
          <w:szCs w:val="24"/>
        </w:rPr>
        <w:t>Les pouvoirs de neutralisation du juge s’expriment à plusieurs égards</w:t>
      </w:r>
      <w:r w:rsidR="00D82253" w:rsidRPr="002954BB">
        <w:rPr>
          <w:rFonts w:ascii="Times New Roman" w:hAnsi="Times New Roman"/>
          <w:sz w:val="24"/>
          <w:szCs w:val="24"/>
        </w:rPr>
        <w:t>, d’ailleurs au-delà des frontières du droit de la distribution, comme c’est le cas des règles relatives au changement de circonstances économiques (C.</w:t>
      </w:r>
      <w:r w:rsidR="00504F84">
        <w:rPr>
          <w:rFonts w:ascii="Times New Roman" w:hAnsi="Times New Roman"/>
          <w:sz w:val="24"/>
          <w:szCs w:val="24"/>
        </w:rPr>
        <w:t> </w:t>
      </w:r>
      <w:r w:rsidR="00D82253" w:rsidRPr="002954BB">
        <w:rPr>
          <w:rFonts w:ascii="Times New Roman" w:hAnsi="Times New Roman"/>
          <w:sz w:val="24"/>
          <w:szCs w:val="24"/>
        </w:rPr>
        <w:t>civ., art.</w:t>
      </w:r>
      <w:r w:rsidR="00AB2002">
        <w:rPr>
          <w:rFonts w:ascii="Times New Roman" w:hAnsi="Times New Roman"/>
          <w:sz w:val="24"/>
          <w:szCs w:val="24"/>
        </w:rPr>
        <w:t> </w:t>
      </w:r>
      <w:r w:rsidR="00D82253" w:rsidRPr="002954BB">
        <w:rPr>
          <w:rFonts w:ascii="Times New Roman" w:hAnsi="Times New Roman"/>
          <w:sz w:val="24"/>
          <w:szCs w:val="24"/>
        </w:rPr>
        <w:t>1195), des clauses pénales (C.</w:t>
      </w:r>
      <w:r w:rsidR="00504F84">
        <w:rPr>
          <w:rFonts w:ascii="Times New Roman" w:hAnsi="Times New Roman"/>
          <w:sz w:val="24"/>
          <w:szCs w:val="24"/>
        </w:rPr>
        <w:t> </w:t>
      </w:r>
      <w:r w:rsidR="00D82253" w:rsidRPr="002954BB">
        <w:rPr>
          <w:rFonts w:ascii="Times New Roman" w:hAnsi="Times New Roman"/>
          <w:sz w:val="24"/>
          <w:szCs w:val="24"/>
        </w:rPr>
        <w:t>civ., art.</w:t>
      </w:r>
      <w:r w:rsidR="00AB2002">
        <w:rPr>
          <w:rFonts w:ascii="Times New Roman" w:hAnsi="Times New Roman"/>
          <w:sz w:val="24"/>
          <w:szCs w:val="24"/>
        </w:rPr>
        <w:t> </w:t>
      </w:r>
      <w:r w:rsidR="00D82253" w:rsidRPr="002954BB">
        <w:rPr>
          <w:rFonts w:ascii="Times New Roman" w:hAnsi="Times New Roman"/>
          <w:sz w:val="24"/>
          <w:szCs w:val="24"/>
        </w:rPr>
        <w:t>1231-1) ou encore de la capacité de neutralisation des clauses contraires aux obligations essentielles du contrat (C.</w:t>
      </w:r>
      <w:r w:rsidR="00504F84">
        <w:rPr>
          <w:rFonts w:ascii="Times New Roman" w:hAnsi="Times New Roman"/>
          <w:sz w:val="24"/>
          <w:szCs w:val="24"/>
        </w:rPr>
        <w:t> </w:t>
      </w:r>
      <w:r w:rsidR="00D82253" w:rsidRPr="002954BB">
        <w:rPr>
          <w:rFonts w:ascii="Times New Roman" w:hAnsi="Times New Roman"/>
          <w:sz w:val="24"/>
          <w:szCs w:val="24"/>
        </w:rPr>
        <w:t>civ., art.</w:t>
      </w:r>
      <w:r w:rsidR="00AB2002">
        <w:rPr>
          <w:rFonts w:ascii="Times New Roman" w:hAnsi="Times New Roman"/>
          <w:sz w:val="24"/>
          <w:szCs w:val="24"/>
        </w:rPr>
        <w:t> </w:t>
      </w:r>
      <w:r w:rsidR="00D82253" w:rsidRPr="002954BB">
        <w:rPr>
          <w:rFonts w:ascii="Times New Roman" w:hAnsi="Times New Roman"/>
          <w:sz w:val="24"/>
          <w:szCs w:val="24"/>
        </w:rPr>
        <w:t>1170) ou de la contrepartie dérisoire ou illusoire d’un contrat (C.</w:t>
      </w:r>
      <w:r w:rsidR="00504F84">
        <w:rPr>
          <w:rFonts w:ascii="Times New Roman" w:hAnsi="Times New Roman"/>
          <w:sz w:val="24"/>
          <w:szCs w:val="24"/>
        </w:rPr>
        <w:t> </w:t>
      </w:r>
      <w:r w:rsidR="00D82253" w:rsidRPr="002954BB">
        <w:rPr>
          <w:rFonts w:ascii="Times New Roman" w:hAnsi="Times New Roman"/>
          <w:sz w:val="24"/>
          <w:szCs w:val="24"/>
        </w:rPr>
        <w:t>civ., art.</w:t>
      </w:r>
      <w:r w:rsidR="00AB2002">
        <w:t> </w:t>
      </w:r>
      <w:r w:rsidR="00D82253" w:rsidRPr="002954BB">
        <w:rPr>
          <w:rFonts w:ascii="Times New Roman" w:hAnsi="Times New Roman"/>
          <w:sz w:val="24"/>
          <w:szCs w:val="24"/>
        </w:rPr>
        <w:t>1169). L’essentiel, dans le nouveau dispositif, repose sur les interprétations que la Cour de cassation pourra proposer de l’article</w:t>
      </w:r>
      <w:r w:rsidR="00504F84">
        <w:rPr>
          <w:rFonts w:ascii="Times New Roman" w:hAnsi="Times New Roman"/>
          <w:sz w:val="24"/>
          <w:szCs w:val="24"/>
        </w:rPr>
        <w:t> </w:t>
      </w:r>
      <w:r w:rsidR="00D82253" w:rsidRPr="002954BB">
        <w:rPr>
          <w:rFonts w:ascii="Times New Roman" w:hAnsi="Times New Roman"/>
          <w:sz w:val="24"/>
          <w:szCs w:val="24"/>
        </w:rPr>
        <w:t xml:space="preserve">1171 du </w:t>
      </w:r>
      <w:r w:rsidR="00AB2002">
        <w:rPr>
          <w:rFonts w:ascii="Times New Roman" w:hAnsi="Times New Roman"/>
          <w:sz w:val="24"/>
          <w:szCs w:val="24"/>
        </w:rPr>
        <w:t>c</w:t>
      </w:r>
      <w:r w:rsidR="00D82253" w:rsidRPr="002954BB">
        <w:rPr>
          <w:rFonts w:ascii="Times New Roman" w:hAnsi="Times New Roman"/>
          <w:sz w:val="24"/>
          <w:szCs w:val="24"/>
        </w:rPr>
        <w:t>ode civil : « </w:t>
      </w:r>
      <w:r w:rsidR="00D82253" w:rsidRPr="002954BB">
        <w:rPr>
          <w:rFonts w:ascii="Times New Roman" w:hAnsi="Times New Roman"/>
          <w:i/>
          <w:sz w:val="24"/>
          <w:szCs w:val="24"/>
        </w:rPr>
        <w:t>Dans un contrat d’adhésion, toute clause qui crée un déséquilibre significatif entre les droits et obligations des parties au contrat est réputée non écrite.</w:t>
      </w:r>
      <w:r w:rsidR="00AB2002">
        <w:rPr>
          <w:rFonts w:ascii="Times New Roman" w:hAnsi="Times New Roman"/>
          <w:i/>
          <w:sz w:val="24"/>
          <w:szCs w:val="24"/>
        </w:rPr>
        <w:t xml:space="preserve"> </w:t>
      </w:r>
      <w:r w:rsidR="00D82253" w:rsidRPr="002954BB">
        <w:rPr>
          <w:rFonts w:ascii="Times New Roman" w:hAnsi="Times New Roman"/>
          <w:i/>
          <w:sz w:val="24"/>
          <w:szCs w:val="24"/>
        </w:rPr>
        <w:t>L’appréciation du déséquilibre significatif ne porte ni sur l’objet principal du contrat ni sur l’adéquation du prix à la prestation »</w:t>
      </w:r>
      <w:r w:rsidR="00D82253" w:rsidRPr="002954BB">
        <w:rPr>
          <w:rFonts w:ascii="Times New Roman" w:hAnsi="Times New Roman"/>
          <w:sz w:val="24"/>
          <w:szCs w:val="24"/>
        </w:rPr>
        <w:t>. Le principal apport de la réforme, par comparaison avec le texte du projet repose sur la limitation du texte aux « contrats d’adhésion », ce qui renvoie à l’interprétation de l’article</w:t>
      </w:r>
      <w:r w:rsidR="00504F84">
        <w:rPr>
          <w:rFonts w:ascii="Times New Roman" w:hAnsi="Times New Roman"/>
          <w:sz w:val="24"/>
          <w:szCs w:val="24"/>
        </w:rPr>
        <w:t> </w:t>
      </w:r>
      <w:r w:rsidR="00D82253" w:rsidRPr="002954BB">
        <w:rPr>
          <w:rFonts w:ascii="Times New Roman" w:hAnsi="Times New Roman"/>
          <w:sz w:val="24"/>
          <w:szCs w:val="24"/>
        </w:rPr>
        <w:t xml:space="preserve">1110 du </w:t>
      </w:r>
      <w:r w:rsidR="00AB2002">
        <w:rPr>
          <w:rFonts w:ascii="Times New Roman" w:hAnsi="Times New Roman"/>
          <w:sz w:val="24"/>
          <w:szCs w:val="24"/>
        </w:rPr>
        <w:t>c</w:t>
      </w:r>
      <w:r w:rsidR="00D82253" w:rsidRPr="002954BB">
        <w:rPr>
          <w:rFonts w:ascii="Times New Roman" w:hAnsi="Times New Roman"/>
          <w:sz w:val="24"/>
          <w:szCs w:val="24"/>
        </w:rPr>
        <w:t>ode civil qui propose la distinction entre ces derniers et les « contrats de gré à gré</w:t>
      </w:r>
      <w:r w:rsidR="008364E1">
        <w:rPr>
          <w:rFonts w:ascii="Times New Roman" w:hAnsi="Times New Roman"/>
          <w:sz w:val="24"/>
          <w:szCs w:val="24"/>
        </w:rPr>
        <w:t> »</w:t>
      </w:r>
      <w:r w:rsidR="00D82253" w:rsidRPr="002954BB">
        <w:rPr>
          <w:rFonts w:ascii="Times New Roman" w:hAnsi="Times New Roman"/>
          <w:sz w:val="24"/>
          <w:szCs w:val="24"/>
        </w:rPr>
        <w:t>.</w:t>
      </w:r>
      <w:r w:rsidR="00B67914" w:rsidRPr="002954BB">
        <w:rPr>
          <w:rFonts w:ascii="Times New Roman" w:hAnsi="Times New Roman"/>
          <w:sz w:val="24"/>
          <w:szCs w:val="24"/>
        </w:rPr>
        <w:t xml:space="preserve"> Or ce texte </w:t>
      </w:r>
      <w:r w:rsidR="00586E97" w:rsidRPr="002954BB">
        <w:rPr>
          <w:rFonts w:ascii="Times New Roman" w:hAnsi="Times New Roman"/>
          <w:sz w:val="24"/>
          <w:szCs w:val="24"/>
        </w:rPr>
        <w:t xml:space="preserve">n’est pas très clair : </w:t>
      </w:r>
      <w:r w:rsidR="00586E97" w:rsidRPr="002954BB">
        <w:rPr>
          <w:rFonts w:ascii="Times New Roman" w:hAnsi="Times New Roman"/>
          <w:i/>
          <w:sz w:val="24"/>
          <w:szCs w:val="24"/>
        </w:rPr>
        <w:t xml:space="preserve">« le contrat de gré à gré est celui dont les stipulations sont librement négociées entre les parties. Le contrat d’adhésion est celui dont les conditions générales, soustraites à la négociation, sont déterminées à l’avance par l’une des parties ». </w:t>
      </w:r>
      <w:r w:rsidR="00586E97" w:rsidRPr="002954BB">
        <w:rPr>
          <w:rFonts w:ascii="Times New Roman" w:hAnsi="Times New Roman"/>
          <w:sz w:val="24"/>
          <w:szCs w:val="24"/>
        </w:rPr>
        <w:t>La distinction entre contrats de gré à gré, ou négociés, et contrats d’adhésion n’est pas évidente. L’article</w:t>
      </w:r>
      <w:r w:rsidR="00504F84">
        <w:rPr>
          <w:rFonts w:ascii="Times New Roman" w:hAnsi="Times New Roman"/>
          <w:sz w:val="24"/>
          <w:szCs w:val="24"/>
        </w:rPr>
        <w:t> </w:t>
      </w:r>
      <w:r w:rsidR="00586E97" w:rsidRPr="002954BB">
        <w:rPr>
          <w:rFonts w:ascii="Times New Roman" w:hAnsi="Times New Roman"/>
          <w:sz w:val="24"/>
          <w:szCs w:val="24"/>
        </w:rPr>
        <w:t>1110 est essentiellement descriptif et l</w:t>
      </w:r>
      <w:r w:rsidR="008364E1">
        <w:rPr>
          <w:rFonts w:ascii="Times New Roman" w:hAnsi="Times New Roman"/>
          <w:sz w:val="24"/>
          <w:szCs w:val="24"/>
        </w:rPr>
        <w:t>a</w:t>
      </w:r>
      <w:r w:rsidR="00586E97" w:rsidRPr="002954BB">
        <w:rPr>
          <w:rFonts w:ascii="Times New Roman" w:hAnsi="Times New Roman"/>
          <w:sz w:val="24"/>
          <w:szCs w:val="24"/>
        </w:rPr>
        <w:t xml:space="preserve"> distinction entre les deux catégories n’est pas évidente, ne serait-ce que parce que, </w:t>
      </w:r>
      <w:r w:rsidR="00586E97" w:rsidRPr="002954BB">
        <w:rPr>
          <w:rFonts w:ascii="Times New Roman" w:hAnsi="Times New Roman"/>
          <w:i/>
          <w:sz w:val="24"/>
          <w:szCs w:val="24"/>
        </w:rPr>
        <w:t>a priori</w:t>
      </w:r>
      <w:r w:rsidR="00586E97" w:rsidRPr="002954BB">
        <w:rPr>
          <w:rFonts w:ascii="Times New Roman" w:hAnsi="Times New Roman"/>
          <w:sz w:val="24"/>
          <w:szCs w:val="24"/>
        </w:rPr>
        <w:t xml:space="preserve">, </w:t>
      </w:r>
      <w:r w:rsidR="001F5722" w:rsidRPr="002954BB">
        <w:rPr>
          <w:rFonts w:ascii="Times New Roman" w:hAnsi="Times New Roman"/>
          <w:sz w:val="24"/>
          <w:szCs w:val="24"/>
        </w:rPr>
        <w:t>celle des contrats d’adhésion n’est pas limitée aux seuls contrats de consommation mais s’entend bien au contraire à bien des contrats d’affaires, dont les contrats de distribution. Toutefois, le fait que le principe de liberté contractuelle soit fondé dès l’article</w:t>
      </w:r>
      <w:r w:rsidR="00504F84">
        <w:rPr>
          <w:rFonts w:ascii="Times New Roman" w:hAnsi="Times New Roman"/>
          <w:sz w:val="24"/>
          <w:szCs w:val="24"/>
        </w:rPr>
        <w:t> </w:t>
      </w:r>
      <w:r w:rsidR="001F5722" w:rsidRPr="002954BB">
        <w:rPr>
          <w:rFonts w:ascii="Times New Roman" w:hAnsi="Times New Roman"/>
          <w:sz w:val="24"/>
          <w:szCs w:val="24"/>
        </w:rPr>
        <w:t xml:space="preserve">1102 du </w:t>
      </w:r>
      <w:r w:rsidR="008364E1">
        <w:rPr>
          <w:rFonts w:ascii="Times New Roman" w:hAnsi="Times New Roman"/>
          <w:sz w:val="24"/>
          <w:szCs w:val="24"/>
        </w:rPr>
        <w:t>c</w:t>
      </w:r>
      <w:r w:rsidR="001F5722" w:rsidRPr="002954BB">
        <w:rPr>
          <w:rFonts w:ascii="Times New Roman" w:hAnsi="Times New Roman"/>
          <w:sz w:val="24"/>
          <w:szCs w:val="24"/>
        </w:rPr>
        <w:t xml:space="preserve">ode civil de sorte que les contrats de gré à gré peuvent être considérés comme de principe, et contrats </w:t>
      </w:r>
      <w:r w:rsidR="00586E97" w:rsidRPr="002954BB">
        <w:rPr>
          <w:rFonts w:ascii="Times New Roman" w:hAnsi="Times New Roman"/>
          <w:sz w:val="24"/>
          <w:szCs w:val="24"/>
        </w:rPr>
        <w:t>d’adhésion</w:t>
      </w:r>
      <w:r w:rsidR="001F5722" w:rsidRPr="002954BB">
        <w:rPr>
          <w:rFonts w:ascii="Times New Roman" w:hAnsi="Times New Roman"/>
          <w:sz w:val="24"/>
          <w:szCs w:val="24"/>
        </w:rPr>
        <w:t xml:space="preserve"> comme d’exception</w:t>
      </w:r>
      <w:r w:rsidR="00586E97" w:rsidRPr="002954BB">
        <w:rPr>
          <w:rFonts w:ascii="Times New Roman" w:hAnsi="Times New Roman"/>
          <w:sz w:val="24"/>
          <w:szCs w:val="24"/>
        </w:rPr>
        <w:t xml:space="preserve">. </w:t>
      </w:r>
      <w:r w:rsidR="007D0AE8" w:rsidRPr="002954BB">
        <w:rPr>
          <w:rFonts w:ascii="Times New Roman" w:hAnsi="Times New Roman"/>
          <w:sz w:val="24"/>
          <w:szCs w:val="24"/>
        </w:rPr>
        <w:t xml:space="preserve">Toutefois, </w:t>
      </w:r>
      <w:r w:rsidR="00966917" w:rsidRPr="002954BB">
        <w:rPr>
          <w:rFonts w:ascii="Times New Roman" w:hAnsi="Times New Roman"/>
          <w:sz w:val="24"/>
          <w:szCs w:val="24"/>
        </w:rPr>
        <w:t>l</w:t>
      </w:r>
      <w:r w:rsidR="00586E97" w:rsidRPr="002954BB">
        <w:rPr>
          <w:rFonts w:ascii="Times New Roman" w:hAnsi="Times New Roman"/>
          <w:sz w:val="24"/>
          <w:szCs w:val="24"/>
        </w:rPr>
        <w:t xml:space="preserve">es deux définitions ne se répondent pas exactement </w:t>
      </w:r>
      <w:r w:rsidR="00832484" w:rsidRPr="002954BB">
        <w:rPr>
          <w:rFonts w:ascii="Times New Roman" w:hAnsi="Times New Roman"/>
          <w:sz w:val="24"/>
          <w:szCs w:val="24"/>
        </w:rPr>
        <w:t>de sorte que</w:t>
      </w:r>
      <w:r w:rsidR="00586E97" w:rsidRPr="002954BB">
        <w:rPr>
          <w:rFonts w:ascii="Times New Roman" w:hAnsi="Times New Roman"/>
          <w:sz w:val="24"/>
          <w:szCs w:val="24"/>
        </w:rPr>
        <w:t xml:space="preserve"> la solution </w:t>
      </w:r>
      <w:r w:rsidR="008560D1" w:rsidRPr="002954BB">
        <w:rPr>
          <w:rFonts w:ascii="Times New Roman" w:hAnsi="Times New Roman"/>
          <w:sz w:val="24"/>
          <w:szCs w:val="24"/>
        </w:rPr>
        <w:t>inverse pourrait être envisagée où</w:t>
      </w:r>
      <w:r w:rsidR="00586E97" w:rsidRPr="002954BB">
        <w:rPr>
          <w:rFonts w:ascii="Times New Roman" w:hAnsi="Times New Roman"/>
          <w:sz w:val="24"/>
          <w:szCs w:val="24"/>
        </w:rPr>
        <w:t xml:space="preserve"> les contrats d’adhésion seraient tous ceux qui ne sont pas des contrats de gré à gré. </w:t>
      </w:r>
      <w:r w:rsidR="00AF5CA9" w:rsidRPr="002954BB">
        <w:rPr>
          <w:rFonts w:ascii="Times New Roman" w:hAnsi="Times New Roman"/>
          <w:sz w:val="24"/>
          <w:szCs w:val="24"/>
        </w:rPr>
        <w:t>L</w:t>
      </w:r>
      <w:r w:rsidR="00586E97" w:rsidRPr="002954BB">
        <w:rPr>
          <w:rFonts w:ascii="Times New Roman" w:hAnsi="Times New Roman"/>
          <w:sz w:val="24"/>
          <w:szCs w:val="24"/>
        </w:rPr>
        <w:t xml:space="preserve">e contrat de gré à gré est </w:t>
      </w:r>
      <w:r w:rsidR="00AF5CA9" w:rsidRPr="002954BB">
        <w:rPr>
          <w:rFonts w:ascii="Times New Roman" w:hAnsi="Times New Roman"/>
          <w:sz w:val="24"/>
          <w:szCs w:val="24"/>
        </w:rPr>
        <w:t xml:space="preserve">en effet </w:t>
      </w:r>
      <w:r w:rsidR="00586E97" w:rsidRPr="002954BB">
        <w:rPr>
          <w:rFonts w:ascii="Times New Roman" w:hAnsi="Times New Roman"/>
          <w:sz w:val="24"/>
          <w:szCs w:val="24"/>
        </w:rPr>
        <w:t>celui dont les stipulations sont librement négociées tandis que le contrat d’adhésion est celui dont les conditions générales ne le sont point. Tout contrat qui n’est pas de gré à gré serait alors un contrat d’adhésion</w:t>
      </w:r>
      <w:r w:rsidR="00635D2F">
        <w:rPr>
          <w:rFonts w:ascii="Times New Roman" w:hAnsi="Times New Roman"/>
          <w:sz w:val="24"/>
          <w:szCs w:val="24"/>
        </w:rPr>
        <w:t>, dont la plupart des contrats de distribution</w:t>
      </w:r>
      <w:r w:rsidR="00586E97" w:rsidRPr="002954BB">
        <w:rPr>
          <w:rFonts w:ascii="Times New Roman" w:hAnsi="Times New Roman"/>
          <w:sz w:val="24"/>
          <w:szCs w:val="24"/>
        </w:rPr>
        <w:t xml:space="preserve">. </w:t>
      </w:r>
    </w:p>
    <w:p w:rsidR="003054FE" w:rsidRPr="002954BB" w:rsidRDefault="003054FE" w:rsidP="00966917">
      <w:pPr>
        <w:widowControl w:val="0"/>
        <w:autoSpaceDE w:val="0"/>
        <w:autoSpaceDN w:val="0"/>
        <w:adjustRightInd w:val="0"/>
        <w:spacing w:after="0" w:line="260" w:lineRule="atLeast"/>
        <w:jc w:val="both"/>
        <w:rPr>
          <w:rFonts w:ascii="Times New Roman" w:hAnsi="Times New Roman"/>
          <w:sz w:val="24"/>
          <w:szCs w:val="24"/>
        </w:rPr>
      </w:pPr>
    </w:p>
    <w:p w:rsidR="00595B4A" w:rsidRPr="002954BB" w:rsidRDefault="003054FE" w:rsidP="00966917">
      <w:pPr>
        <w:widowControl w:val="0"/>
        <w:autoSpaceDE w:val="0"/>
        <w:autoSpaceDN w:val="0"/>
        <w:adjustRightInd w:val="0"/>
        <w:spacing w:after="0" w:line="260" w:lineRule="atLeast"/>
        <w:jc w:val="both"/>
        <w:rPr>
          <w:rFonts w:ascii="Times New Roman" w:hAnsi="Times New Roman"/>
          <w:i/>
          <w:sz w:val="24"/>
          <w:szCs w:val="24"/>
        </w:rPr>
      </w:pPr>
      <w:r w:rsidRPr="002954BB">
        <w:rPr>
          <w:rFonts w:ascii="Times New Roman" w:hAnsi="Times New Roman"/>
          <w:sz w:val="24"/>
          <w:szCs w:val="24"/>
        </w:rPr>
        <w:t>Il est évident alors qu’</w:t>
      </w:r>
      <w:r w:rsidR="00635D2F">
        <w:rPr>
          <w:rFonts w:ascii="Times New Roman" w:hAnsi="Times New Roman"/>
          <w:sz w:val="24"/>
          <w:szCs w:val="24"/>
        </w:rPr>
        <w:t>une considération</w:t>
      </w:r>
      <w:r w:rsidRPr="002954BB">
        <w:rPr>
          <w:rFonts w:ascii="Times New Roman" w:hAnsi="Times New Roman"/>
          <w:sz w:val="24"/>
          <w:szCs w:val="24"/>
        </w:rPr>
        <w:t xml:space="preserve"> large de la catégorie des contrats d’adhésion aboutit à une possibilité forte de contrôle des clauses susceptibles de créer un déséq</w:t>
      </w:r>
      <w:r w:rsidR="00197133" w:rsidRPr="002954BB">
        <w:rPr>
          <w:rFonts w:ascii="Times New Roman" w:hAnsi="Times New Roman"/>
          <w:sz w:val="24"/>
          <w:szCs w:val="24"/>
        </w:rPr>
        <w:t>uilibre significatif dans ce typ</w:t>
      </w:r>
      <w:r w:rsidRPr="002954BB">
        <w:rPr>
          <w:rFonts w:ascii="Times New Roman" w:hAnsi="Times New Roman"/>
          <w:sz w:val="24"/>
          <w:szCs w:val="24"/>
        </w:rPr>
        <w:t>e de contrat</w:t>
      </w:r>
      <w:r w:rsidR="00197133" w:rsidRPr="002954BB">
        <w:rPr>
          <w:rFonts w:ascii="Times New Roman" w:hAnsi="Times New Roman"/>
          <w:sz w:val="24"/>
          <w:szCs w:val="24"/>
        </w:rPr>
        <w:t>s. S’agissant des contrats de distribution, pratiquement toutes les clauses de ces contrats sont susceptibles de faire l’objet</w:t>
      </w:r>
      <w:r w:rsidR="001E39BE" w:rsidRPr="002954BB">
        <w:rPr>
          <w:rFonts w:ascii="Times New Roman" w:hAnsi="Times New Roman"/>
          <w:sz w:val="24"/>
          <w:szCs w:val="24"/>
        </w:rPr>
        <w:t xml:space="preserve"> de telles demandes de contrôle, les clauses relatives aux litiges, déjà envisagées dans un avis de </w:t>
      </w:r>
      <w:r w:rsidR="001E39BE" w:rsidRPr="002954BB">
        <w:rPr>
          <w:rFonts w:ascii="Times New Roman" w:hAnsi="Times New Roman"/>
          <w:sz w:val="24"/>
          <w:szCs w:val="24"/>
        </w:rPr>
        <w:lastRenderedPageBreak/>
        <w:t>la CEPC</w:t>
      </w:r>
      <w:r w:rsidR="001E39BE" w:rsidRPr="002954BB">
        <w:rPr>
          <w:rStyle w:val="Appelnotedebasdep"/>
          <w:rFonts w:ascii="Times New Roman" w:hAnsi="Times New Roman"/>
          <w:sz w:val="24"/>
          <w:szCs w:val="24"/>
        </w:rPr>
        <w:footnoteReference w:id="11"/>
      </w:r>
      <w:r w:rsidR="00D14D04" w:rsidRPr="002954BB">
        <w:rPr>
          <w:rFonts w:ascii="Times New Roman" w:hAnsi="Times New Roman"/>
          <w:sz w:val="24"/>
          <w:szCs w:val="24"/>
        </w:rPr>
        <w:t>, les clauses d’exclusivité, pour autant qu’elles n’entrent pas déjà dans le champ de l’article</w:t>
      </w:r>
      <w:r w:rsidR="004019C5">
        <w:rPr>
          <w:rFonts w:ascii="Times New Roman" w:hAnsi="Times New Roman"/>
          <w:sz w:val="24"/>
          <w:szCs w:val="24"/>
        </w:rPr>
        <w:t> </w:t>
      </w:r>
      <w:r w:rsidR="00D14D04" w:rsidRPr="002954BB">
        <w:rPr>
          <w:rFonts w:ascii="Times New Roman" w:hAnsi="Times New Roman"/>
          <w:sz w:val="24"/>
          <w:szCs w:val="24"/>
        </w:rPr>
        <w:t>L.</w:t>
      </w:r>
      <w:r w:rsidR="004019C5">
        <w:rPr>
          <w:rFonts w:ascii="Times New Roman" w:hAnsi="Times New Roman"/>
          <w:sz w:val="24"/>
          <w:szCs w:val="24"/>
        </w:rPr>
        <w:t> </w:t>
      </w:r>
      <w:r w:rsidR="00D14D04" w:rsidRPr="002954BB">
        <w:rPr>
          <w:rFonts w:ascii="Times New Roman" w:hAnsi="Times New Roman"/>
          <w:sz w:val="24"/>
          <w:szCs w:val="24"/>
        </w:rPr>
        <w:t xml:space="preserve">330-1 du </w:t>
      </w:r>
      <w:r w:rsidR="008364E1">
        <w:rPr>
          <w:rFonts w:ascii="Times New Roman" w:hAnsi="Times New Roman"/>
          <w:sz w:val="24"/>
          <w:szCs w:val="24"/>
        </w:rPr>
        <w:t>c</w:t>
      </w:r>
      <w:r w:rsidR="00D14D04" w:rsidRPr="002954BB">
        <w:rPr>
          <w:rFonts w:ascii="Times New Roman" w:hAnsi="Times New Roman"/>
          <w:sz w:val="24"/>
          <w:szCs w:val="24"/>
        </w:rPr>
        <w:t>ode de commerce, bien d’autres qui pourraient sembler anodines ailleurs, et bien entendu les clauses entravant les relations postcontractuelles. On songe ici aux clauses de non-concurrence qui sont déjà l’objet d’une stigmatisation dans les contrats de « distribution en réseau » disons dans les contrats de la distribution alimentaire et de franchise plus généralement par l’article</w:t>
      </w:r>
      <w:r w:rsidR="004019C5">
        <w:rPr>
          <w:rFonts w:ascii="Times New Roman" w:hAnsi="Times New Roman"/>
          <w:sz w:val="24"/>
          <w:szCs w:val="24"/>
        </w:rPr>
        <w:t> </w:t>
      </w:r>
      <w:r w:rsidR="00D14D04" w:rsidRPr="002954BB">
        <w:rPr>
          <w:rFonts w:ascii="Times New Roman" w:hAnsi="Times New Roman"/>
          <w:sz w:val="24"/>
          <w:szCs w:val="24"/>
        </w:rPr>
        <w:t>L.</w:t>
      </w:r>
      <w:r w:rsidR="004019C5">
        <w:rPr>
          <w:rFonts w:ascii="Times New Roman" w:hAnsi="Times New Roman"/>
          <w:sz w:val="24"/>
          <w:szCs w:val="24"/>
        </w:rPr>
        <w:t> </w:t>
      </w:r>
      <w:r w:rsidR="00D14D04" w:rsidRPr="002954BB">
        <w:rPr>
          <w:rFonts w:ascii="Times New Roman" w:hAnsi="Times New Roman"/>
          <w:sz w:val="24"/>
          <w:szCs w:val="24"/>
        </w:rPr>
        <w:t xml:space="preserve">341-2 du </w:t>
      </w:r>
      <w:r w:rsidR="008364E1">
        <w:rPr>
          <w:rFonts w:ascii="Times New Roman" w:hAnsi="Times New Roman"/>
          <w:sz w:val="24"/>
          <w:szCs w:val="24"/>
        </w:rPr>
        <w:t>c</w:t>
      </w:r>
      <w:r w:rsidR="00D14D04" w:rsidRPr="002954BB">
        <w:rPr>
          <w:rFonts w:ascii="Times New Roman" w:hAnsi="Times New Roman"/>
          <w:sz w:val="24"/>
          <w:szCs w:val="24"/>
        </w:rPr>
        <w:t xml:space="preserve">ode de commerce, issu de la loi </w:t>
      </w:r>
      <w:r w:rsidR="00D14D04" w:rsidRPr="002954BB">
        <w:rPr>
          <w:rFonts w:ascii="Times New Roman" w:hAnsi="Times New Roman"/>
          <w:i/>
          <w:sz w:val="24"/>
          <w:szCs w:val="24"/>
        </w:rPr>
        <w:t xml:space="preserve">Macron </w:t>
      </w:r>
      <w:r w:rsidR="00D14D04" w:rsidRPr="002954BB">
        <w:rPr>
          <w:rFonts w:ascii="Times New Roman" w:hAnsi="Times New Roman"/>
          <w:sz w:val="24"/>
          <w:szCs w:val="24"/>
        </w:rPr>
        <w:t>du 6</w:t>
      </w:r>
      <w:r w:rsidR="004019C5">
        <w:rPr>
          <w:rFonts w:ascii="Times New Roman" w:hAnsi="Times New Roman"/>
          <w:sz w:val="24"/>
          <w:szCs w:val="24"/>
        </w:rPr>
        <w:t> </w:t>
      </w:r>
      <w:r w:rsidR="00D14D04" w:rsidRPr="002954BB">
        <w:rPr>
          <w:rFonts w:ascii="Times New Roman" w:hAnsi="Times New Roman"/>
          <w:sz w:val="24"/>
          <w:szCs w:val="24"/>
        </w:rPr>
        <w:t>août 2015</w:t>
      </w:r>
      <w:r w:rsidR="00D14D04" w:rsidRPr="002954BB">
        <w:rPr>
          <w:rStyle w:val="Appelnotedebasdep"/>
          <w:rFonts w:ascii="Times New Roman" w:hAnsi="Times New Roman"/>
          <w:sz w:val="24"/>
          <w:szCs w:val="24"/>
        </w:rPr>
        <w:footnoteReference w:id="12"/>
      </w:r>
      <w:r w:rsidR="00D14D04" w:rsidRPr="002954BB">
        <w:rPr>
          <w:rFonts w:ascii="Times New Roman" w:hAnsi="Times New Roman"/>
          <w:sz w:val="24"/>
          <w:szCs w:val="24"/>
        </w:rPr>
        <w:t xml:space="preserve">, qui </w:t>
      </w:r>
      <w:r w:rsidR="003E1170" w:rsidRPr="002954BB">
        <w:rPr>
          <w:rFonts w:ascii="Times New Roman" w:hAnsi="Times New Roman"/>
          <w:sz w:val="24"/>
          <w:szCs w:val="24"/>
        </w:rPr>
        <w:t>conditionne la validité de ces clauses, par principe à des conditions drastiques, voisines de celles promises, en droit européen de la concurrence par l’article</w:t>
      </w:r>
      <w:r w:rsidR="004019C5">
        <w:rPr>
          <w:rFonts w:ascii="Times New Roman" w:hAnsi="Times New Roman"/>
          <w:sz w:val="24"/>
          <w:szCs w:val="24"/>
        </w:rPr>
        <w:t> </w:t>
      </w:r>
      <w:r w:rsidR="003E1170" w:rsidRPr="002954BB">
        <w:rPr>
          <w:rFonts w:ascii="Times New Roman" w:hAnsi="Times New Roman"/>
          <w:sz w:val="24"/>
          <w:szCs w:val="24"/>
        </w:rPr>
        <w:t xml:space="preserve">5 du </w:t>
      </w:r>
      <w:r w:rsidR="004019C5">
        <w:rPr>
          <w:rFonts w:ascii="Times New Roman" w:hAnsi="Times New Roman"/>
          <w:sz w:val="24"/>
          <w:szCs w:val="24"/>
        </w:rPr>
        <w:t>r</w:t>
      </w:r>
      <w:r w:rsidR="003E1170" w:rsidRPr="002954BB">
        <w:rPr>
          <w:rFonts w:ascii="Times New Roman" w:hAnsi="Times New Roman"/>
          <w:sz w:val="24"/>
          <w:szCs w:val="24"/>
        </w:rPr>
        <w:t>èglement d’exemption par catégorie n°</w:t>
      </w:r>
      <w:r w:rsidR="008364E1">
        <w:rPr>
          <w:rFonts w:ascii="Times New Roman" w:hAnsi="Times New Roman"/>
          <w:sz w:val="24"/>
          <w:szCs w:val="24"/>
        </w:rPr>
        <w:t> </w:t>
      </w:r>
      <w:r w:rsidR="003E1170" w:rsidRPr="002954BB">
        <w:rPr>
          <w:rFonts w:ascii="Times New Roman" w:hAnsi="Times New Roman"/>
          <w:sz w:val="24"/>
          <w:szCs w:val="24"/>
        </w:rPr>
        <w:t>330-2010, et plus encore aux clauses dites de « préemption », la formule regroupant toute une série de mécanismes contractuels assurant au franchiseur la possibilité de préempter ou de bénéficier d’une clause de préférence ou de promesse, portant sur le fonds de commerce ou les titres d’une société exploitant une activité franchisée. Ces clauses, en effet, sont l’objet d’une contestation aux enjeux considérables, depuis un avis de l’Autorité de la concurrence du 7</w:t>
      </w:r>
      <w:r w:rsidR="004019C5">
        <w:rPr>
          <w:rFonts w:ascii="Times New Roman" w:hAnsi="Times New Roman"/>
          <w:sz w:val="24"/>
          <w:szCs w:val="24"/>
        </w:rPr>
        <w:t> </w:t>
      </w:r>
      <w:r w:rsidR="003E1170" w:rsidRPr="002954BB">
        <w:rPr>
          <w:rFonts w:ascii="Times New Roman" w:hAnsi="Times New Roman"/>
          <w:sz w:val="24"/>
          <w:szCs w:val="24"/>
        </w:rPr>
        <w:t>décembre 2010</w:t>
      </w:r>
      <w:r w:rsidR="003E1170" w:rsidRPr="002954BB">
        <w:rPr>
          <w:rStyle w:val="Appelnotedebasdep"/>
          <w:rFonts w:ascii="Times New Roman" w:hAnsi="Times New Roman"/>
          <w:sz w:val="24"/>
          <w:szCs w:val="24"/>
        </w:rPr>
        <w:footnoteReference w:id="13"/>
      </w:r>
      <w:r w:rsidR="003E1170" w:rsidRPr="002954BB">
        <w:rPr>
          <w:rFonts w:ascii="Times New Roman" w:hAnsi="Times New Roman"/>
          <w:sz w:val="24"/>
          <w:szCs w:val="24"/>
        </w:rPr>
        <w:t>, mais aux effets limités</w:t>
      </w:r>
      <w:r w:rsidR="003E1170" w:rsidRPr="002954BB">
        <w:rPr>
          <w:rStyle w:val="Appelnotedebasdep"/>
          <w:rFonts w:ascii="Times New Roman" w:hAnsi="Times New Roman"/>
          <w:sz w:val="24"/>
          <w:szCs w:val="24"/>
        </w:rPr>
        <w:footnoteReference w:id="14"/>
      </w:r>
      <w:r w:rsidR="003E1170" w:rsidRPr="002954BB">
        <w:rPr>
          <w:rFonts w:ascii="Times New Roman" w:hAnsi="Times New Roman"/>
          <w:sz w:val="24"/>
          <w:szCs w:val="24"/>
        </w:rPr>
        <w:t xml:space="preserve"> ou résiduels</w:t>
      </w:r>
      <w:r w:rsidR="003E1170" w:rsidRPr="002954BB">
        <w:rPr>
          <w:rStyle w:val="Appelnotedebasdep"/>
          <w:rFonts w:ascii="Times New Roman" w:hAnsi="Times New Roman"/>
          <w:sz w:val="24"/>
          <w:szCs w:val="24"/>
        </w:rPr>
        <w:footnoteReference w:id="15"/>
      </w:r>
      <w:r w:rsidR="00E34357" w:rsidRPr="002954BB">
        <w:rPr>
          <w:rFonts w:ascii="Times New Roman" w:hAnsi="Times New Roman"/>
          <w:sz w:val="24"/>
          <w:szCs w:val="24"/>
        </w:rPr>
        <w:t xml:space="preserve">. On pourrait alors penser que ces clauses, à supposer qu’elles créent un déséquilibre significatif, dont les indices pourraient être identifiés dans la suspicion dans laquelle l’avis de l’Autorité de la concurrence les tient, </w:t>
      </w:r>
      <w:r w:rsidR="00B15D64" w:rsidRPr="002954BB">
        <w:rPr>
          <w:rFonts w:ascii="Times New Roman" w:hAnsi="Times New Roman"/>
          <w:sz w:val="24"/>
          <w:szCs w:val="24"/>
        </w:rPr>
        <w:t>pourraient être écartées sur le fondement du droit commun de l’article</w:t>
      </w:r>
      <w:r w:rsidR="004019C5">
        <w:rPr>
          <w:rFonts w:ascii="Times New Roman" w:hAnsi="Times New Roman"/>
          <w:sz w:val="24"/>
          <w:szCs w:val="24"/>
        </w:rPr>
        <w:t> </w:t>
      </w:r>
      <w:r w:rsidR="00B15D64" w:rsidRPr="002954BB">
        <w:rPr>
          <w:rFonts w:ascii="Times New Roman" w:hAnsi="Times New Roman"/>
          <w:sz w:val="24"/>
          <w:szCs w:val="24"/>
        </w:rPr>
        <w:t xml:space="preserve">1171 du </w:t>
      </w:r>
      <w:r w:rsidR="008364E1">
        <w:rPr>
          <w:rFonts w:ascii="Times New Roman" w:hAnsi="Times New Roman"/>
          <w:sz w:val="24"/>
          <w:szCs w:val="24"/>
        </w:rPr>
        <w:t>c</w:t>
      </w:r>
      <w:r w:rsidR="00B15D64" w:rsidRPr="002954BB">
        <w:rPr>
          <w:rFonts w:ascii="Times New Roman" w:hAnsi="Times New Roman"/>
          <w:sz w:val="24"/>
          <w:szCs w:val="24"/>
        </w:rPr>
        <w:t>ode civil.</w:t>
      </w:r>
    </w:p>
    <w:p w:rsidR="00595B4A" w:rsidRPr="002954BB" w:rsidRDefault="00595B4A" w:rsidP="00966917">
      <w:pPr>
        <w:widowControl w:val="0"/>
        <w:autoSpaceDE w:val="0"/>
        <w:autoSpaceDN w:val="0"/>
        <w:adjustRightInd w:val="0"/>
        <w:spacing w:after="0" w:line="260" w:lineRule="atLeast"/>
        <w:jc w:val="both"/>
        <w:rPr>
          <w:rFonts w:ascii="Times New Roman" w:hAnsi="Times New Roman"/>
          <w:sz w:val="24"/>
          <w:szCs w:val="24"/>
        </w:rPr>
      </w:pPr>
    </w:p>
    <w:p w:rsidR="003054FE" w:rsidRPr="002954BB" w:rsidRDefault="00B15D64" w:rsidP="00966917">
      <w:pPr>
        <w:widowControl w:val="0"/>
        <w:autoSpaceDE w:val="0"/>
        <w:autoSpaceDN w:val="0"/>
        <w:adjustRightInd w:val="0"/>
        <w:spacing w:after="0" w:line="260" w:lineRule="atLeast"/>
        <w:jc w:val="both"/>
        <w:rPr>
          <w:rFonts w:ascii="Times New Roman" w:hAnsi="Times New Roman"/>
          <w:sz w:val="24"/>
          <w:szCs w:val="24"/>
        </w:rPr>
      </w:pPr>
      <w:r w:rsidRPr="002954BB">
        <w:rPr>
          <w:rFonts w:ascii="Times New Roman" w:hAnsi="Times New Roman"/>
          <w:sz w:val="24"/>
          <w:szCs w:val="24"/>
        </w:rPr>
        <w:t xml:space="preserve">Il se trouve, en outre que </w:t>
      </w:r>
      <w:r w:rsidR="001A5486" w:rsidRPr="002954BB">
        <w:rPr>
          <w:rFonts w:ascii="Times New Roman" w:hAnsi="Times New Roman"/>
          <w:sz w:val="24"/>
          <w:szCs w:val="24"/>
        </w:rPr>
        <w:t>ce type de contrôle, précisément, n’est pas inconnu des juges, à l’instar de celui réalisé sur le fondement de l’article</w:t>
      </w:r>
      <w:r w:rsidR="004019C5">
        <w:rPr>
          <w:rFonts w:ascii="Times New Roman" w:hAnsi="Times New Roman"/>
          <w:sz w:val="24"/>
          <w:szCs w:val="24"/>
        </w:rPr>
        <w:t> </w:t>
      </w:r>
      <w:r w:rsidR="001A5486" w:rsidRPr="002954BB">
        <w:rPr>
          <w:rFonts w:ascii="Times New Roman" w:hAnsi="Times New Roman"/>
          <w:sz w:val="24"/>
          <w:szCs w:val="24"/>
        </w:rPr>
        <w:t>L.</w:t>
      </w:r>
      <w:r w:rsidR="004019C5">
        <w:rPr>
          <w:rFonts w:ascii="Times New Roman" w:hAnsi="Times New Roman"/>
          <w:sz w:val="24"/>
          <w:szCs w:val="24"/>
        </w:rPr>
        <w:t> </w:t>
      </w:r>
      <w:r w:rsidR="001A5486" w:rsidRPr="002954BB">
        <w:rPr>
          <w:rFonts w:ascii="Times New Roman" w:hAnsi="Times New Roman"/>
          <w:sz w:val="24"/>
          <w:szCs w:val="24"/>
        </w:rPr>
        <w:t xml:space="preserve">212-1 du </w:t>
      </w:r>
      <w:r w:rsidR="008364E1">
        <w:rPr>
          <w:rFonts w:ascii="Times New Roman" w:hAnsi="Times New Roman"/>
          <w:sz w:val="24"/>
          <w:szCs w:val="24"/>
        </w:rPr>
        <w:t>c</w:t>
      </w:r>
      <w:r w:rsidR="001A5486" w:rsidRPr="002954BB">
        <w:rPr>
          <w:rFonts w:ascii="Times New Roman" w:hAnsi="Times New Roman"/>
          <w:sz w:val="24"/>
          <w:szCs w:val="24"/>
        </w:rPr>
        <w:t>ode de la consommation (ex-art.</w:t>
      </w:r>
      <w:r w:rsidR="008364E1">
        <w:rPr>
          <w:rFonts w:ascii="Times New Roman" w:hAnsi="Times New Roman"/>
          <w:sz w:val="24"/>
          <w:szCs w:val="24"/>
        </w:rPr>
        <w:t> </w:t>
      </w:r>
      <w:r w:rsidR="001A5486" w:rsidRPr="002954BB">
        <w:rPr>
          <w:rFonts w:ascii="Times New Roman" w:hAnsi="Times New Roman"/>
          <w:sz w:val="24"/>
          <w:szCs w:val="24"/>
        </w:rPr>
        <w:t>L.</w:t>
      </w:r>
      <w:r w:rsidR="008364E1">
        <w:rPr>
          <w:rFonts w:ascii="Times New Roman" w:hAnsi="Times New Roman"/>
          <w:sz w:val="24"/>
          <w:szCs w:val="24"/>
        </w:rPr>
        <w:t> </w:t>
      </w:r>
      <w:r w:rsidR="001A5486" w:rsidRPr="002954BB">
        <w:rPr>
          <w:rFonts w:ascii="Times New Roman" w:hAnsi="Times New Roman"/>
          <w:sz w:val="24"/>
          <w:szCs w:val="24"/>
        </w:rPr>
        <w:t>132-1) et sur celui de l’article</w:t>
      </w:r>
      <w:r w:rsidR="004019C5">
        <w:rPr>
          <w:rFonts w:ascii="Times New Roman" w:hAnsi="Times New Roman"/>
          <w:sz w:val="24"/>
          <w:szCs w:val="24"/>
        </w:rPr>
        <w:t> </w:t>
      </w:r>
      <w:r w:rsidR="001A5486" w:rsidRPr="002954BB">
        <w:rPr>
          <w:rFonts w:ascii="Times New Roman" w:hAnsi="Times New Roman"/>
          <w:sz w:val="24"/>
          <w:szCs w:val="24"/>
        </w:rPr>
        <w:t>L.</w:t>
      </w:r>
      <w:r w:rsidR="004019C5">
        <w:rPr>
          <w:rFonts w:ascii="Times New Roman" w:hAnsi="Times New Roman"/>
          <w:sz w:val="24"/>
          <w:szCs w:val="24"/>
        </w:rPr>
        <w:t> </w:t>
      </w:r>
      <w:r w:rsidR="001A5486" w:rsidRPr="002954BB">
        <w:rPr>
          <w:rFonts w:ascii="Times New Roman" w:hAnsi="Times New Roman"/>
          <w:sz w:val="24"/>
          <w:szCs w:val="24"/>
        </w:rPr>
        <w:t>442-6</w:t>
      </w:r>
      <w:r w:rsidR="00FF0E29" w:rsidRPr="002954BB">
        <w:rPr>
          <w:rFonts w:ascii="Times New Roman" w:hAnsi="Times New Roman"/>
          <w:sz w:val="24"/>
          <w:szCs w:val="24"/>
        </w:rPr>
        <w:t>, I, 2°</w:t>
      </w:r>
      <w:r w:rsidR="001A5486" w:rsidRPr="002954BB">
        <w:rPr>
          <w:rFonts w:ascii="Times New Roman" w:hAnsi="Times New Roman"/>
          <w:sz w:val="24"/>
          <w:szCs w:val="24"/>
        </w:rPr>
        <w:t xml:space="preserve"> du </w:t>
      </w:r>
      <w:r w:rsidR="008364E1">
        <w:rPr>
          <w:rFonts w:ascii="Times New Roman" w:hAnsi="Times New Roman"/>
          <w:sz w:val="24"/>
          <w:szCs w:val="24"/>
        </w:rPr>
        <w:t>c</w:t>
      </w:r>
      <w:r w:rsidR="001A5486" w:rsidRPr="002954BB">
        <w:rPr>
          <w:rFonts w:ascii="Times New Roman" w:hAnsi="Times New Roman"/>
          <w:sz w:val="24"/>
          <w:szCs w:val="24"/>
        </w:rPr>
        <w:t>ode de commerce, dont la portée comparée avec l’article</w:t>
      </w:r>
      <w:r w:rsidR="004019C5">
        <w:rPr>
          <w:rFonts w:ascii="Times New Roman" w:hAnsi="Times New Roman"/>
          <w:sz w:val="24"/>
          <w:szCs w:val="24"/>
        </w:rPr>
        <w:t> </w:t>
      </w:r>
      <w:r w:rsidR="001A5486" w:rsidRPr="002954BB">
        <w:rPr>
          <w:rFonts w:ascii="Times New Roman" w:hAnsi="Times New Roman"/>
          <w:sz w:val="24"/>
          <w:szCs w:val="24"/>
        </w:rPr>
        <w:t>1171 peut être mesurée.</w:t>
      </w:r>
    </w:p>
    <w:p w:rsidR="00595B4A" w:rsidRPr="002954BB" w:rsidRDefault="00595B4A" w:rsidP="00966917">
      <w:pPr>
        <w:widowControl w:val="0"/>
        <w:autoSpaceDE w:val="0"/>
        <w:autoSpaceDN w:val="0"/>
        <w:adjustRightInd w:val="0"/>
        <w:spacing w:after="0" w:line="260" w:lineRule="atLeast"/>
        <w:jc w:val="both"/>
        <w:rPr>
          <w:rFonts w:ascii="Times New Roman" w:hAnsi="Times New Roman"/>
          <w:sz w:val="24"/>
          <w:szCs w:val="24"/>
        </w:rPr>
      </w:pPr>
    </w:p>
    <w:p w:rsidR="00FF0E29" w:rsidRPr="002954BB" w:rsidRDefault="00595B4A" w:rsidP="00966917">
      <w:pPr>
        <w:widowControl w:val="0"/>
        <w:autoSpaceDE w:val="0"/>
        <w:autoSpaceDN w:val="0"/>
        <w:adjustRightInd w:val="0"/>
        <w:spacing w:after="0" w:line="260" w:lineRule="atLeast"/>
        <w:jc w:val="both"/>
        <w:rPr>
          <w:rFonts w:ascii="Times New Roman" w:hAnsi="Times New Roman"/>
          <w:sz w:val="24"/>
          <w:szCs w:val="24"/>
        </w:rPr>
      </w:pPr>
      <w:r w:rsidRPr="002954BB">
        <w:rPr>
          <w:rFonts w:ascii="Times New Roman" w:hAnsi="Times New Roman"/>
          <w:sz w:val="24"/>
          <w:szCs w:val="24"/>
        </w:rPr>
        <w:t>Ainsi, l’article</w:t>
      </w:r>
      <w:r w:rsidR="004019C5">
        <w:rPr>
          <w:rFonts w:ascii="Times New Roman" w:hAnsi="Times New Roman"/>
          <w:sz w:val="24"/>
          <w:szCs w:val="24"/>
        </w:rPr>
        <w:t> </w:t>
      </w:r>
      <w:r w:rsidRPr="002954BB">
        <w:rPr>
          <w:rFonts w:ascii="Times New Roman" w:hAnsi="Times New Roman"/>
          <w:sz w:val="24"/>
          <w:szCs w:val="24"/>
        </w:rPr>
        <w:t>L.</w:t>
      </w:r>
      <w:r w:rsidR="004019C5">
        <w:rPr>
          <w:rFonts w:ascii="Times New Roman" w:hAnsi="Times New Roman"/>
          <w:sz w:val="24"/>
          <w:szCs w:val="24"/>
        </w:rPr>
        <w:t> </w:t>
      </w:r>
      <w:r w:rsidRPr="002954BB">
        <w:rPr>
          <w:rFonts w:ascii="Times New Roman" w:hAnsi="Times New Roman"/>
          <w:sz w:val="24"/>
          <w:szCs w:val="24"/>
        </w:rPr>
        <w:t xml:space="preserve">212-1 du </w:t>
      </w:r>
      <w:r w:rsidR="008364E1">
        <w:rPr>
          <w:rFonts w:ascii="Times New Roman" w:hAnsi="Times New Roman"/>
          <w:sz w:val="24"/>
          <w:szCs w:val="24"/>
        </w:rPr>
        <w:t>c</w:t>
      </w:r>
      <w:r w:rsidRPr="002954BB">
        <w:rPr>
          <w:rFonts w:ascii="Times New Roman" w:hAnsi="Times New Roman"/>
          <w:sz w:val="24"/>
          <w:szCs w:val="24"/>
        </w:rPr>
        <w:t xml:space="preserve">ode de la consommation est tout à la fois moins et plus </w:t>
      </w:r>
      <w:r w:rsidRPr="002954BB">
        <w:rPr>
          <w:rFonts w:ascii="Times New Roman" w:hAnsi="Times New Roman"/>
          <w:sz w:val="24"/>
          <w:szCs w:val="24"/>
        </w:rPr>
        <w:lastRenderedPageBreak/>
        <w:t>intéressant que l’article</w:t>
      </w:r>
      <w:r w:rsidR="004019C5">
        <w:rPr>
          <w:rFonts w:ascii="Times New Roman" w:hAnsi="Times New Roman"/>
          <w:sz w:val="24"/>
          <w:szCs w:val="24"/>
        </w:rPr>
        <w:t> </w:t>
      </w:r>
      <w:r w:rsidRPr="002954BB">
        <w:rPr>
          <w:rFonts w:ascii="Times New Roman" w:hAnsi="Times New Roman"/>
          <w:sz w:val="24"/>
          <w:szCs w:val="24"/>
        </w:rPr>
        <w:t xml:space="preserve">1171 du </w:t>
      </w:r>
      <w:r w:rsidR="008364E1">
        <w:rPr>
          <w:rFonts w:ascii="Times New Roman" w:hAnsi="Times New Roman"/>
          <w:sz w:val="24"/>
          <w:szCs w:val="24"/>
        </w:rPr>
        <w:t>c</w:t>
      </w:r>
      <w:r w:rsidRPr="002954BB">
        <w:rPr>
          <w:rFonts w:ascii="Times New Roman" w:hAnsi="Times New Roman"/>
          <w:sz w:val="24"/>
          <w:szCs w:val="24"/>
        </w:rPr>
        <w:t xml:space="preserve">ode civil. </w:t>
      </w:r>
      <w:r w:rsidR="009762FB" w:rsidRPr="002954BB">
        <w:rPr>
          <w:rFonts w:ascii="Times New Roman" w:hAnsi="Times New Roman"/>
          <w:sz w:val="24"/>
          <w:szCs w:val="24"/>
        </w:rPr>
        <w:t>En effet, le domaine d’application de l’article</w:t>
      </w:r>
      <w:r w:rsidR="007E1621">
        <w:rPr>
          <w:rFonts w:ascii="Times New Roman" w:hAnsi="Times New Roman"/>
          <w:sz w:val="24"/>
          <w:szCs w:val="24"/>
        </w:rPr>
        <w:t> </w:t>
      </w:r>
      <w:r w:rsidR="009762FB" w:rsidRPr="002954BB">
        <w:rPr>
          <w:rFonts w:ascii="Times New Roman" w:hAnsi="Times New Roman"/>
          <w:sz w:val="24"/>
          <w:szCs w:val="24"/>
        </w:rPr>
        <w:t>1171 est plus large que celui de l’article</w:t>
      </w:r>
      <w:r w:rsidR="004019C5">
        <w:rPr>
          <w:rFonts w:ascii="Times New Roman" w:hAnsi="Times New Roman"/>
          <w:sz w:val="24"/>
          <w:szCs w:val="24"/>
        </w:rPr>
        <w:t> </w:t>
      </w:r>
      <w:r w:rsidR="009762FB" w:rsidRPr="002954BB">
        <w:rPr>
          <w:rFonts w:ascii="Times New Roman" w:hAnsi="Times New Roman"/>
          <w:sz w:val="24"/>
          <w:szCs w:val="24"/>
        </w:rPr>
        <w:t>L.</w:t>
      </w:r>
      <w:r w:rsidR="004019C5">
        <w:rPr>
          <w:rFonts w:ascii="Times New Roman" w:hAnsi="Times New Roman"/>
          <w:sz w:val="24"/>
          <w:szCs w:val="24"/>
        </w:rPr>
        <w:t> </w:t>
      </w:r>
      <w:r w:rsidR="009762FB" w:rsidRPr="002954BB">
        <w:rPr>
          <w:rFonts w:ascii="Times New Roman" w:hAnsi="Times New Roman"/>
          <w:sz w:val="24"/>
          <w:szCs w:val="24"/>
        </w:rPr>
        <w:t xml:space="preserve">212-1 du </w:t>
      </w:r>
      <w:r w:rsidR="008364E1">
        <w:rPr>
          <w:rFonts w:ascii="Times New Roman" w:hAnsi="Times New Roman"/>
          <w:sz w:val="24"/>
          <w:szCs w:val="24"/>
        </w:rPr>
        <w:t>c</w:t>
      </w:r>
      <w:r w:rsidR="009762FB" w:rsidRPr="002954BB">
        <w:rPr>
          <w:rFonts w:ascii="Times New Roman" w:hAnsi="Times New Roman"/>
          <w:sz w:val="24"/>
          <w:szCs w:val="24"/>
        </w:rPr>
        <w:t xml:space="preserve">ode de la consommation qui se limite aux relations contractuelles de consommation et, dans le même temps, </w:t>
      </w:r>
      <w:r w:rsidR="009E4986" w:rsidRPr="002954BB">
        <w:rPr>
          <w:rFonts w:ascii="Times New Roman" w:hAnsi="Times New Roman"/>
          <w:sz w:val="24"/>
          <w:szCs w:val="24"/>
        </w:rPr>
        <w:t>les règles du droit de la consommation comportent une liste de clauses « noires » ou « grises » des actuels articles</w:t>
      </w:r>
      <w:r w:rsidR="004019C5">
        <w:rPr>
          <w:rFonts w:ascii="Times New Roman" w:hAnsi="Times New Roman"/>
          <w:sz w:val="24"/>
          <w:szCs w:val="24"/>
        </w:rPr>
        <w:t> </w:t>
      </w:r>
      <w:r w:rsidR="009E4986" w:rsidRPr="002954BB">
        <w:rPr>
          <w:rFonts w:ascii="Times New Roman" w:hAnsi="Times New Roman"/>
          <w:sz w:val="24"/>
          <w:szCs w:val="24"/>
        </w:rPr>
        <w:t>R.</w:t>
      </w:r>
      <w:r w:rsidR="004019C5">
        <w:rPr>
          <w:rFonts w:ascii="Times New Roman" w:hAnsi="Times New Roman"/>
          <w:sz w:val="24"/>
          <w:szCs w:val="24"/>
        </w:rPr>
        <w:t> </w:t>
      </w:r>
      <w:r w:rsidR="009E4986" w:rsidRPr="002954BB">
        <w:rPr>
          <w:rFonts w:ascii="Times New Roman" w:hAnsi="Times New Roman"/>
          <w:sz w:val="24"/>
          <w:szCs w:val="24"/>
        </w:rPr>
        <w:t xml:space="preserve">132-1 et </w:t>
      </w:r>
      <w:r w:rsidR="004019C5">
        <w:rPr>
          <w:rFonts w:ascii="Times New Roman" w:hAnsi="Times New Roman"/>
          <w:sz w:val="24"/>
          <w:szCs w:val="24"/>
        </w:rPr>
        <w:t>R. 132-</w:t>
      </w:r>
      <w:r w:rsidR="009E4986" w:rsidRPr="002954BB">
        <w:rPr>
          <w:rFonts w:ascii="Times New Roman" w:hAnsi="Times New Roman"/>
          <w:sz w:val="24"/>
          <w:szCs w:val="24"/>
        </w:rPr>
        <w:t xml:space="preserve">2 du </w:t>
      </w:r>
      <w:r w:rsidR="008364E1">
        <w:rPr>
          <w:rFonts w:ascii="Times New Roman" w:hAnsi="Times New Roman"/>
          <w:sz w:val="24"/>
          <w:szCs w:val="24"/>
        </w:rPr>
        <w:t>c</w:t>
      </w:r>
      <w:r w:rsidR="009E4986" w:rsidRPr="002954BB">
        <w:rPr>
          <w:rFonts w:ascii="Times New Roman" w:hAnsi="Times New Roman"/>
          <w:sz w:val="24"/>
          <w:szCs w:val="24"/>
        </w:rPr>
        <w:t>ode de la consommation, dont les clauses compromissoires par exemple. Or, on pourrait penser que ces listes de clauses, réputées irréfragablement ou simplement abusives, en tant qu’elles créent un pareil déséquilibre significatif, de type économique, sont susceptibles d’être utilisées, par itération, dans les contrats d’adhésion des articles</w:t>
      </w:r>
      <w:r w:rsidR="004019C5">
        <w:rPr>
          <w:rFonts w:ascii="Times New Roman" w:hAnsi="Times New Roman"/>
          <w:sz w:val="24"/>
          <w:szCs w:val="24"/>
        </w:rPr>
        <w:t> </w:t>
      </w:r>
      <w:r w:rsidR="009E4986" w:rsidRPr="002954BB">
        <w:rPr>
          <w:rFonts w:ascii="Times New Roman" w:hAnsi="Times New Roman"/>
          <w:sz w:val="24"/>
          <w:szCs w:val="24"/>
        </w:rPr>
        <w:t xml:space="preserve">1110 et 1171 du </w:t>
      </w:r>
      <w:r w:rsidR="008364E1">
        <w:rPr>
          <w:rFonts w:ascii="Times New Roman" w:hAnsi="Times New Roman"/>
          <w:sz w:val="24"/>
          <w:szCs w:val="24"/>
        </w:rPr>
        <w:t>c</w:t>
      </w:r>
      <w:r w:rsidR="009E4986" w:rsidRPr="002954BB">
        <w:rPr>
          <w:rFonts w:ascii="Times New Roman" w:hAnsi="Times New Roman"/>
          <w:sz w:val="24"/>
          <w:szCs w:val="24"/>
        </w:rPr>
        <w:t>ode civil. Si par conséquent, on peut considérer que les consommateurs conserveront l’application des règles spéciales du Code de la consommation, la portée de l’</w:t>
      </w:r>
      <w:r w:rsidR="00FF0E29" w:rsidRPr="002954BB">
        <w:rPr>
          <w:rFonts w:ascii="Times New Roman" w:hAnsi="Times New Roman"/>
          <w:sz w:val="24"/>
          <w:szCs w:val="24"/>
        </w:rPr>
        <w:t>article</w:t>
      </w:r>
      <w:r w:rsidR="004019C5">
        <w:rPr>
          <w:rFonts w:ascii="Times New Roman" w:hAnsi="Times New Roman"/>
          <w:sz w:val="24"/>
          <w:szCs w:val="24"/>
        </w:rPr>
        <w:t> </w:t>
      </w:r>
      <w:r w:rsidR="00FF0E29" w:rsidRPr="002954BB">
        <w:rPr>
          <w:rFonts w:ascii="Times New Roman" w:hAnsi="Times New Roman"/>
          <w:sz w:val="24"/>
          <w:szCs w:val="24"/>
        </w:rPr>
        <w:t>1171 est</w:t>
      </w:r>
      <w:r w:rsidR="009E4986" w:rsidRPr="002954BB">
        <w:rPr>
          <w:rFonts w:ascii="Times New Roman" w:hAnsi="Times New Roman"/>
          <w:sz w:val="24"/>
          <w:szCs w:val="24"/>
        </w:rPr>
        <w:t xml:space="preserve"> globalement équi</w:t>
      </w:r>
      <w:r w:rsidR="00FF0E29" w:rsidRPr="002954BB">
        <w:rPr>
          <w:rFonts w:ascii="Times New Roman" w:hAnsi="Times New Roman"/>
          <w:sz w:val="24"/>
          <w:szCs w:val="24"/>
        </w:rPr>
        <w:t>valente</w:t>
      </w:r>
      <w:r w:rsidR="009E4986" w:rsidRPr="002954BB">
        <w:rPr>
          <w:rFonts w:ascii="Times New Roman" w:hAnsi="Times New Roman"/>
          <w:sz w:val="24"/>
          <w:szCs w:val="24"/>
        </w:rPr>
        <w:t xml:space="preserve"> à l’extension de </w:t>
      </w:r>
      <w:r w:rsidR="00FF0E29" w:rsidRPr="002954BB">
        <w:rPr>
          <w:rFonts w:ascii="Times New Roman" w:hAnsi="Times New Roman"/>
          <w:sz w:val="24"/>
          <w:szCs w:val="24"/>
        </w:rPr>
        <w:t xml:space="preserve">la sanction des clauses abusives aux contrats d’adhésion « ordinaires ». </w:t>
      </w:r>
    </w:p>
    <w:p w:rsidR="00FF0E29" w:rsidRPr="002954BB" w:rsidRDefault="00FF0E29" w:rsidP="00966917">
      <w:pPr>
        <w:widowControl w:val="0"/>
        <w:autoSpaceDE w:val="0"/>
        <w:autoSpaceDN w:val="0"/>
        <w:adjustRightInd w:val="0"/>
        <w:spacing w:after="0" w:line="260" w:lineRule="atLeast"/>
        <w:jc w:val="both"/>
        <w:rPr>
          <w:rFonts w:ascii="Times New Roman" w:hAnsi="Times New Roman"/>
          <w:sz w:val="24"/>
          <w:szCs w:val="24"/>
        </w:rPr>
      </w:pPr>
    </w:p>
    <w:p w:rsidR="00595B4A" w:rsidRPr="002954BB" w:rsidRDefault="00FF0E29" w:rsidP="00966917">
      <w:pPr>
        <w:widowControl w:val="0"/>
        <w:autoSpaceDE w:val="0"/>
        <w:autoSpaceDN w:val="0"/>
        <w:adjustRightInd w:val="0"/>
        <w:spacing w:after="0" w:line="260" w:lineRule="atLeast"/>
        <w:jc w:val="both"/>
        <w:rPr>
          <w:rFonts w:ascii="Times New Roman" w:hAnsi="Times New Roman"/>
          <w:sz w:val="24"/>
          <w:szCs w:val="24"/>
        </w:rPr>
      </w:pPr>
      <w:r w:rsidRPr="002954BB">
        <w:rPr>
          <w:rFonts w:ascii="Times New Roman" w:hAnsi="Times New Roman"/>
          <w:sz w:val="24"/>
          <w:szCs w:val="24"/>
        </w:rPr>
        <w:t>De même la comparaison avec le mécanisme de l’</w:t>
      </w:r>
      <w:r w:rsidR="00EF6BD3" w:rsidRPr="002954BB">
        <w:rPr>
          <w:rFonts w:ascii="Times New Roman" w:hAnsi="Times New Roman"/>
          <w:sz w:val="24"/>
          <w:szCs w:val="24"/>
        </w:rPr>
        <w:t>article</w:t>
      </w:r>
      <w:r w:rsidR="00840989">
        <w:rPr>
          <w:rFonts w:ascii="Times New Roman" w:hAnsi="Times New Roman"/>
          <w:sz w:val="24"/>
          <w:szCs w:val="24"/>
        </w:rPr>
        <w:t> </w:t>
      </w:r>
      <w:r w:rsidR="00EF6BD3" w:rsidRPr="002954BB">
        <w:rPr>
          <w:rFonts w:ascii="Times New Roman" w:hAnsi="Times New Roman"/>
          <w:sz w:val="24"/>
          <w:szCs w:val="24"/>
        </w:rPr>
        <w:t>L.</w:t>
      </w:r>
      <w:r w:rsidR="00840989">
        <w:rPr>
          <w:rFonts w:ascii="Times New Roman" w:hAnsi="Times New Roman"/>
          <w:sz w:val="24"/>
          <w:szCs w:val="24"/>
        </w:rPr>
        <w:t> </w:t>
      </w:r>
      <w:r w:rsidR="00EF6BD3" w:rsidRPr="002954BB">
        <w:rPr>
          <w:rFonts w:ascii="Times New Roman" w:hAnsi="Times New Roman"/>
          <w:sz w:val="24"/>
          <w:szCs w:val="24"/>
        </w:rPr>
        <w:t>44</w:t>
      </w:r>
      <w:r w:rsidRPr="002954BB">
        <w:rPr>
          <w:rFonts w:ascii="Times New Roman" w:hAnsi="Times New Roman"/>
          <w:sz w:val="24"/>
          <w:szCs w:val="24"/>
        </w:rPr>
        <w:t>6</w:t>
      </w:r>
      <w:r w:rsidR="00EF6BD3" w:rsidRPr="002954BB">
        <w:rPr>
          <w:rFonts w:ascii="Times New Roman" w:hAnsi="Times New Roman"/>
          <w:sz w:val="24"/>
          <w:szCs w:val="24"/>
        </w:rPr>
        <w:t>, I, 2°</w:t>
      </w:r>
      <w:r w:rsidR="00840989">
        <w:rPr>
          <w:rFonts w:ascii="Times New Roman" w:hAnsi="Times New Roman"/>
          <w:sz w:val="24"/>
          <w:szCs w:val="24"/>
        </w:rPr>
        <w:t>,</w:t>
      </w:r>
      <w:r w:rsidRPr="002954BB">
        <w:rPr>
          <w:rFonts w:ascii="Times New Roman" w:hAnsi="Times New Roman"/>
          <w:sz w:val="24"/>
          <w:szCs w:val="24"/>
        </w:rPr>
        <w:t xml:space="preserve"> du </w:t>
      </w:r>
      <w:r w:rsidR="008364E1">
        <w:rPr>
          <w:rFonts w:ascii="Times New Roman" w:hAnsi="Times New Roman"/>
          <w:sz w:val="24"/>
          <w:szCs w:val="24"/>
        </w:rPr>
        <w:t>c</w:t>
      </w:r>
      <w:r w:rsidRPr="002954BB">
        <w:rPr>
          <w:rFonts w:ascii="Times New Roman" w:hAnsi="Times New Roman"/>
          <w:sz w:val="24"/>
          <w:szCs w:val="24"/>
        </w:rPr>
        <w:t>ode de commerce n’est pas dénué de sens : ce texte vise les rapports entre commerçants, disons entre professionnels, de sorte que la concurrence entre les deux textes peut sembler plus opérante. Or, là encore l’article</w:t>
      </w:r>
      <w:r w:rsidR="00840989">
        <w:rPr>
          <w:rFonts w:ascii="Times New Roman" w:hAnsi="Times New Roman"/>
          <w:sz w:val="24"/>
          <w:szCs w:val="24"/>
        </w:rPr>
        <w:t> </w:t>
      </w:r>
      <w:r w:rsidRPr="002954BB">
        <w:rPr>
          <w:rFonts w:ascii="Times New Roman" w:hAnsi="Times New Roman"/>
          <w:sz w:val="24"/>
          <w:szCs w:val="24"/>
        </w:rPr>
        <w:t>1171 semble tout à la fois en retrait et en avance par rapport à l’article</w:t>
      </w:r>
      <w:r w:rsidR="00840989">
        <w:rPr>
          <w:rFonts w:ascii="Times New Roman" w:hAnsi="Times New Roman"/>
          <w:sz w:val="24"/>
          <w:szCs w:val="24"/>
        </w:rPr>
        <w:t> </w:t>
      </w:r>
      <w:r w:rsidRPr="002954BB">
        <w:rPr>
          <w:rFonts w:ascii="Times New Roman" w:hAnsi="Times New Roman"/>
          <w:sz w:val="24"/>
          <w:szCs w:val="24"/>
        </w:rPr>
        <w:t>L.</w:t>
      </w:r>
      <w:r w:rsidR="00840989">
        <w:rPr>
          <w:rFonts w:ascii="Times New Roman" w:hAnsi="Times New Roman"/>
          <w:sz w:val="24"/>
          <w:szCs w:val="24"/>
        </w:rPr>
        <w:t> </w:t>
      </w:r>
      <w:r w:rsidRPr="002954BB">
        <w:rPr>
          <w:rFonts w:ascii="Times New Roman" w:hAnsi="Times New Roman"/>
          <w:sz w:val="24"/>
          <w:szCs w:val="24"/>
        </w:rPr>
        <w:t>442-6, I, 2°</w:t>
      </w:r>
      <w:r w:rsidR="00840989">
        <w:rPr>
          <w:rFonts w:ascii="Times New Roman" w:hAnsi="Times New Roman"/>
          <w:sz w:val="24"/>
          <w:szCs w:val="24"/>
        </w:rPr>
        <w:t>,</w:t>
      </w:r>
      <w:r w:rsidRPr="002954BB">
        <w:rPr>
          <w:rFonts w:ascii="Times New Roman" w:hAnsi="Times New Roman"/>
          <w:sz w:val="24"/>
          <w:szCs w:val="24"/>
        </w:rPr>
        <w:t xml:space="preserve"> du </w:t>
      </w:r>
      <w:r w:rsidR="00C632A6">
        <w:rPr>
          <w:rFonts w:ascii="Times New Roman" w:hAnsi="Times New Roman"/>
          <w:sz w:val="24"/>
          <w:szCs w:val="24"/>
        </w:rPr>
        <w:t>c</w:t>
      </w:r>
      <w:r w:rsidRPr="002954BB">
        <w:rPr>
          <w:rFonts w:ascii="Times New Roman" w:hAnsi="Times New Roman"/>
          <w:sz w:val="24"/>
          <w:szCs w:val="24"/>
        </w:rPr>
        <w:t xml:space="preserve">ode de commerce, quand bien même l’usage de ce texte ait été, quoique retentissante, </w:t>
      </w:r>
      <w:r w:rsidR="00074051" w:rsidRPr="002954BB">
        <w:rPr>
          <w:rFonts w:ascii="Times New Roman" w:hAnsi="Times New Roman"/>
          <w:sz w:val="24"/>
          <w:szCs w:val="24"/>
        </w:rPr>
        <w:t xml:space="preserve">assez </w:t>
      </w:r>
      <w:r w:rsidRPr="002954BB">
        <w:rPr>
          <w:rFonts w:ascii="Times New Roman" w:hAnsi="Times New Roman"/>
          <w:sz w:val="24"/>
          <w:szCs w:val="24"/>
        </w:rPr>
        <w:t>rare</w:t>
      </w:r>
      <w:r w:rsidRPr="002954BB">
        <w:rPr>
          <w:rStyle w:val="Appelnotedebasdep"/>
          <w:rFonts w:ascii="Times New Roman" w:hAnsi="Times New Roman"/>
          <w:sz w:val="24"/>
          <w:szCs w:val="24"/>
        </w:rPr>
        <w:footnoteReference w:id="16"/>
      </w:r>
      <w:r w:rsidRPr="002954BB">
        <w:rPr>
          <w:rFonts w:ascii="Times New Roman" w:hAnsi="Times New Roman"/>
          <w:sz w:val="24"/>
          <w:szCs w:val="24"/>
        </w:rPr>
        <w:t xml:space="preserve">. </w:t>
      </w:r>
    </w:p>
    <w:p w:rsidR="005706FC" w:rsidRPr="002954BB" w:rsidRDefault="005706FC" w:rsidP="00966917">
      <w:pPr>
        <w:widowControl w:val="0"/>
        <w:autoSpaceDE w:val="0"/>
        <w:autoSpaceDN w:val="0"/>
        <w:adjustRightInd w:val="0"/>
        <w:spacing w:after="0" w:line="260" w:lineRule="atLeast"/>
        <w:jc w:val="both"/>
        <w:rPr>
          <w:rFonts w:ascii="Times New Roman" w:hAnsi="Times New Roman"/>
          <w:sz w:val="24"/>
          <w:szCs w:val="24"/>
        </w:rPr>
      </w:pPr>
    </w:p>
    <w:p w:rsidR="00074051" w:rsidRPr="002954BB" w:rsidRDefault="00FF0E29" w:rsidP="00EF6BD3">
      <w:pPr>
        <w:widowControl w:val="0"/>
        <w:autoSpaceDE w:val="0"/>
        <w:autoSpaceDN w:val="0"/>
        <w:adjustRightInd w:val="0"/>
        <w:spacing w:after="0" w:line="260" w:lineRule="atLeast"/>
        <w:jc w:val="both"/>
        <w:rPr>
          <w:rFonts w:ascii="Times New Roman" w:hAnsi="Times New Roman"/>
          <w:color w:val="000000" w:themeColor="text1"/>
          <w:sz w:val="24"/>
          <w:szCs w:val="24"/>
        </w:rPr>
      </w:pPr>
      <w:r w:rsidRPr="002954BB">
        <w:rPr>
          <w:rFonts w:ascii="Times New Roman" w:hAnsi="Times New Roman"/>
          <w:sz w:val="24"/>
          <w:szCs w:val="24"/>
        </w:rPr>
        <w:t>Ainsi, l’article</w:t>
      </w:r>
      <w:r w:rsidR="00840989">
        <w:rPr>
          <w:rFonts w:ascii="Times New Roman" w:hAnsi="Times New Roman"/>
          <w:sz w:val="24"/>
          <w:szCs w:val="24"/>
        </w:rPr>
        <w:t> </w:t>
      </w:r>
      <w:r w:rsidRPr="002954BB">
        <w:rPr>
          <w:rFonts w:ascii="Times New Roman" w:hAnsi="Times New Roman"/>
          <w:sz w:val="24"/>
          <w:szCs w:val="24"/>
        </w:rPr>
        <w:t>1171, al</w:t>
      </w:r>
      <w:r w:rsidR="00840989">
        <w:rPr>
          <w:rFonts w:ascii="Times New Roman" w:hAnsi="Times New Roman"/>
          <w:sz w:val="24"/>
          <w:szCs w:val="24"/>
        </w:rPr>
        <w:t>inéa </w:t>
      </w:r>
      <w:r w:rsidRPr="002954BB">
        <w:rPr>
          <w:rFonts w:ascii="Times New Roman" w:hAnsi="Times New Roman"/>
          <w:sz w:val="24"/>
          <w:szCs w:val="24"/>
        </w:rPr>
        <w:t>2</w:t>
      </w:r>
      <w:r w:rsidR="00840989">
        <w:rPr>
          <w:rFonts w:ascii="Times New Roman" w:hAnsi="Times New Roman"/>
          <w:sz w:val="24"/>
          <w:szCs w:val="24"/>
        </w:rPr>
        <w:t>,</w:t>
      </w:r>
      <w:r w:rsidRPr="002954BB">
        <w:rPr>
          <w:rFonts w:ascii="Times New Roman" w:hAnsi="Times New Roman"/>
          <w:sz w:val="24"/>
          <w:szCs w:val="24"/>
        </w:rPr>
        <w:t xml:space="preserve"> du </w:t>
      </w:r>
      <w:r w:rsidR="00C632A6">
        <w:rPr>
          <w:rFonts w:ascii="Times New Roman" w:hAnsi="Times New Roman"/>
          <w:sz w:val="24"/>
          <w:szCs w:val="24"/>
        </w:rPr>
        <w:t>c</w:t>
      </w:r>
      <w:r w:rsidRPr="002954BB">
        <w:rPr>
          <w:rFonts w:ascii="Times New Roman" w:hAnsi="Times New Roman"/>
          <w:sz w:val="24"/>
          <w:szCs w:val="24"/>
        </w:rPr>
        <w:t>ode civil limite le contrôle des clauses exagérées (comme la règle de l’article</w:t>
      </w:r>
      <w:r w:rsidR="00840989">
        <w:rPr>
          <w:rFonts w:ascii="Times New Roman" w:hAnsi="Times New Roman"/>
          <w:sz w:val="24"/>
          <w:szCs w:val="24"/>
        </w:rPr>
        <w:t> </w:t>
      </w:r>
      <w:r w:rsidRPr="002954BB">
        <w:rPr>
          <w:rFonts w:ascii="Times New Roman" w:hAnsi="Times New Roman"/>
          <w:sz w:val="24"/>
          <w:szCs w:val="24"/>
        </w:rPr>
        <w:t>L</w:t>
      </w:r>
      <w:r w:rsidR="00C120A0" w:rsidRPr="002954BB">
        <w:rPr>
          <w:rFonts w:ascii="Times New Roman" w:hAnsi="Times New Roman"/>
          <w:sz w:val="24"/>
          <w:szCs w:val="24"/>
        </w:rPr>
        <w:t>.</w:t>
      </w:r>
      <w:r w:rsidR="00840989">
        <w:rPr>
          <w:rFonts w:ascii="Times New Roman" w:hAnsi="Times New Roman"/>
          <w:sz w:val="24"/>
          <w:szCs w:val="24"/>
        </w:rPr>
        <w:t> </w:t>
      </w:r>
      <w:r w:rsidRPr="002954BB">
        <w:rPr>
          <w:rFonts w:ascii="Times New Roman" w:hAnsi="Times New Roman"/>
          <w:sz w:val="24"/>
          <w:szCs w:val="24"/>
        </w:rPr>
        <w:t xml:space="preserve">212-1 du </w:t>
      </w:r>
      <w:r w:rsidR="00C632A6">
        <w:rPr>
          <w:rFonts w:ascii="Times New Roman" w:hAnsi="Times New Roman"/>
          <w:sz w:val="24"/>
          <w:szCs w:val="24"/>
        </w:rPr>
        <w:t>c</w:t>
      </w:r>
      <w:r w:rsidRPr="002954BB">
        <w:rPr>
          <w:rFonts w:ascii="Times New Roman" w:hAnsi="Times New Roman"/>
          <w:sz w:val="24"/>
          <w:szCs w:val="24"/>
        </w:rPr>
        <w:t>ode de la consommation d’ailleurs) à des clauses « marginales », en ce sens qu’il ne peut s’agir de clauses « essentielles », celles qui porterai</w:t>
      </w:r>
      <w:r w:rsidR="00984E7C" w:rsidRPr="002954BB">
        <w:rPr>
          <w:rFonts w:ascii="Times New Roman" w:hAnsi="Times New Roman"/>
          <w:sz w:val="24"/>
          <w:szCs w:val="24"/>
        </w:rPr>
        <w:t>en</w:t>
      </w:r>
      <w:r w:rsidRPr="002954BB">
        <w:rPr>
          <w:rFonts w:ascii="Times New Roman" w:hAnsi="Times New Roman"/>
          <w:sz w:val="24"/>
          <w:szCs w:val="24"/>
        </w:rPr>
        <w:t>t</w:t>
      </w:r>
      <w:r w:rsidR="00984E7C" w:rsidRPr="002954BB">
        <w:rPr>
          <w:rFonts w:ascii="Times New Roman" w:hAnsi="Times New Roman"/>
          <w:sz w:val="24"/>
          <w:szCs w:val="24"/>
        </w:rPr>
        <w:t xml:space="preserve"> sur l</w:t>
      </w:r>
      <w:r w:rsidR="00B73F9B" w:rsidRPr="002954BB">
        <w:rPr>
          <w:rFonts w:ascii="Times New Roman" w:hAnsi="Times New Roman"/>
          <w:sz w:val="24"/>
          <w:szCs w:val="24"/>
        </w:rPr>
        <w:t xml:space="preserve">’objet ou sur l’adéquation du </w:t>
      </w:r>
      <w:r w:rsidR="00984E7C" w:rsidRPr="002954BB">
        <w:rPr>
          <w:rFonts w:ascii="Times New Roman" w:hAnsi="Times New Roman"/>
          <w:sz w:val="24"/>
          <w:szCs w:val="24"/>
        </w:rPr>
        <w:t xml:space="preserve">prix </w:t>
      </w:r>
      <w:r w:rsidR="00B73F9B" w:rsidRPr="002954BB">
        <w:rPr>
          <w:rFonts w:ascii="Times New Roman" w:hAnsi="Times New Roman"/>
          <w:sz w:val="24"/>
          <w:szCs w:val="24"/>
        </w:rPr>
        <w:t>à la prestation.</w:t>
      </w:r>
      <w:r w:rsidR="002366CE" w:rsidRPr="002954BB">
        <w:rPr>
          <w:rFonts w:ascii="Times New Roman" w:hAnsi="Times New Roman"/>
          <w:sz w:val="24"/>
          <w:szCs w:val="24"/>
        </w:rPr>
        <w:t xml:space="preserve"> Or, l’article</w:t>
      </w:r>
      <w:r w:rsidR="00840989">
        <w:rPr>
          <w:rFonts w:ascii="Times New Roman" w:hAnsi="Times New Roman"/>
          <w:sz w:val="24"/>
          <w:szCs w:val="24"/>
        </w:rPr>
        <w:t> </w:t>
      </w:r>
      <w:r w:rsidR="002366CE" w:rsidRPr="002954BB">
        <w:rPr>
          <w:rFonts w:ascii="Times New Roman" w:hAnsi="Times New Roman"/>
          <w:sz w:val="24"/>
          <w:szCs w:val="24"/>
        </w:rPr>
        <w:t>L.</w:t>
      </w:r>
      <w:r w:rsidR="00840989">
        <w:rPr>
          <w:rFonts w:ascii="Times New Roman" w:hAnsi="Times New Roman"/>
          <w:sz w:val="24"/>
          <w:szCs w:val="24"/>
        </w:rPr>
        <w:t> </w:t>
      </w:r>
      <w:r w:rsidR="002366CE" w:rsidRPr="002954BB">
        <w:rPr>
          <w:rFonts w:ascii="Times New Roman" w:hAnsi="Times New Roman"/>
          <w:sz w:val="24"/>
          <w:szCs w:val="24"/>
        </w:rPr>
        <w:t>442-</w:t>
      </w:r>
      <w:r w:rsidR="00840989">
        <w:rPr>
          <w:rFonts w:ascii="Times New Roman" w:hAnsi="Times New Roman"/>
          <w:sz w:val="24"/>
          <w:szCs w:val="24"/>
        </w:rPr>
        <w:t>6</w:t>
      </w:r>
      <w:r w:rsidR="002366CE" w:rsidRPr="002954BB">
        <w:rPr>
          <w:rFonts w:ascii="Times New Roman" w:hAnsi="Times New Roman"/>
          <w:sz w:val="24"/>
          <w:szCs w:val="24"/>
        </w:rPr>
        <w:t>, I, 2°</w:t>
      </w:r>
      <w:r w:rsidR="00840989">
        <w:rPr>
          <w:rFonts w:ascii="Times New Roman" w:hAnsi="Times New Roman"/>
          <w:sz w:val="24"/>
          <w:szCs w:val="24"/>
        </w:rPr>
        <w:t>,</w:t>
      </w:r>
      <w:r w:rsidR="002366CE" w:rsidRPr="002954BB">
        <w:rPr>
          <w:rFonts w:ascii="Times New Roman" w:hAnsi="Times New Roman"/>
          <w:sz w:val="24"/>
          <w:szCs w:val="24"/>
        </w:rPr>
        <w:t xml:space="preserve"> du </w:t>
      </w:r>
      <w:r w:rsidR="00C632A6">
        <w:rPr>
          <w:rFonts w:ascii="Times New Roman" w:hAnsi="Times New Roman"/>
          <w:sz w:val="24"/>
          <w:szCs w:val="24"/>
        </w:rPr>
        <w:t>c</w:t>
      </w:r>
      <w:r w:rsidR="002366CE" w:rsidRPr="002954BB">
        <w:rPr>
          <w:rFonts w:ascii="Times New Roman" w:hAnsi="Times New Roman"/>
          <w:sz w:val="24"/>
          <w:szCs w:val="24"/>
        </w:rPr>
        <w:t>ode de commerce ignore ce type de limitation et, d’ailleurs sont utilité est précisément de permettre le contrôle de ce type, encouragé d’ailleurs par la lettre de l’article</w:t>
      </w:r>
      <w:r w:rsidR="00840989">
        <w:rPr>
          <w:rFonts w:ascii="Times New Roman" w:hAnsi="Times New Roman"/>
          <w:sz w:val="24"/>
          <w:szCs w:val="24"/>
        </w:rPr>
        <w:t> </w:t>
      </w:r>
      <w:r w:rsidR="002366CE" w:rsidRPr="002954BB">
        <w:rPr>
          <w:rFonts w:ascii="Times New Roman" w:hAnsi="Times New Roman"/>
          <w:sz w:val="24"/>
          <w:szCs w:val="24"/>
        </w:rPr>
        <w:t>L.</w:t>
      </w:r>
      <w:r w:rsidR="00840989">
        <w:rPr>
          <w:rFonts w:ascii="Times New Roman" w:hAnsi="Times New Roman"/>
          <w:sz w:val="24"/>
          <w:szCs w:val="24"/>
        </w:rPr>
        <w:t> </w:t>
      </w:r>
      <w:r w:rsidR="002366CE" w:rsidRPr="002954BB">
        <w:rPr>
          <w:rFonts w:ascii="Times New Roman" w:hAnsi="Times New Roman"/>
          <w:sz w:val="24"/>
          <w:szCs w:val="24"/>
        </w:rPr>
        <w:t>442-6, I, 1°</w:t>
      </w:r>
      <w:r w:rsidR="00840989">
        <w:rPr>
          <w:rFonts w:ascii="Times New Roman" w:hAnsi="Times New Roman"/>
          <w:sz w:val="24"/>
          <w:szCs w:val="24"/>
        </w:rPr>
        <w:t>,</w:t>
      </w:r>
      <w:r w:rsidR="002366CE" w:rsidRPr="002954BB">
        <w:rPr>
          <w:rFonts w:ascii="Times New Roman" w:hAnsi="Times New Roman"/>
          <w:sz w:val="24"/>
          <w:szCs w:val="24"/>
        </w:rPr>
        <w:t xml:space="preserve"> qui excepte expressément le rejet de principe du contrôle de l’inadéquation des prestations réciproques. </w:t>
      </w:r>
      <w:r w:rsidR="00074051" w:rsidRPr="002954BB">
        <w:rPr>
          <w:rFonts w:ascii="Times New Roman" w:hAnsi="Times New Roman"/>
          <w:sz w:val="24"/>
          <w:szCs w:val="24"/>
        </w:rPr>
        <w:t>En revanche, et en faveur de l’application de l’article</w:t>
      </w:r>
      <w:r w:rsidR="00840989">
        <w:rPr>
          <w:rFonts w:ascii="Times New Roman" w:hAnsi="Times New Roman"/>
          <w:sz w:val="24"/>
          <w:szCs w:val="24"/>
        </w:rPr>
        <w:t> </w:t>
      </w:r>
      <w:r w:rsidR="00074051" w:rsidRPr="002954BB">
        <w:rPr>
          <w:rFonts w:ascii="Times New Roman" w:hAnsi="Times New Roman"/>
          <w:sz w:val="24"/>
          <w:szCs w:val="24"/>
        </w:rPr>
        <w:t xml:space="preserve">1171 du </w:t>
      </w:r>
      <w:r w:rsidR="00C632A6">
        <w:rPr>
          <w:rFonts w:ascii="Times New Roman" w:hAnsi="Times New Roman"/>
          <w:sz w:val="24"/>
          <w:szCs w:val="24"/>
        </w:rPr>
        <w:t>c</w:t>
      </w:r>
      <w:r w:rsidR="00074051" w:rsidRPr="002954BB">
        <w:rPr>
          <w:rFonts w:ascii="Times New Roman" w:hAnsi="Times New Roman"/>
          <w:sz w:val="24"/>
          <w:szCs w:val="24"/>
        </w:rPr>
        <w:t>ode civil, la sanction promise est radicale, la suppression de la clause qui crée le déséquilibre significatif</w:t>
      </w:r>
      <w:r w:rsidR="00984E7C" w:rsidRPr="002954BB">
        <w:rPr>
          <w:rFonts w:ascii="Times New Roman" w:hAnsi="Times New Roman"/>
          <w:sz w:val="24"/>
          <w:szCs w:val="24"/>
        </w:rPr>
        <w:t xml:space="preserve"> </w:t>
      </w:r>
      <w:r w:rsidR="00074051" w:rsidRPr="002954BB">
        <w:rPr>
          <w:rFonts w:ascii="Times New Roman" w:hAnsi="Times New Roman"/>
          <w:color w:val="000000" w:themeColor="text1"/>
          <w:sz w:val="24"/>
          <w:szCs w:val="24"/>
        </w:rPr>
        <w:t xml:space="preserve">alors que les règles du </w:t>
      </w:r>
      <w:r w:rsidR="00C632A6">
        <w:rPr>
          <w:rFonts w:ascii="Times New Roman" w:hAnsi="Times New Roman"/>
          <w:color w:val="000000" w:themeColor="text1"/>
          <w:sz w:val="24"/>
          <w:szCs w:val="24"/>
        </w:rPr>
        <w:t>c</w:t>
      </w:r>
      <w:r w:rsidR="00074051" w:rsidRPr="002954BB">
        <w:rPr>
          <w:rFonts w:ascii="Times New Roman" w:hAnsi="Times New Roman"/>
          <w:color w:val="000000" w:themeColor="text1"/>
          <w:sz w:val="24"/>
          <w:szCs w:val="24"/>
        </w:rPr>
        <w:t>ode de commerce ne propose</w:t>
      </w:r>
      <w:r w:rsidR="00EF6BD3" w:rsidRPr="002954BB">
        <w:rPr>
          <w:rFonts w:ascii="Times New Roman" w:hAnsi="Times New Roman"/>
          <w:color w:val="000000" w:themeColor="text1"/>
          <w:sz w:val="24"/>
          <w:szCs w:val="24"/>
        </w:rPr>
        <w:t>nt</w:t>
      </w:r>
      <w:r w:rsidR="00074051" w:rsidRPr="002954BB">
        <w:rPr>
          <w:rFonts w:ascii="Times New Roman" w:hAnsi="Times New Roman"/>
          <w:color w:val="000000" w:themeColor="text1"/>
          <w:sz w:val="24"/>
          <w:szCs w:val="24"/>
        </w:rPr>
        <w:t xml:space="preserve"> que l’engagement de la responsabilité de l’autre contractant. Toutefois, le contractant subissant une clause « abusive » au sens de l’article</w:t>
      </w:r>
      <w:r w:rsidR="00840989">
        <w:rPr>
          <w:rFonts w:ascii="Times New Roman" w:hAnsi="Times New Roman"/>
          <w:color w:val="000000" w:themeColor="text1"/>
          <w:sz w:val="24"/>
          <w:szCs w:val="24"/>
        </w:rPr>
        <w:t> </w:t>
      </w:r>
      <w:r w:rsidR="00074051" w:rsidRPr="002954BB">
        <w:rPr>
          <w:rFonts w:ascii="Times New Roman" w:hAnsi="Times New Roman"/>
          <w:color w:val="000000" w:themeColor="text1"/>
          <w:sz w:val="24"/>
          <w:szCs w:val="24"/>
        </w:rPr>
        <w:t>L.</w:t>
      </w:r>
      <w:r w:rsidR="00840989">
        <w:rPr>
          <w:rFonts w:ascii="Times New Roman" w:hAnsi="Times New Roman"/>
          <w:color w:val="000000" w:themeColor="text1"/>
          <w:sz w:val="24"/>
          <w:szCs w:val="24"/>
        </w:rPr>
        <w:t> </w:t>
      </w:r>
      <w:r w:rsidR="00074051" w:rsidRPr="002954BB">
        <w:rPr>
          <w:rFonts w:ascii="Times New Roman" w:hAnsi="Times New Roman"/>
          <w:color w:val="000000" w:themeColor="text1"/>
          <w:sz w:val="24"/>
          <w:szCs w:val="24"/>
        </w:rPr>
        <w:t>442-6, I, 2°</w:t>
      </w:r>
      <w:r w:rsidR="00840989">
        <w:rPr>
          <w:rFonts w:ascii="Times New Roman" w:hAnsi="Times New Roman"/>
          <w:color w:val="000000" w:themeColor="text1"/>
          <w:sz w:val="24"/>
          <w:szCs w:val="24"/>
        </w:rPr>
        <w:t>,</w:t>
      </w:r>
      <w:r w:rsidR="00074051" w:rsidRPr="002954BB">
        <w:rPr>
          <w:rFonts w:ascii="Times New Roman" w:hAnsi="Times New Roman"/>
          <w:color w:val="000000" w:themeColor="text1"/>
          <w:sz w:val="24"/>
          <w:szCs w:val="24"/>
        </w:rPr>
        <w:t xml:space="preserve"> peut disposer de l’assistance du ministre de l’économie, qui peut même agir à la place du contractant, pour obtenir la nullité de la clause, la répétition de l’indu et des indemnités (outre une amende civile qui peut aller jusqu’à 5</w:t>
      </w:r>
      <w:r w:rsidR="00840989">
        <w:rPr>
          <w:rFonts w:ascii="Times New Roman" w:hAnsi="Times New Roman"/>
          <w:color w:val="000000" w:themeColor="text1"/>
          <w:sz w:val="24"/>
          <w:szCs w:val="24"/>
        </w:rPr>
        <w:t> </w:t>
      </w:r>
      <w:r w:rsidR="00074051" w:rsidRPr="002954BB">
        <w:rPr>
          <w:rFonts w:ascii="Times New Roman" w:hAnsi="Times New Roman"/>
          <w:color w:val="000000" w:themeColor="text1"/>
          <w:sz w:val="24"/>
          <w:szCs w:val="24"/>
        </w:rPr>
        <w:t xml:space="preserve">% du chiffre d’affaires de l’autre partie). </w:t>
      </w:r>
    </w:p>
    <w:p w:rsidR="00074051" w:rsidRPr="002954BB" w:rsidRDefault="00074051" w:rsidP="00966917">
      <w:pPr>
        <w:widowControl w:val="0"/>
        <w:autoSpaceDE w:val="0"/>
        <w:autoSpaceDN w:val="0"/>
        <w:adjustRightInd w:val="0"/>
        <w:spacing w:after="0" w:line="260" w:lineRule="atLeast"/>
        <w:jc w:val="both"/>
        <w:rPr>
          <w:rFonts w:ascii="Times New Roman" w:hAnsi="Times New Roman"/>
          <w:sz w:val="24"/>
          <w:szCs w:val="24"/>
        </w:rPr>
      </w:pPr>
    </w:p>
    <w:p w:rsidR="005706FC" w:rsidRPr="002954BB" w:rsidRDefault="00EF6BD3" w:rsidP="004D135D">
      <w:pPr>
        <w:widowControl w:val="0"/>
        <w:autoSpaceDE w:val="0"/>
        <w:autoSpaceDN w:val="0"/>
        <w:adjustRightInd w:val="0"/>
        <w:spacing w:after="0" w:line="260" w:lineRule="atLeast"/>
        <w:jc w:val="both"/>
        <w:rPr>
          <w:rFonts w:ascii="Times New Roman" w:hAnsi="Times New Roman"/>
          <w:color w:val="000000" w:themeColor="text1"/>
          <w:sz w:val="24"/>
          <w:szCs w:val="24"/>
        </w:rPr>
      </w:pPr>
      <w:r w:rsidRPr="002954BB">
        <w:rPr>
          <w:rFonts w:ascii="Times New Roman" w:hAnsi="Times New Roman"/>
          <w:sz w:val="24"/>
          <w:szCs w:val="24"/>
        </w:rPr>
        <w:t>C’est donc essentiellement une question de stratégie judiciaire qui justifiera l’utilisation de l’un ou autre, étant entendu que l’article</w:t>
      </w:r>
      <w:r w:rsidR="00840989">
        <w:rPr>
          <w:rFonts w:ascii="Times New Roman" w:hAnsi="Times New Roman"/>
          <w:sz w:val="24"/>
          <w:szCs w:val="24"/>
        </w:rPr>
        <w:t> </w:t>
      </w:r>
      <w:r w:rsidRPr="002954BB">
        <w:rPr>
          <w:rFonts w:ascii="Times New Roman" w:hAnsi="Times New Roman"/>
          <w:sz w:val="24"/>
          <w:szCs w:val="24"/>
        </w:rPr>
        <w:t>1171, par sa portée large justifie une forme d’unité processuelle qui pourrait être très favorable à ce dernier.</w:t>
      </w:r>
      <w:r w:rsidR="004D135D" w:rsidRPr="002954BB">
        <w:rPr>
          <w:rFonts w:ascii="Times New Roman" w:hAnsi="Times New Roman"/>
          <w:sz w:val="24"/>
          <w:szCs w:val="24"/>
        </w:rPr>
        <w:t xml:space="preserve"> </w:t>
      </w:r>
      <w:r w:rsidR="005706FC" w:rsidRPr="002954BB">
        <w:rPr>
          <w:rFonts w:ascii="Times New Roman" w:hAnsi="Times New Roman"/>
          <w:color w:val="000000" w:themeColor="text1"/>
          <w:sz w:val="24"/>
          <w:szCs w:val="24"/>
        </w:rPr>
        <w:t>Même ainsi limité,</w:t>
      </w:r>
      <w:r w:rsidR="004D135D" w:rsidRPr="002954BB">
        <w:rPr>
          <w:rFonts w:ascii="Times New Roman" w:hAnsi="Times New Roman"/>
          <w:color w:val="000000" w:themeColor="text1"/>
          <w:sz w:val="24"/>
          <w:szCs w:val="24"/>
        </w:rPr>
        <w:t xml:space="preserve"> en effet,</w:t>
      </w:r>
      <w:r w:rsidR="005706FC" w:rsidRPr="002954BB">
        <w:rPr>
          <w:rFonts w:ascii="Times New Roman" w:hAnsi="Times New Roman"/>
          <w:color w:val="000000" w:themeColor="text1"/>
          <w:sz w:val="24"/>
          <w:szCs w:val="24"/>
        </w:rPr>
        <w:t xml:space="preserve"> le texte </w:t>
      </w:r>
      <w:r w:rsidR="004D135D" w:rsidRPr="002954BB">
        <w:rPr>
          <w:rFonts w:ascii="Times New Roman" w:hAnsi="Times New Roman"/>
          <w:color w:val="000000" w:themeColor="text1"/>
          <w:sz w:val="24"/>
          <w:szCs w:val="24"/>
        </w:rPr>
        <w:t>de l’article</w:t>
      </w:r>
      <w:r w:rsidR="00840989">
        <w:rPr>
          <w:rFonts w:ascii="Times New Roman" w:hAnsi="Times New Roman"/>
          <w:color w:val="000000" w:themeColor="text1"/>
          <w:sz w:val="24"/>
          <w:szCs w:val="24"/>
        </w:rPr>
        <w:t> </w:t>
      </w:r>
      <w:r w:rsidR="004D135D" w:rsidRPr="002954BB">
        <w:rPr>
          <w:rFonts w:ascii="Times New Roman" w:hAnsi="Times New Roman"/>
          <w:color w:val="000000" w:themeColor="text1"/>
          <w:sz w:val="24"/>
          <w:szCs w:val="24"/>
        </w:rPr>
        <w:t xml:space="preserve">1171 du </w:t>
      </w:r>
      <w:r w:rsidR="00C632A6">
        <w:rPr>
          <w:rFonts w:ascii="Times New Roman" w:hAnsi="Times New Roman"/>
          <w:color w:val="000000" w:themeColor="text1"/>
          <w:sz w:val="24"/>
          <w:szCs w:val="24"/>
        </w:rPr>
        <w:t>c</w:t>
      </w:r>
      <w:r w:rsidR="004D135D" w:rsidRPr="002954BB">
        <w:rPr>
          <w:rFonts w:ascii="Times New Roman" w:hAnsi="Times New Roman"/>
          <w:color w:val="000000" w:themeColor="text1"/>
          <w:sz w:val="24"/>
          <w:szCs w:val="24"/>
        </w:rPr>
        <w:t xml:space="preserve">ode civil </w:t>
      </w:r>
      <w:r w:rsidR="005706FC" w:rsidRPr="002954BB">
        <w:rPr>
          <w:rFonts w:ascii="Times New Roman" w:hAnsi="Times New Roman"/>
          <w:color w:val="000000" w:themeColor="text1"/>
          <w:sz w:val="24"/>
          <w:szCs w:val="24"/>
        </w:rPr>
        <w:t xml:space="preserve">est considérable et </w:t>
      </w:r>
      <w:r w:rsidR="00080218" w:rsidRPr="002954BB">
        <w:rPr>
          <w:rFonts w:ascii="Times New Roman" w:hAnsi="Times New Roman"/>
          <w:color w:val="000000" w:themeColor="text1"/>
          <w:sz w:val="24"/>
          <w:szCs w:val="24"/>
        </w:rPr>
        <w:t>devrait, naturellement, servir de fondement général à la plupart des demandes d’élimination des clauses « abusives », « exagérées », « disproportionnées »</w:t>
      </w:r>
      <w:r w:rsidR="00E97BFA" w:rsidRPr="002954BB">
        <w:rPr>
          <w:rFonts w:ascii="Times New Roman" w:hAnsi="Times New Roman"/>
          <w:color w:val="000000" w:themeColor="text1"/>
          <w:sz w:val="24"/>
          <w:szCs w:val="24"/>
        </w:rPr>
        <w:t xml:space="preserve">, comme on voudra bien les envisager </w:t>
      </w:r>
      <w:r w:rsidR="00E97BFA" w:rsidRPr="002954BB">
        <w:rPr>
          <w:rFonts w:ascii="Times New Roman" w:hAnsi="Times New Roman"/>
          <w:color w:val="000000" w:themeColor="text1"/>
          <w:sz w:val="24"/>
          <w:szCs w:val="24"/>
        </w:rPr>
        <w:lastRenderedPageBreak/>
        <w:t>et notamment dans les</w:t>
      </w:r>
      <w:r w:rsidR="005706FC" w:rsidRPr="002954BB">
        <w:rPr>
          <w:rFonts w:ascii="Times New Roman" w:hAnsi="Times New Roman"/>
          <w:color w:val="000000" w:themeColor="text1"/>
          <w:sz w:val="24"/>
          <w:szCs w:val="24"/>
        </w:rPr>
        <w:t xml:space="preserve"> contrats « </w:t>
      </w:r>
      <w:r w:rsidR="005706FC" w:rsidRPr="002954BB">
        <w:rPr>
          <w:rFonts w:ascii="Times New Roman" w:hAnsi="Times New Roman"/>
          <w:i/>
          <w:color w:val="000000" w:themeColor="text1"/>
          <w:sz w:val="24"/>
          <w:szCs w:val="24"/>
        </w:rPr>
        <w:t>structurellement déséquilibrés </w:t>
      </w:r>
      <w:r w:rsidR="0029446F" w:rsidRPr="0029446F">
        <w:rPr>
          <w:rFonts w:ascii="Times New Roman" w:hAnsi="Times New Roman"/>
          <w:color w:val="000000" w:themeColor="text1"/>
          <w:sz w:val="24"/>
          <w:szCs w:val="24"/>
        </w:rPr>
        <w:t>»</w:t>
      </w:r>
      <w:r w:rsidR="00C0003B">
        <w:rPr>
          <w:rStyle w:val="Appelnotedebasdep"/>
          <w:rFonts w:ascii="Times New Roman" w:hAnsi="Times New Roman"/>
          <w:i/>
          <w:color w:val="000000" w:themeColor="text1"/>
          <w:sz w:val="24"/>
          <w:szCs w:val="24"/>
        </w:rPr>
        <w:footnoteReference w:id="17"/>
      </w:r>
      <w:r w:rsidR="005706FC" w:rsidRPr="002954BB">
        <w:rPr>
          <w:rFonts w:ascii="Times New Roman" w:hAnsi="Times New Roman"/>
          <w:color w:val="000000" w:themeColor="text1"/>
          <w:sz w:val="24"/>
          <w:szCs w:val="24"/>
        </w:rPr>
        <w:t>.</w:t>
      </w:r>
    </w:p>
    <w:p w:rsidR="005706FC" w:rsidRPr="002954BB" w:rsidRDefault="005706FC" w:rsidP="005706FC">
      <w:pPr>
        <w:pStyle w:val="Style1"/>
        <w:widowControl w:val="0"/>
        <w:numPr>
          <w:ilvl w:val="0"/>
          <w:numId w:val="0"/>
        </w:numPr>
        <w:autoSpaceDE w:val="0"/>
        <w:autoSpaceDN w:val="0"/>
        <w:adjustRightInd w:val="0"/>
        <w:spacing w:line="260" w:lineRule="atLeast"/>
        <w:jc w:val="both"/>
      </w:pPr>
      <w:bookmarkStart w:id="41" w:name="_GoBack"/>
      <w:bookmarkEnd w:id="41"/>
    </w:p>
    <w:sectPr w:rsidR="005706FC" w:rsidRPr="002954BB" w:rsidSect="003D19CF">
      <w:pgSz w:w="11905" w:h="16837"/>
      <w:pgMar w:top="1701" w:right="1701" w:bottom="170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563" w:rsidRDefault="00756563" w:rsidP="004658C7">
      <w:pPr>
        <w:spacing w:after="0" w:line="240" w:lineRule="auto"/>
      </w:pPr>
      <w:r>
        <w:separator/>
      </w:r>
    </w:p>
  </w:endnote>
  <w:endnote w:type="continuationSeparator" w:id="1">
    <w:p w:rsidR="00756563" w:rsidRDefault="00756563" w:rsidP="00465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563" w:rsidRDefault="00756563" w:rsidP="004658C7">
      <w:pPr>
        <w:spacing w:after="0" w:line="240" w:lineRule="auto"/>
      </w:pPr>
      <w:r>
        <w:separator/>
      </w:r>
    </w:p>
  </w:footnote>
  <w:footnote w:type="continuationSeparator" w:id="1">
    <w:p w:rsidR="00756563" w:rsidRDefault="00756563" w:rsidP="004658C7">
      <w:pPr>
        <w:spacing w:after="0" w:line="240" w:lineRule="auto"/>
      </w:pPr>
      <w:r>
        <w:continuationSeparator/>
      </w:r>
    </w:p>
  </w:footnote>
  <w:footnote w:id="2">
    <w:p w:rsidR="00746A30" w:rsidRPr="00635D2F" w:rsidRDefault="00746A30" w:rsidP="00635D2F">
      <w:pPr>
        <w:pStyle w:val="Notedebasdepage"/>
        <w:jc w:val="both"/>
        <w:rPr>
          <w:rFonts w:ascii="Times New Roman" w:hAnsi="Times New Roman"/>
          <w:sz w:val="22"/>
          <w:szCs w:val="22"/>
        </w:rPr>
      </w:pPr>
      <w:r w:rsidRPr="00635D2F">
        <w:rPr>
          <w:rStyle w:val="Appelnotedebasdep"/>
          <w:rFonts w:ascii="Times New Roman" w:hAnsi="Times New Roman"/>
          <w:sz w:val="22"/>
          <w:szCs w:val="22"/>
        </w:rPr>
        <w:footnoteRef/>
      </w:r>
      <w:r w:rsidRPr="00635D2F">
        <w:rPr>
          <w:rFonts w:ascii="Times New Roman" w:hAnsi="Times New Roman"/>
          <w:sz w:val="22"/>
          <w:szCs w:val="22"/>
        </w:rPr>
        <w:t xml:space="preserve"> </w:t>
      </w:r>
      <w:r w:rsidR="006F0D22">
        <w:rPr>
          <w:rFonts w:ascii="Times New Roman" w:hAnsi="Times New Roman"/>
          <w:sz w:val="22"/>
          <w:szCs w:val="22"/>
        </w:rPr>
        <w:t>Voir</w:t>
      </w:r>
      <w:r w:rsidRPr="00635D2F">
        <w:rPr>
          <w:rFonts w:ascii="Times New Roman" w:hAnsi="Times New Roman"/>
          <w:sz w:val="22"/>
          <w:szCs w:val="22"/>
        </w:rPr>
        <w:t xml:space="preserve"> N.</w:t>
      </w:r>
      <w:r w:rsidR="006F0D22">
        <w:rPr>
          <w:rFonts w:ascii="Times New Roman" w:hAnsi="Times New Roman"/>
          <w:sz w:val="22"/>
          <w:szCs w:val="22"/>
        </w:rPr>
        <w:t> </w:t>
      </w:r>
      <w:r w:rsidRPr="00635D2F">
        <w:rPr>
          <w:rFonts w:ascii="Times New Roman" w:hAnsi="Times New Roman"/>
          <w:sz w:val="22"/>
          <w:szCs w:val="22"/>
        </w:rPr>
        <w:t xml:space="preserve">Ferrier, La détermination par le juge du contenu du contrat, </w:t>
      </w:r>
      <w:r w:rsidR="0029446F" w:rsidRPr="0029446F">
        <w:rPr>
          <w:rFonts w:ascii="Times New Roman" w:hAnsi="Times New Roman"/>
          <w:i/>
          <w:sz w:val="22"/>
          <w:szCs w:val="22"/>
        </w:rPr>
        <w:t>in</w:t>
      </w:r>
      <w:r w:rsidRPr="006F0D22">
        <w:rPr>
          <w:rFonts w:ascii="Times New Roman" w:hAnsi="Times New Roman"/>
          <w:sz w:val="22"/>
          <w:szCs w:val="22"/>
        </w:rPr>
        <w:t xml:space="preserve"> C</w:t>
      </w:r>
      <w:r w:rsidR="006F0D22">
        <w:rPr>
          <w:rFonts w:ascii="Times New Roman" w:hAnsi="Times New Roman"/>
          <w:sz w:val="22"/>
          <w:szCs w:val="22"/>
        </w:rPr>
        <w:t>h</w:t>
      </w:r>
      <w:r w:rsidRPr="006F0D22">
        <w:rPr>
          <w:rFonts w:ascii="Times New Roman" w:hAnsi="Times New Roman"/>
          <w:sz w:val="22"/>
          <w:szCs w:val="22"/>
        </w:rPr>
        <w:t>.</w:t>
      </w:r>
      <w:r w:rsidR="006F0D22">
        <w:rPr>
          <w:rFonts w:ascii="Times New Roman" w:hAnsi="Times New Roman"/>
          <w:sz w:val="22"/>
          <w:szCs w:val="22"/>
        </w:rPr>
        <w:t> </w:t>
      </w:r>
      <w:r w:rsidRPr="006F0D22">
        <w:rPr>
          <w:rFonts w:ascii="Times New Roman" w:hAnsi="Times New Roman"/>
          <w:sz w:val="22"/>
          <w:szCs w:val="22"/>
        </w:rPr>
        <w:t>Al</w:t>
      </w:r>
      <w:r w:rsidR="00916179" w:rsidRPr="006F0D22">
        <w:rPr>
          <w:rFonts w:ascii="Times New Roman" w:hAnsi="Times New Roman"/>
          <w:sz w:val="22"/>
          <w:szCs w:val="22"/>
        </w:rPr>
        <w:t>b</w:t>
      </w:r>
      <w:r w:rsidRPr="006F0D22">
        <w:rPr>
          <w:rFonts w:ascii="Times New Roman" w:hAnsi="Times New Roman"/>
          <w:sz w:val="22"/>
          <w:szCs w:val="22"/>
        </w:rPr>
        <w:t>ig</w:t>
      </w:r>
      <w:r w:rsidR="006F0D22">
        <w:rPr>
          <w:rFonts w:ascii="Times New Roman" w:hAnsi="Times New Roman"/>
          <w:sz w:val="22"/>
          <w:szCs w:val="22"/>
        </w:rPr>
        <w:t>e</w:t>
      </w:r>
      <w:r w:rsidRPr="006F0D22">
        <w:rPr>
          <w:rFonts w:ascii="Times New Roman" w:hAnsi="Times New Roman"/>
          <w:sz w:val="22"/>
          <w:szCs w:val="22"/>
        </w:rPr>
        <w:t xml:space="preserve">s (dir.), </w:t>
      </w:r>
      <w:r w:rsidRPr="006F0D22">
        <w:rPr>
          <w:rFonts w:ascii="Times New Roman" w:hAnsi="Times New Roman"/>
          <w:iCs/>
          <w:sz w:val="22"/>
          <w:szCs w:val="22"/>
        </w:rPr>
        <w:t>La réforme du droit des contrats</w:t>
      </w:r>
      <w:r w:rsidRPr="00635D2F">
        <w:rPr>
          <w:rFonts w:ascii="Times New Roman" w:hAnsi="Times New Roman"/>
          <w:iCs/>
          <w:sz w:val="22"/>
          <w:szCs w:val="22"/>
        </w:rPr>
        <w:t>, Dalloz,</w:t>
      </w:r>
      <w:r w:rsidR="00385205">
        <w:rPr>
          <w:rFonts w:ascii="Times New Roman" w:hAnsi="Times New Roman"/>
          <w:iCs/>
          <w:sz w:val="22"/>
          <w:szCs w:val="22"/>
        </w:rPr>
        <w:t xml:space="preserve"> </w:t>
      </w:r>
      <w:r w:rsidRPr="00635D2F">
        <w:rPr>
          <w:rFonts w:ascii="Times New Roman" w:hAnsi="Times New Roman"/>
          <w:iCs/>
          <w:sz w:val="22"/>
          <w:szCs w:val="22"/>
        </w:rPr>
        <w:t>2015</w:t>
      </w:r>
      <w:r w:rsidR="002F702A">
        <w:rPr>
          <w:rFonts w:ascii="Times New Roman" w:hAnsi="Times New Roman"/>
          <w:iCs/>
          <w:sz w:val="22"/>
          <w:szCs w:val="22"/>
        </w:rPr>
        <w:t> ;</w:t>
      </w:r>
      <w:r w:rsidRPr="00635D2F">
        <w:rPr>
          <w:rFonts w:ascii="Times New Roman" w:hAnsi="Times New Roman"/>
          <w:iCs/>
          <w:sz w:val="22"/>
          <w:szCs w:val="22"/>
        </w:rPr>
        <w:t xml:space="preserve"> </w:t>
      </w:r>
      <w:r w:rsidR="00246486">
        <w:rPr>
          <w:rFonts w:ascii="Times New Roman" w:hAnsi="Times New Roman"/>
          <w:i/>
          <w:iCs/>
          <w:sz w:val="22"/>
          <w:szCs w:val="22"/>
        </w:rPr>
        <w:t>a</w:t>
      </w:r>
      <w:r w:rsidR="0029446F" w:rsidRPr="0029446F">
        <w:rPr>
          <w:rFonts w:ascii="Times New Roman" w:hAnsi="Times New Roman"/>
          <w:i/>
          <w:iCs/>
          <w:sz w:val="22"/>
          <w:szCs w:val="22"/>
        </w:rPr>
        <w:t>dde</w:t>
      </w:r>
      <w:r w:rsidRPr="00635D2F">
        <w:rPr>
          <w:rFonts w:ascii="Times New Roman" w:hAnsi="Times New Roman"/>
          <w:iCs/>
          <w:sz w:val="22"/>
          <w:szCs w:val="22"/>
        </w:rPr>
        <w:t xml:space="preserve"> E.</w:t>
      </w:r>
      <w:r w:rsidR="002F702A">
        <w:rPr>
          <w:rFonts w:ascii="Times New Roman" w:hAnsi="Times New Roman"/>
          <w:iCs/>
          <w:sz w:val="22"/>
          <w:szCs w:val="22"/>
        </w:rPr>
        <w:t> </w:t>
      </w:r>
      <w:r w:rsidRPr="00635D2F">
        <w:rPr>
          <w:rFonts w:ascii="Times New Roman" w:hAnsi="Times New Roman"/>
          <w:iCs/>
          <w:sz w:val="22"/>
          <w:szCs w:val="22"/>
        </w:rPr>
        <w:t>Savaux, Le contenu du contrat, JCP</w:t>
      </w:r>
      <w:r w:rsidR="00916179">
        <w:rPr>
          <w:rFonts w:ascii="Times New Roman" w:hAnsi="Times New Roman"/>
          <w:iCs/>
          <w:sz w:val="22"/>
          <w:szCs w:val="22"/>
        </w:rPr>
        <w:t> G</w:t>
      </w:r>
      <w:r w:rsidRPr="00635D2F">
        <w:rPr>
          <w:rFonts w:ascii="Times New Roman" w:hAnsi="Times New Roman"/>
          <w:iCs/>
          <w:sz w:val="22"/>
          <w:szCs w:val="22"/>
        </w:rPr>
        <w:t xml:space="preserve"> 2015, suppl. au n°</w:t>
      </w:r>
      <w:r w:rsidR="00B613FF">
        <w:rPr>
          <w:rFonts w:ascii="Times New Roman" w:hAnsi="Times New Roman"/>
          <w:iCs/>
          <w:sz w:val="22"/>
          <w:szCs w:val="22"/>
        </w:rPr>
        <w:t> </w:t>
      </w:r>
      <w:r w:rsidRPr="00635D2F">
        <w:rPr>
          <w:rFonts w:ascii="Times New Roman" w:hAnsi="Times New Roman"/>
          <w:iCs/>
          <w:sz w:val="22"/>
          <w:szCs w:val="22"/>
        </w:rPr>
        <w:t>21, A.</w:t>
      </w:r>
      <w:r w:rsidR="006F0D22">
        <w:rPr>
          <w:rFonts w:ascii="Times New Roman" w:hAnsi="Times New Roman"/>
          <w:iCs/>
          <w:sz w:val="22"/>
          <w:szCs w:val="22"/>
        </w:rPr>
        <w:t> </w:t>
      </w:r>
      <w:r w:rsidRPr="00635D2F">
        <w:rPr>
          <w:rFonts w:ascii="Times New Roman" w:hAnsi="Times New Roman"/>
          <w:iCs/>
          <w:sz w:val="22"/>
          <w:szCs w:val="22"/>
        </w:rPr>
        <w:t>Etienney de Sainte-Marie, L’interprétation créatrice : l’i</w:t>
      </w:r>
      <w:r w:rsidR="00916179">
        <w:rPr>
          <w:rFonts w:ascii="Times New Roman" w:hAnsi="Times New Roman"/>
          <w:iCs/>
          <w:sz w:val="22"/>
          <w:szCs w:val="22"/>
        </w:rPr>
        <w:t>n</w:t>
      </w:r>
      <w:r w:rsidRPr="00635D2F">
        <w:rPr>
          <w:rFonts w:ascii="Times New Roman" w:hAnsi="Times New Roman"/>
          <w:iCs/>
          <w:sz w:val="22"/>
          <w:szCs w:val="22"/>
        </w:rPr>
        <w:t>terprétation et la détermination du contenu du contrat, RDC 2015, p.</w:t>
      </w:r>
      <w:r w:rsidR="00916179">
        <w:rPr>
          <w:rFonts w:ascii="Times New Roman" w:hAnsi="Times New Roman"/>
          <w:iCs/>
          <w:sz w:val="22"/>
          <w:szCs w:val="22"/>
        </w:rPr>
        <w:t> </w:t>
      </w:r>
      <w:r w:rsidRPr="00635D2F">
        <w:rPr>
          <w:rFonts w:ascii="Times New Roman" w:hAnsi="Times New Roman"/>
          <w:iCs/>
          <w:sz w:val="22"/>
          <w:szCs w:val="22"/>
        </w:rPr>
        <w:t>167</w:t>
      </w:r>
      <w:r w:rsidR="00916179">
        <w:rPr>
          <w:rFonts w:ascii="Times New Roman" w:hAnsi="Times New Roman"/>
          <w:iCs/>
          <w:sz w:val="22"/>
          <w:szCs w:val="22"/>
        </w:rPr>
        <w:t>.</w:t>
      </w:r>
    </w:p>
  </w:footnote>
  <w:footnote w:id="3">
    <w:p w:rsidR="002954BB" w:rsidRPr="00635D2F" w:rsidRDefault="002954BB" w:rsidP="00635D2F">
      <w:pPr>
        <w:pStyle w:val="Notedebasdepage"/>
        <w:jc w:val="both"/>
        <w:rPr>
          <w:rFonts w:ascii="Times New Roman" w:hAnsi="Times New Roman"/>
          <w:sz w:val="22"/>
          <w:szCs w:val="22"/>
        </w:rPr>
      </w:pPr>
      <w:r w:rsidRPr="00635D2F">
        <w:rPr>
          <w:rStyle w:val="Appelnotedebasdep"/>
          <w:rFonts w:ascii="Times New Roman" w:hAnsi="Times New Roman"/>
          <w:sz w:val="22"/>
          <w:szCs w:val="22"/>
        </w:rPr>
        <w:footnoteRef/>
      </w:r>
      <w:r w:rsidRPr="00635D2F">
        <w:rPr>
          <w:rFonts w:ascii="Times New Roman" w:hAnsi="Times New Roman"/>
          <w:sz w:val="22"/>
          <w:szCs w:val="22"/>
        </w:rPr>
        <w:t xml:space="preserve"> V</w:t>
      </w:r>
      <w:r w:rsidR="006F0D22">
        <w:rPr>
          <w:rFonts w:ascii="Times New Roman" w:hAnsi="Times New Roman"/>
          <w:sz w:val="22"/>
          <w:szCs w:val="22"/>
        </w:rPr>
        <w:t>oir</w:t>
      </w:r>
      <w:r w:rsidRPr="00635D2F">
        <w:rPr>
          <w:rFonts w:ascii="Times New Roman" w:hAnsi="Times New Roman"/>
          <w:sz w:val="22"/>
          <w:szCs w:val="22"/>
        </w:rPr>
        <w:t xml:space="preserve"> aussi L.</w:t>
      </w:r>
      <w:r w:rsidR="006F0D22">
        <w:rPr>
          <w:rFonts w:ascii="Times New Roman" w:hAnsi="Times New Roman"/>
          <w:sz w:val="22"/>
          <w:szCs w:val="22"/>
        </w:rPr>
        <w:t> </w:t>
      </w:r>
      <w:r w:rsidRPr="00635D2F">
        <w:rPr>
          <w:rFonts w:ascii="Times New Roman" w:hAnsi="Times New Roman"/>
          <w:sz w:val="22"/>
          <w:szCs w:val="22"/>
        </w:rPr>
        <w:t xml:space="preserve">Aynès, Le juge et le contrat, nouveaux rôles ? </w:t>
      </w:r>
      <w:r w:rsidR="0029446F" w:rsidRPr="0029446F">
        <w:rPr>
          <w:rFonts w:ascii="Times New Roman" w:hAnsi="Times New Roman"/>
          <w:i/>
          <w:sz w:val="22"/>
          <w:szCs w:val="22"/>
        </w:rPr>
        <w:t>in</w:t>
      </w:r>
      <w:r w:rsidRPr="00635D2F">
        <w:rPr>
          <w:rFonts w:ascii="Times New Roman" w:hAnsi="Times New Roman"/>
          <w:sz w:val="22"/>
          <w:szCs w:val="22"/>
        </w:rPr>
        <w:t xml:space="preserve"> La réforme du droit des contrats, quelles innovations ?, RDC 2016,</w:t>
      </w:r>
      <w:r w:rsidR="00916179">
        <w:rPr>
          <w:rFonts w:ascii="Times New Roman" w:hAnsi="Times New Roman"/>
          <w:sz w:val="22"/>
          <w:szCs w:val="22"/>
        </w:rPr>
        <w:t xml:space="preserve"> p. 14</w:t>
      </w:r>
      <w:r w:rsidRPr="00635D2F">
        <w:rPr>
          <w:rFonts w:ascii="Times New Roman" w:hAnsi="Times New Roman"/>
          <w:sz w:val="22"/>
          <w:szCs w:val="22"/>
        </w:rPr>
        <w:t>.</w:t>
      </w:r>
    </w:p>
  </w:footnote>
  <w:footnote w:id="4">
    <w:p w:rsidR="00774A69" w:rsidRPr="00774A69" w:rsidRDefault="0029446F">
      <w:pPr>
        <w:pStyle w:val="Notedebasdepage"/>
        <w:rPr>
          <w:rFonts w:ascii="Times New Roman" w:hAnsi="Times New Roman"/>
          <w:sz w:val="22"/>
          <w:szCs w:val="22"/>
        </w:rPr>
      </w:pPr>
      <w:r w:rsidRPr="0029446F">
        <w:rPr>
          <w:rStyle w:val="Appelnotedebasdep"/>
          <w:rFonts w:ascii="Times New Roman" w:hAnsi="Times New Roman"/>
          <w:sz w:val="22"/>
          <w:szCs w:val="22"/>
        </w:rPr>
        <w:footnoteRef/>
      </w:r>
      <w:r w:rsidRPr="0029446F">
        <w:rPr>
          <w:rFonts w:ascii="Times New Roman" w:hAnsi="Times New Roman"/>
          <w:sz w:val="22"/>
          <w:szCs w:val="22"/>
        </w:rPr>
        <w:t xml:space="preserve"> Voir D. Mainguy et M. Depincé, Droit de la concurrence, LexisNexis, </w:t>
      </w:r>
      <w:r w:rsidR="00774A69">
        <w:rPr>
          <w:rFonts w:ascii="Times New Roman" w:hAnsi="Times New Roman"/>
          <w:sz w:val="22"/>
          <w:szCs w:val="22"/>
        </w:rPr>
        <w:t>2</w:t>
      </w:r>
      <w:r w:rsidR="00774A69" w:rsidRPr="003A1F47">
        <w:rPr>
          <w:rFonts w:ascii="Times New Roman" w:hAnsi="Times New Roman"/>
          <w:sz w:val="22"/>
          <w:szCs w:val="22"/>
          <w:vertAlign w:val="superscript"/>
        </w:rPr>
        <w:t>e</w:t>
      </w:r>
      <w:r w:rsidR="00774A69">
        <w:rPr>
          <w:rFonts w:ascii="Times New Roman" w:hAnsi="Times New Roman"/>
          <w:sz w:val="22"/>
          <w:szCs w:val="22"/>
        </w:rPr>
        <w:t> </w:t>
      </w:r>
      <w:r w:rsidRPr="0029446F">
        <w:rPr>
          <w:rFonts w:ascii="Times New Roman" w:hAnsi="Times New Roman"/>
          <w:sz w:val="22"/>
          <w:szCs w:val="22"/>
        </w:rPr>
        <w:t>éd., 2015, n°195 s.</w:t>
      </w:r>
    </w:p>
  </w:footnote>
  <w:footnote w:id="5">
    <w:p w:rsidR="0021132A" w:rsidRPr="00635D2F" w:rsidRDefault="0021132A" w:rsidP="00635D2F">
      <w:pPr>
        <w:pStyle w:val="Notedebasdepage"/>
        <w:jc w:val="both"/>
        <w:rPr>
          <w:rFonts w:ascii="Times New Roman" w:hAnsi="Times New Roman"/>
          <w:sz w:val="22"/>
          <w:szCs w:val="22"/>
        </w:rPr>
      </w:pPr>
      <w:r w:rsidRPr="00635D2F">
        <w:rPr>
          <w:rStyle w:val="Appelnotedebasdep"/>
          <w:rFonts w:ascii="Times New Roman" w:hAnsi="Times New Roman"/>
          <w:sz w:val="22"/>
          <w:szCs w:val="22"/>
        </w:rPr>
        <w:footnoteRef/>
      </w:r>
      <w:r w:rsidRPr="00635D2F">
        <w:rPr>
          <w:rFonts w:ascii="Times New Roman" w:hAnsi="Times New Roman"/>
          <w:sz w:val="22"/>
          <w:szCs w:val="22"/>
        </w:rPr>
        <w:t xml:space="preserve"> </w:t>
      </w:r>
      <w:r w:rsidR="00504F84">
        <w:rPr>
          <w:rFonts w:ascii="Times New Roman" w:hAnsi="Times New Roman"/>
          <w:sz w:val="22"/>
          <w:szCs w:val="22"/>
        </w:rPr>
        <w:t>Voir</w:t>
      </w:r>
      <w:r w:rsidRPr="00635D2F">
        <w:rPr>
          <w:rFonts w:ascii="Times New Roman" w:hAnsi="Times New Roman"/>
          <w:sz w:val="22"/>
          <w:szCs w:val="22"/>
        </w:rPr>
        <w:t xml:space="preserve"> Th.</w:t>
      </w:r>
      <w:r w:rsidR="00504F84">
        <w:rPr>
          <w:rFonts w:ascii="Times New Roman" w:hAnsi="Times New Roman"/>
          <w:sz w:val="22"/>
          <w:szCs w:val="22"/>
        </w:rPr>
        <w:t> </w:t>
      </w:r>
      <w:r w:rsidRPr="00635D2F">
        <w:rPr>
          <w:rFonts w:ascii="Times New Roman" w:hAnsi="Times New Roman"/>
          <w:sz w:val="22"/>
          <w:szCs w:val="22"/>
        </w:rPr>
        <w:t>Rev</w:t>
      </w:r>
      <w:r w:rsidR="00AD3C6A">
        <w:rPr>
          <w:rFonts w:ascii="Times New Roman" w:hAnsi="Times New Roman"/>
          <w:sz w:val="22"/>
          <w:szCs w:val="22"/>
        </w:rPr>
        <w:t>e</w:t>
      </w:r>
      <w:r w:rsidRPr="00635D2F">
        <w:rPr>
          <w:rFonts w:ascii="Times New Roman" w:hAnsi="Times New Roman"/>
          <w:sz w:val="22"/>
          <w:szCs w:val="22"/>
        </w:rPr>
        <w:t xml:space="preserve">t, Une philosophie générale ? </w:t>
      </w:r>
      <w:r w:rsidR="0029446F" w:rsidRPr="0029446F">
        <w:rPr>
          <w:rFonts w:ascii="Times New Roman" w:hAnsi="Times New Roman"/>
          <w:i/>
          <w:sz w:val="22"/>
          <w:szCs w:val="22"/>
        </w:rPr>
        <w:t>in</w:t>
      </w:r>
      <w:r w:rsidRPr="00635D2F">
        <w:rPr>
          <w:rFonts w:ascii="Times New Roman" w:hAnsi="Times New Roman"/>
          <w:sz w:val="22"/>
          <w:szCs w:val="22"/>
        </w:rPr>
        <w:t xml:space="preserve"> La réforme du droit des contrats, quelles innovations ?, </w:t>
      </w:r>
      <w:r w:rsidR="0029446F" w:rsidRPr="0029446F">
        <w:rPr>
          <w:rFonts w:ascii="Times New Roman" w:hAnsi="Times New Roman"/>
          <w:i/>
          <w:sz w:val="22"/>
          <w:szCs w:val="22"/>
        </w:rPr>
        <w:t>op. cit.</w:t>
      </w:r>
    </w:p>
  </w:footnote>
  <w:footnote w:id="6">
    <w:p w:rsidR="003D29F9" w:rsidRPr="00635D2F" w:rsidRDefault="003D29F9" w:rsidP="00635D2F">
      <w:pPr>
        <w:pStyle w:val="Notedebasdepage"/>
        <w:jc w:val="both"/>
        <w:rPr>
          <w:rFonts w:ascii="Times New Roman" w:hAnsi="Times New Roman"/>
          <w:sz w:val="22"/>
          <w:szCs w:val="22"/>
        </w:rPr>
      </w:pPr>
      <w:r w:rsidRPr="00635D2F">
        <w:rPr>
          <w:rStyle w:val="Appelnotedebasdep"/>
          <w:rFonts w:ascii="Times New Roman" w:hAnsi="Times New Roman"/>
          <w:sz w:val="22"/>
          <w:szCs w:val="22"/>
        </w:rPr>
        <w:footnoteRef/>
      </w:r>
      <w:r w:rsidRPr="00635D2F">
        <w:rPr>
          <w:rFonts w:ascii="Times New Roman" w:hAnsi="Times New Roman"/>
          <w:sz w:val="22"/>
          <w:szCs w:val="22"/>
        </w:rPr>
        <w:t xml:space="preserve"> D. et N.</w:t>
      </w:r>
      <w:r w:rsidR="00504F84">
        <w:rPr>
          <w:rFonts w:ascii="Times New Roman" w:hAnsi="Times New Roman"/>
          <w:sz w:val="22"/>
          <w:szCs w:val="22"/>
        </w:rPr>
        <w:t> </w:t>
      </w:r>
      <w:r w:rsidRPr="00635D2F">
        <w:rPr>
          <w:rFonts w:ascii="Times New Roman" w:hAnsi="Times New Roman"/>
          <w:sz w:val="22"/>
          <w:szCs w:val="22"/>
        </w:rPr>
        <w:t xml:space="preserve">Ferrier, Droit de la distribution, </w:t>
      </w:r>
      <w:r w:rsidR="00635D2F">
        <w:rPr>
          <w:rFonts w:ascii="Times New Roman" w:hAnsi="Times New Roman"/>
          <w:sz w:val="22"/>
          <w:szCs w:val="22"/>
        </w:rPr>
        <w:t>Litec, 7</w:t>
      </w:r>
      <w:r w:rsidR="0029446F" w:rsidRPr="0029446F">
        <w:rPr>
          <w:rFonts w:ascii="Times New Roman" w:hAnsi="Times New Roman"/>
          <w:sz w:val="22"/>
          <w:szCs w:val="22"/>
          <w:vertAlign w:val="superscript"/>
        </w:rPr>
        <w:t>e</w:t>
      </w:r>
      <w:r w:rsidR="00504F84">
        <w:rPr>
          <w:rFonts w:ascii="Times New Roman" w:hAnsi="Times New Roman"/>
          <w:sz w:val="22"/>
          <w:szCs w:val="22"/>
        </w:rPr>
        <w:t> </w:t>
      </w:r>
      <w:r w:rsidRPr="00635D2F">
        <w:rPr>
          <w:rFonts w:ascii="Times New Roman" w:hAnsi="Times New Roman"/>
          <w:sz w:val="22"/>
          <w:szCs w:val="22"/>
        </w:rPr>
        <w:t>éd.</w:t>
      </w:r>
      <w:r w:rsidR="00504F84">
        <w:rPr>
          <w:rFonts w:ascii="Times New Roman" w:hAnsi="Times New Roman"/>
          <w:sz w:val="22"/>
          <w:szCs w:val="22"/>
        </w:rPr>
        <w:t>,</w:t>
      </w:r>
      <w:r w:rsidR="00635D2F">
        <w:rPr>
          <w:rFonts w:ascii="Times New Roman" w:hAnsi="Times New Roman"/>
          <w:sz w:val="22"/>
          <w:szCs w:val="22"/>
        </w:rPr>
        <w:t xml:space="preserve"> 2015</w:t>
      </w:r>
      <w:r w:rsidRPr="00635D2F">
        <w:rPr>
          <w:rFonts w:ascii="Times New Roman" w:hAnsi="Times New Roman"/>
          <w:sz w:val="22"/>
          <w:szCs w:val="22"/>
        </w:rPr>
        <w:t>, n°</w:t>
      </w:r>
      <w:r w:rsidR="00916179">
        <w:rPr>
          <w:rFonts w:ascii="Times New Roman" w:hAnsi="Times New Roman"/>
          <w:sz w:val="22"/>
          <w:szCs w:val="22"/>
        </w:rPr>
        <w:t> </w:t>
      </w:r>
      <w:r w:rsidRPr="00635D2F">
        <w:rPr>
          <w:rFonts w:ascii="Times New Roman" w:hAnsi="Times New Roman"/>
          <w:sz w:val="22"/>
          <w:szCs w:val="22"/>
        </w:rPr>
        <w:t>635.</w:t>
      </w:r>
    </w:p>
  </w:footnote>
  <w:footnote w:id="7">
    <w:p w:rsidR="003D29F9" w:rsidRPr="00635D2F" w:rsidRDefault="003D29F9" w:rsidP="00635D2F">
      <w:pPr>
        <w:pStyle w:val="Notedebasdepage"/>
        <w:jc w:val="both"/>
        <w:rPr>
          <w:rFonts w:ascii="Times New Roman" w:hAnsi="Times New Roman"/>
          <w:sz w:val="22"/>
          <w:szCs w:val="22"/>
        </w:rPr>
      </w:pPr>
      <w:r w:rsidRPr="00635D2F">
        <w:rPr>
          <w:rStyle w:val="Appelnotedebasdep"/>
          <w:rFonts w:ascii="Times New Roman" w:hAnsi="Times New Roman"/>
          <w:sz w:val="22"/>
          <w:szCs w:val="22"/>
        </w:rPr>
        <w:footnoteRef/>
      </w:r>
      <w:r w:rsidRPr="00635D2F">
        <w:rPr>
          <w:rFonts w:ascii="Times New Roman" w:hAnsi="Times New Roman"/>
          <w:sz w:val="22"/>
          <w:szCs w:val="22"/>
        </w:rPr>
        <w:t xml:space="preserve"> Comp. J.</w:t>
      </w:r>
      <w:r w:rsidR="00504F84">
        <w:rPr>
          <w:rFonts w:ascii="Times New Roman" w:hAnsi="Times New Roman"/>
          <w:sz w:val="22"/>
          <w:szCs w:val="22"/>
        </w:rPr>
        <w:t> </w:t>
      </w:r>
      <w:r w:rsidRPr="00635D2F">
        <w:rPr>
          <w:rFonts w:ascii="Times New Roman" w:hAnsi="Times New Roman"/>
          <w:sz w:val="22"/>
          <w:szCs w:val="22"/>
        </w:rPr>
        <w:t>Calais-Auloy, L’attente légitime, une nouvelle source de droit subjectif ? Mélanges Y</w:t>
      </w:r>
      <w:r w:rsidR="0000472A">
        <w:rPr>
          <w:rFonts w:ascii="Times New Roman" w:hAnsi="Times New Roman"/>
          <w:sz w:val="22"/>
          <w:szCs w:val="22"/>
        </w:rPr>
        <w:t>.</w:t>
      </w:r>
      <w:r w:rsidR="00504F84">
        <w:rPr>
          <w:rFonts w:ascii="Times New Roman" w:hAnsi="Times New Roman"/>
          <w:sz w:val="22"/>
          <w:szCs w:val="22"/>
        </w:rPr>
        <w:t> </w:t>
      </w:r>
      <w:r w:rsidRPr="00635D2F">
        <w:rPr>
          <w:rFonts w:ascii="Times New Roman" w:hAnsi="Times New Roman"/>
          <w:sz w:val="22"/>
          <w:szCs w:val="22"/>
        </w:rPr>
        <w:t>Guyon, D</w:t>
      </w:r>
      <w:r w:rsidR="00916179">
        <w:rPr>
          <w:rFonts w:ascii="Times New Roman" w:hAnsi="Times New Roman"/>
          <w:sz w:val="22"/>
          <w:szCs w:val="22"/>
        </w:rPr>
        <w:t>. </w:t>
      </w:r>
      <w:r w:rsidRPr="00635D2F">
        <w:rPr>
          <w:rFonts w:ascii="Times New Roman" w:hAnsi="Times New Roman"/>
          <w:sz w:val="22"/>
          <w:szCs w:val="22"/>
        </w:rPr>
        <w:t>2003, p.</w:t>
      </w:r>
      <w:r w:rsidR="00916179">
        <w:rPr>
          <w:rFonts w:ascii="Times New Roman" w:hAnsi="Times New Roman"/>
          <w:sz w:val="22"/>
          <w:szCs w:val="22"/>
        </w:rPr>
        <w:t> </w:t>
      </w:r>
      <w:r w:rsidRPr="00635D2F">
        <w:rPr>
          <w:rFonts w:ascii="Times New Roman" w:hAnsi="Times New Roman"/>
          <w:sz w:val="22"/>
          <w:szCs w:val="22"/>
        </w:rPr>
        <w:t>171.</w:t>
      </w:r>
    </w:p>
  </w:footnote>
  <w:footnote w:id="8">
    <w:p w:rsidR="008673DA" w:rsidRPr="00635D2F" w:rsidRDefault="008673DA" w:rsidP="00635D2F">
      <w:pPr>
        <w:pStyle w:val="Notedebasdepage"/>
        <w:jc w:val="both"/>
        <w:rPr>
          <w:rFonts w:ascii="Times New Roman" w:hAnsi="Times New Roman"/>
          <w:sz w:val="22"/>
          <w:szCs w:val="22"/>
        </w:rPr>
      </w:pPr>
      <w:r w:rsidRPr="00635D2F">
        <w:rPr>
          <w:rStyle w:val="Appelnotedebasdep"/>
          <w:rFonts w:ascii="Times New Roman" w:hAnsi="Times New Roman"/>
          <w:sz w:val="22"/>
          <w:szCs w:val="22"/>
        </w:rPr>
        <w:footnoteRef/>
      </w:r>
      <w:r w:rsidRPr="00635D2F">
        <w:rPr>
          <w:rFonts w:ascii="Times New Roman" w:hAnsi="Times New Roman"/>
          <w:sz w:val="22"/>
          <w:szCs w:val="22"/>
        </w:rPr>
        <w:t xml:space="preserve"> D.</w:t>
      </w:r>
      <w:r w:rsidR="00504F84">
        <w:rPr>
          <w:rFonts w:ascii="Times New Roman" w:hAnsi="Times New Roman"/>
          <w:sz w:val="22"/>
          <w:szCs w:val="22"/>
        </w:rPr>
        <w:t> </w:t>
      </w:r>
      <w:r w:rsidRPr="00635D2F">
        <w:rPr>
          <w:rFonts w:ascii="Times New Roman" w:hAnsi="Times New Roman"/>
          <w:sz w:val="22"/>
          <w:szCs w:val="22"/>
        </w:rPr>
        <w:t>Mainguy</w:t>
      </w:r>
      <w:r w:rsidRPr="00827144">
        <w:rPr>
          <w:rFonts w:ascii="Times New Roman" w:hAnsi="Times New Roman"/>
          <w:sz w:val="22"/>
          <w:szCs w:val="22"/>
        </w:rPr>
        <w:t xml:space="preserve">, </w:t>
      </w:r>
      <w:r w:rsidR="0029446F" w:rsidRPr="0029446F">
        <w:rPr>
          <w:rFonts w:ascii="Times New Roman" w:hAnsi="Times New Roman"/>
          <w:iCs/>
          <w:sz w:val="22"/>
          <w:szCs w:val="22"/>
        </w:rPr>
        <w:t>Le contractant, personne de bonne foi ?</w:t>
      </w:r>
      <w:r w:rsidRPr="00635D2F">
        <w:rPr>
          <w:rFonts w:ascii="Times New Roman" w:hAnsi="Times New Roman"/>
          <w:iCs/>
          <w:sz w:val="22"/>
          <w:szCs w:val="22"/>
        </w:rPr>
        <w:t xml:space="preserve"> </w:t>
      </w:r>
      <w:r w:rsidR="0029446F" w:rsidRPr="0029446F">
        <w:rPr>
          <w:rFonts w:ascii="Times New Roman" w:hAnsi="Times New Roman"/>
          <w:i/>
          <w:iCs/>
          <w:sz w:val="22"/>
          <w:szCs w:val="22"/>
        </w:rPr>
        <w:t>in</w:t>
      </w:r>
      <w:r w:rsidRPr="00635D2F">
        <w:rPr>
          <w:rFonts w:ascii="Times New Roman" w:hAnsi="Times New Roman"/>
          <w:iCs/>
          <w:sz w:val="22"/>
          <w:szCs w:val="22"/>
        </w:rPr>
        <w:t xml:space="preserve"> La réforme du droit des contrats (C</w:t>
      </w:r>
      <w:r w:rsidR="00504F84">
        <w:rPr>
          <w:rFonts w:ascii="Times New Roman" w:hAnsi="Times New Roman"/>
          <w:iCs/>
          <w:sz w:val="22"/>
          <w:szCs w:val="22"/>
        </w:rPr>
        <w:t>h</w:t>
      </w:r>
      <w:r w:rsidRPr="00635D2F">
        <w:rPr>
          <w:rFonts w:ascii="Times New Roman" w:hAnsi="Times New Roman"/>
          <w:iCs/>
          <w:sz w:val="22"/>
          <w:szCs w:val="22"/>
        </w:rPr>
        <w:t>.</w:t>
      </w:r>
      <w:r w:rsidR="00504F84">
        <w:rPr>
          <w:rFonts w:ascii="Times New Roman" w:hAnsi="Times New Roman"/>
          <w:iCs/>
          <w:sz w:val="22"/>
          <w:szCs w:val="22"/>
        </w:rPr>
        <w:t> </w:t>
      </w:r>
      <w:r w:rsidRPr="00635D2F">
        <w:rPr>
          <w:rFonts w:ascii="Times New Roman" w:hAnsi="Times New Roman"/>
          <w:iCs/>
          <w:sz w:val="22"/>
          <w:szCs w:val="22"/>
        </w:rPr>
        <w:t>Albig</w:t>
      </w:r>
      <w:r w:rsidR="00504F84">
        <w:rPr>
          <w:rFonts w:ascii="Times New Roman" w:hAnsi="Times New Roman"/>
          <w:iCs/>
          <w:sz w:val="22"/>
          <w:szCs w:val="22"/>
        </w:rPr>
        <w:t>e</w:t>
      </w:r>
      <w:r w:rsidRPr="00635D2F">
        <w:rPr>
          <w:rFonts w:ascii="Times New Roman" w:hAnsi="Times New Roman"/>
          <w:iCs/>
          <w:sz w:val="22"/>
          <w:szCs w:val="22"/>
        </w:rPr>
        <w:t>s, dir.), Dalloz, 2015, p.</w:t>
      </w:r>
      <w:r w:rsidR="00916179">
        <w:rPr>
          <w:rFonts w:ascii="Times New Roman" w:hAnsi="Times New Roman"/>
          <w:iCs/>
          <w:sz w:val="22"/>
          <w:szCs w:val="22"/>
        </w:rPr>
        <w:t> </w:t>
      </w:r>
      <w:r w:rsidRPr="00635D2F">
        <w:rPr>
          <w:rFonts w:ascii="Times New Roman" w:hAnsi="Times New Roman"/>
          <w:iCs/>
          <w:sz w:val="22"/>
          <w:szCs w:val="22"/>
        </w:rPr>
        <w:t xml:space="preserve">83, </w:t>
      </w:r>
      <w:r w:rsidR="0029446F" w:rsidRPr="0029446F">
        <w:rPr>
          <w:rFonts w:ascii="Times New Roman" w:hAnsi="Times New Roman"/>
          <w:iCs/>
          <w:sz w:val="22"/>
          <w:szCs w:val="22"/>
        </w:rPr>
        <w:t>La loyauté en droit des contrats</w:t>
      </w:r>
      <w:r w:rsidRPr="00635D2F">
        <w:rPr>
          <w:rFonts w:ascii="Times New Roman" w:hAnsi="Times New Roman"/>
          <w:i/>
          <w:iCs/>
          <w:sz w:val="22"/>
          <w:szCs w:val="22"/>
        </w:rPr>
        <w:t xml:space="preserve">, </w:t>
      </w:r>
      <w:r w:rsidR="0029446F" w:rsidRPr="0029446F">
        <w:rPr>
          <w:rFonts w:ascii="Times New Roman" w:hAnsi="Times New Roman"/>
          <w:i/>
          <w:iCs/>
          <w:sz w:val="22"/>
          <w:szCs w:val="22"/>
        </w:rPr>
        <w:t>in</w:t>
      </w:r>
      <w:r w:rsidRPr="00635D2F">
        <w:rPr>
          <w:rFonts w:ascii="Times New Roman" w:hAnsi="Times New Roman"/>
          <w:iCs/>
          <w:sz w:val="22"/>
          <w:szCs w:val="22"/>
        </w:rPr>
        <w:t xml:space="preserve"> F.</w:t>
      </w:r>
      <w:r w:rsidR="00504F84">
        <w:rPr>
          <w:rFonts w:ascii="Times New Roman" w:hAnsi="Times New Roman"/>
          <w:iCs/>
          <w:sz w:val="22"/>
          <w:szCs w:val="22"/>
        </w:rPr>
        <w:t> </w:t>
      </w:r>
      <w:r w:rsidRPr="00635D2F">
        <w:rPr>
          <w:rFonts w:ascii="Times New Roman" w:hAnsi="Times New Roman"/>
          <w:iCs/>
          <w:sz w:val="22"/>
          <w:szCs w:val="22"/>
        </w:rPr>
        <w:t>Petit (dir.)</w:t>
      </w:r>
      <w:r w:rsidR="007C7E7D">
        <w:rPr>
          <w:rFonts w:ascii="Times New Roman" w:hAnsi="Times New Roman"/>
          <w:iCs/>
          <w:sz w:val="22"/>
          <w:szCs w:val="22"/>
        </w:rPr>
        <w:t>,</w:t>
      </w:r>
      <w:r w:rsidRPr="00635D2F">
        <w:rPr>
          <w:rFonts w:ascii="Times New Roman" w:hAnsi="Times New Roman"/>
          <w:iCs/>
          <w:sz w:val="22"/>
          <w:szCs w:val="22"/>
        </w:rPr>
        <w:t xml:space="preserve"> La loyauté, D</w:t>
      </w:r>
      <w:r w:rsidR="00827144">
        <w:rPr>
          <w:rFonts w:ascii="Times New Roman" w:hAnsi="Times New Roman"/>
          <w:iCs/>
          <w:sz w:val="22"/>
          <w:szCs w:val="22"/>
        </w:rPr>
        <w:t>. </w:t>
      </w:r>
      <w:r w:rsidRPr="00635D2F">
        <w:rPr>
          <w:rFonts w:ascii="Times New Roman" w:hAnsi="Times New Roman"/>
          <w:iCs/>
          <w:sz w:val="22"/>
          <w:szCs w:val="22"/>
        </w:rPr>
        <w:t>2015, p.</w:t>
      </w:r>
      <w:r w:rsidR="00827144">
        <w:rPr>
          <w:rFonts w:ascii="Times New Roman" w:hAnsi="Times New Roman"/>
          <w:iCs/>
          <w:sz w:val="22"/>
          <w:szCs w:val="22"/>
        </w:rPr>
        <w:t> </w:t>
      </w:r>
      <w:r w:rsidRPr="00635D2F">
        <w:rPr>
          <w:rFonts w:ascii="Times New Roman" w:hAnsi="Times New Roman"/>
          <w:iCs/>
          <w:sz w:val="22"/>
          <w:szCs w:val="22"/>
        </w:rPr>
        <w:t>1.</w:t>
      </w:r>
    </w:p>
  </w:footnote>
  <w:footnote w:id="9">
    <w:p w:rsidR="00635D2F" w:rsidRPr="002E6AA4" w:rsidRDefault="00635D2F">
      <w:pPr>
        <w:pStyle w:val="Notedebasdepage"/>
        <w:rPr>
          <w:rFonts w:ascii="Times New Roman" w:hAnsi="Times New Roman"/>
          <w:sz w:val="22"/>
          <w:szCs w:val="22"/>
          <w:lang w:val="en-US"/>
        </w:rPr>
      </w:pPr>
      <w:r w:rsidRPr="00635D2F">
        <w:rPr>
          <w:rStyle w:val="Appelnotedebasdep"/>
          <w:rFonts w:ascii="Times New Roman" w:hAnsi="Times New Roman"/>
          <w:sz w:val="22"/>
          <w:szCs w:val="22"/>
        </w:rPr>
        <w:footnoteRef/>
      </w:r>
      <w:r w:rsidRPr="002E6AA4">
        <w:rPr>
          <w:rFonts w:ascii="Times New Roman" w:hAnsi="Times New Roman"/>
          <w:sz w:val="22"/>
          <w:szCs w:val="22"/>
          <w:lang w:val="en-US"/>
        </w:rPr>
        <w:t xml:space="preserve"> Cass. </w:t>
      </w:r>
      <w:r w:rsidR="00827144" w:rsidRPr="002E6AA4">
        <w:rPr>
          <w:rFonts w:ascii="Times New Roman" w:hAnsi="Times New Roman"/>
          <w:sz w:val="22"/>
          <w:szCs w:val="22"/>
          <w:lang w:val="en-US"/>
        </w:rPr>
        <w:t>com</w:t>
      </w:r>
      <w:r w:rsidRPr="002E6AA4">
        <w:rPr>
          <w:rFonts w:ascii="Times New Roman" w:hAnsi="Times New Roman"/>
          <w:sz w:val="22"/>
          <w:szCs w:val="22"/>
          <w:lang w:val="en-US"/>
        </w:rPr>
        <w:t>.</w:t>
      </w:r>
      <w:r w:rsidR="00827144" w:rsidRPr="002E6AA4">
        <w:rPr>
          <w:rFonts w:ascii="Times New Roman" w:hAnsi="Times New Roman"/>
          <w:sz w:val="22"/>
          <w:szCs w:val="22"/>
          <w:lang w:val="en-US"/>
        </w:rPr>
        <w:t>,</w:t>
      </w:r>
      <w:r w:rsidRPr="002E6AA4">
        <w:rPr>
          <w:rFonts w:ascii="Times New Roman" w:hAnsi="Times New Roman"/>
          <w:sz w:val="22"/>
          <w:szCs w:val="22"/>
          <w:lang w:val="en-US"/>
        </w:rPr>
        <w:t xml:space="preserve"> 10</w:t>
      </w:r>
      <w:r w:rsidR="00827144" w:rsidRPr="002E6AA4">
        <w:rPr>
          <w:rFonts w:ascii="Times New Roman" w:hAnsi="Times New Roman"/>
          <w:sz w:val="22"/>
          <w:szCs w:val="22"/>
          <w:lang w:val="en-US"/>
        </w:rPr>
        <w:t> </w:t>
      </w:r>
      <w:r w:rsidRPr="002E6AA4">
        <w:rPr>
          <w:rFonts w:ascii="Times New Roman" w:hAnsi="Times New Roman"/>
          <w:sz w:val="22"/>
          <w:szCs w:val="22"/>
          <w:lang w:val="en-US"/>
        </w:rPr>
        <w:t>juill. 2007, n°</w:t>
      </w:r>
      <w:r w:rsidR="00827144" w:rsidRPr="002E6AA4">
        <w:rPr>
          <w:rFonts w:ascii="Times New Roman" w:hAnsi="Times New Roman"/>
          <w:sz w:val="22"/>
          <w:szCs w:val="22"/>
          <w:lang w:val="en-US"/>
        </w:rPr>
        <w:t> </w:t>
      </w:r>
      <w:r w:rsidRPr="002E6AA4">
        <w:rPr>
          <w:rFonts w:ascii="Times New Roman" w:hAnsi="Times New Roman"/>
          <w:sz w:val="22"/>
          <w:szCs w:val="22"/>
          <w:lang w:val="en-US"/>
        </w:rPr>
        <w:t>06-14</w:t>
      </w:r>
      <w:r w:rsidR="00827144" w:rsidRPr="002E6AA4">
        <w:rPr>
          <w:rFonts w:ascii="Times New Roman" w:hAnsi="Times New Roman"/>
          <w:sz w:val="22"/>
          <w:szCs w:val="22"/>
          <w:lang w:val="en-US"/>
        </w:rPr>
        <w:t>.</w:t>
      </w:r>
      <w:r w:rsidRPr="002E6AA4">
        <w:rPr>
          <w:rFonts w:ascii="Times New Roman" w:hAnsi="Times New Roman"/>
          <w:sz w:val="22"/>
          <w:szCs w:val="22"/>
          <w:lang w:val="en-US"/>
        </w:rPr>
        <w:t>768</w:t>
      </w:r>
      <w:r w:rsidR="00827144" w:rsidRPr="002E6AA4">
        <w:rPr>
          <w:rFonts w:ascii="Times New Roman" w:hAnsi="Times New Roman"/>
          <w:sz w:val="22"/>
          <w:szCs w:val="22"/>
          <w:lang w:val="en-US"/>
        </w:rPr>
        <w:t>, Bull. civ.</w:t>
      </w:r>
      <w:r w:rsidR="007B0668" w:rsidRPr="002E6AA4">
        <w:rPr>
          <w:rFonts w:ascii="Times New Roman" w:hAnsi="Times New Roman"/>
          <w:sz w:val="22"/>
          <w:szCs w:val="22"/>
          <w:lang w:val="en-US"/>
        </w:rPr>
        <w:t> </w:t>
      </w:r>
      <w:r w:rsidR="00827144" w:rsidRPr="002E6AA4">
        <w:rPr>
          <w:rFonts w:ascii="Times New Roman" w:hAnsi="Times New Roman"/>
          <w:sz w:val="22"/>
          <w:szCs w:val="22"/>
          <w:lang w:val="en-US"/>
        </w:rPr>
        <w:t>IV, n° 188</w:t>
      </w:r>
      <w:r w:rsidRPr="002E6AA4">
        <w:rPr>
          <w:rFonts w:ascii="Times New Roman" w:hAnsi="Times New Roman"/>
          <w:sz w:val="22"/>
          <w:szCs w:val="22"/>
          <w:lang w:val="en-US"/>
        </w:rPr>
        <w:t>.</w:t>
      </w:r>
    </w:p>
  </w:footnote>
  <w:footnote w:id="10">
    <w:p w:rsidR="00B42CB7" w:rsidRPr="00635D2F" w:rsidRDefault="00B42CB7" w:rsidP="00635D2F">
      <w:pPr>
        <w:pStyle w:val="Notedebasdepage"/>
        <w:jc w:val="both"/>
        <w:rPr>
          <w:rFonts w:ascii="Times New Roman" w:hAnsi="Times New Roman"/>
          <w:sz w:val="22"/>
          <w:szCs w:val="22"/>
        </w:rPr>
      </w:pPr>
      <w:r w:rsidRPr="00635D2F">
        <w:rPr>
          <w:rStyle w:val="Appelnotedebasdep"/>
          <w:rFonts w:ascii="Times New Roman" w:hAnsi="Times New Roman"/>
          <w:sz w:val="22"/>
          <w:szCs w:val="22"/>
        </w:rPr>
        <w:footnoteRef/>
      </w:r>
      <w:r w:rsidRPr="00635D2F">
        <w:rPr>
          <w:rFonts w:ascii="Times New Roman" w:hAnsi="Times New Roman"/>
          <w:sz w:val="22"/>
          <w:szCs w:val="22"/>
        </w:rPr>
        <w:t xml:space="preserve"> </w:t>
      </w:r>
      <w:r w:rsidR="00E068CD">
        <w:rPr>
          <w:rFonts w:ascii="Times New Roman" w:hAnsi="Times New Roman"/>
          <w:sz w:val="22"/>
          <w:szCs w:val="22"/>
        </w:rPr>
        <w:t>Voir</w:t>
      </w:r>
      <w:r w:rsidRPr="00635D2F">
        <w:rPr>
          <w:rFonts w:ascii="Times New Roman" w:hAnsi="Times New Roman"/>
          <w:sz w:val="22"/>
          <w:szCs w:val="22"/>
        </w:rPr>
        <w:t xml:space="preserve"> Cass. com., 8 juill. 1997, n° 95-17</w:t>
      </w:r>
      <w:r w:rsidR="00827144">
        <w:rPr>
          <w:rFonts w:ascii="Times New Roman" w:hAnsi="Times New Roman"/>
          <w:sz w:val="22"/>
          <w:szCs w:val="22"/>
        </w:rPr>
        <w:t>.</w:t>
      </w:r>
      <w:r w:rsidRPr="00635D2F">
        <w:rPr>
          <w:rFonts w:ascii="Times New Roman" w:hAnsi="Times New Roman"/>
          <w:sz w:val="22"/>
          <w:szCs w:val="22"/>
        </w:rPr>
        <w:t>232 ; Cass. com., 18 déc. 2007, n°</w:t>
      </w:r>
      <w:r w:rsidR="00827144">
        <w:rPr>
          <w:rFonts w:ascii="Times New Roman" w:hAnsi="Times New Roman"/>
          <w:sz w:val="22"/>
          <w:szCs w:val="22"/>
        </w:rPr>
        <w:t> </w:t>
      </w:r>
      <w:r w:rsidRPr="00635D2F">
        <w:rPr>
          <w:rFonts w:ascii="Times New Roman" w:hAnsi="Times New Roman"/>
          <w:sz w:val="22"/>
          <w:szCs w:val="22"/>
        </w:rPr>
        <w:t>06-15</w:t>
      </w:r>
      <w:r w:rsidR="00827144">
        <w:rPr>
          <w:rFonts w:ascii="Times New Roman" w:hAnsi="Times New Roman"/>
          <w:sz w:val="22"/>
          <w:szCs w:val="22"/>
        </w:rPr>
        <w:t>.</w:t>
      </w:r>
      <w:r w:rsidRPr="00635D2F">
        <w:rPr>
          <w:rFonts w:ascii="Times New Roman" w:hAnsi="Times New Roman"/>
          <w:sz w:val="22"/>
          <w:szCs w:val="22"/>
        </w:rPr>
        <w:t>970, LPA</w:t>
      </w:r>
      <w:r w:rsidR="00827144">
        <w:rPr>
          <w:rFonts w:ascii="Times New Roman" w:hAnsi="Times New Roman"/>
          <w:sz w:val="22"/>
          <w:szCs w:val="22"/>
        </w:rPr>
        <w:t xml:space="preserve"> </w:t>
      </w:r>
      <w:r w:rsidRPr="00635D2F">
        <w:rPr>
          <w:rFonts w:ascii="Times New Roman" w:hAnsi="Times New Roman"/>
          <w:sz w:val="22"/>
          <w:szCs w:val="22"/>
        </w:rPr>
        <w:t xml:space="preserve">2009, </w:t>
      </w:r>
      <w:r w:rsidR="00EB78BE" w:rsidRPr="00635D2F">
        <w:rPr>
          <w:rFonts w:ascii="Times New Roman" w:hAnsi="Times New Roman"/>
          <w:sz w:val="22"/>
          <w:szCs w:val="22"/>
        </w:rPr>
        <w:t>n° 94</w:t>
      </w:r>
      <w:r w:rsidR="00EB78BE">
        <w:rPr>
          <w:rFonts w:ascii="Times New Roman" w:hAnsi="Times New Roman"/>
          <w:sz w:val="22"/>
          <w:szCs w:val="22"/>
        </w:rPr>
        <w:t xml:space="preserve">, </w:t>
      </w:r>
      <w:r w:rsidRPr="00635D2F">
        <w:rPr>
          <w:rFonts w:ascii="Times New Roman" w:hAnsi="Times New Roman"/>
          <w:sz w:val="22"/>
          <w:szCs w:val="22"/>
        </w:rPr>
        <w:t>p. 94, non point pour une annulation du contrat, mais pour sa requalification.</w:t>
      </w:r>
      <w:r w:rsidR="003A6900" w:rsidRPr="00635D2F">
        <w:rPr>
          <w:rFonts w:ascii="Times New Roman" w:hAnsi="Times New Roman"/>
          <w:sz w:val="22"/>
          <w:szCs w:val="22"/>
        </w:rPr>
        <w:t xml:space="preserve"> V</w:t>
      </w:r>
      <w:r w:rsidR="00EB78BE">
        <w:rPr>
          <w:rFonts w:ascii="Times New Roman" w:hAnsi="Times New Roman"/>
          <w:sz w:val="22"/>
          <w:szCs w:val="22"/>
        </w:rPr>
        <w:t>oir</w:t>
      </w:r>
      <w:r w:rsidR="003A6900" w:rsidRPr="00635D2F">
        <w:rPr>
          <w:rFonts w:ascii="Times New Roman" w:hAnsi="Times New Roman"/>
          <w:sz w:val="22"/>
          <w:szCs w:val="22"/>
        </w:rPr>
        <w:t xml:space="preserve"> aussi Cass. com., 19 oct. 1999, n° 97-19</w:t>
      </w:r>
      <w:r w:rsidR="00827144">
        <w:rPr>
          <w:rFonts w:ascii="Times New Roman" w:hAnsi="Times New Roman"/>
          <w:sz w:val="22"/>
          <w:szCs w:val="22"/>
        </w:rPr>
        <w:t>.</w:t>
      </w:r>
      <w:r w:rsidR="003A6900" w:rsidRPr="00635D2F">
        <w:rPr>
          <w:rFonts w:ascii="Times New Roman" w:hAnsi="Times New Roman"/>
          <w:sz w:val="22"/>
          <w:szCs w:val="22"/>
        </w:rPr>
        <w:t>185, pour l’absence de signes distinctifs.</w:t>
      </w:r>
    </w:p>
  </w:footnote>
  <w:footnote w:id="11">
    <w:p w:rsidR="001E39BE" w:rsidRPr="00635D2F" w:rsidRDefault="001E39BE" w:rsidP="00635D2F">
      <w:pPr>
        <w:pStyle w:val="Titre1"/>
        <w:spacing w:before="0" w:beforeAutospacing="0" w:after="0" w:afterAutospacing="0"/>
        <w:jc w:val="both"/>
        <w:rPr>
          <w:b w:val="0"/>
          <w:sz w:val="22"/>
          <w:szCs w:val="22"/>
        </w:rPr>
      </w:pPr>
      <w:r w:rsidRPr="00635D2F">
        <w:rPr>
          <w:rStyle w:val="Appelnotedebasdep"/>
          <w:b w:val="0"/>
          <w:sz w:val="22"/>
          <w:szCs w:val="22"/>
        </w:rPr>
        <w:footnoteRef/>
      </w:r>
      <w:r w:rsidRPr="00635D2F">
        <w:rPr>
          <w:b w:val="0"/>
          <w:sz w:val="22"/>
          <w:szCs w:val="22"/>
        </w:rPr>
        <w:t xml:space="preserve"> CEPC, avis n°</w:t>
      </w:r>
      <w:r w:rsidR="004019C5">
        <w:rPr>
          <w:b w:val="0"/>
          <w:sz w:val="22"/>
          <w:szCs w:val="22"/>
        </w:rPr>
        <w:t> </w:t>
      </w:r>
      <w:r w:rsidRPr="00635D2F">
        <w:rPr>
          <w:b w:val="0"/>
          <w:sz w:val="22"/>
          <w:szCs w:val="22"/>
        </w:rPr>
        <w:t>04-06 relatif à certaines pratiques dans le secteur de la distribution alimentaire</w:t>
      </w:r>
    </w:p>
  </w:footnote>
  <w:footnote w:id="12">
    <w:p w:rsidR="00D14D04" w:rsidRPr="00635D2F" w:rsidRDefault="00D14D04" w:rsidP="00635D2F">
      <w:pPr>
        <w:pStyle w:val="Notedebasdepage"/>
        <w:jc w:val="both"/>
        <w:rPr>
          <w:rFonts w:ascii="Times New Roman" w:hAnsi="Times New Roman"/>
          <w:sz w:val="22"/>
          <w:szCs w:val="22"/>
        </w:rPr>
      </w:pPr>
      <w:r w:rsidRPr="00635D2F">
        <w:rPr>
          <w:rStyle w:val="Appelnotedebasdep"/>
          <w:rFonts w:ascii="Times New Roman" w:hAnsi="Times New Roman"/>
          <w:sz w:val="22"/>
          <w:szCs w:val="22"/>
        </w:rPr>
        <w:footnoteRef/>
      </w:r>
      <w:r w:rsidRPr="00635D2F">
        <w:rPr>
          <w:rFonts w:ascii="Times New Roman" w:hAnsi="Times New Roman"/>
          <w:sz w:val="22"/>
          <w:szCs w:val="22"/>
        </w:rPr>
        <w:t xml:space="preserve"> Comp. D.</w:t>
      </w:r>
      <w:r w:rsidR="004019C5">
        <w:rPr>
          <w:rFonts w:ascii="Times New Roman" w:hAnsi="Times New Roman"/>
          <w:sz w:val="22"/>
          <w:szCs w:val="22"/>
        </w:rPr>
        <w:t> </w:t>
      </w:r>
      <w:r w:rsidRPr="00635D2F">
        <w:rPr>
          <w:rFonts w:ascii="Times New Roman" w:hAnsi="Times New Roman"/>
          <w:sz w:val="22"/>
          <w:szCs w:val="22"/>
        </w:rPr>
        <w:t xml:space="preserve">Mainguy, </w:t>
      </w:r>
      <w:r w:rsidR="0029446F" w:rsidRPr="0029446F">
        <w:rPr>
          <w:rFonts w:ascii="Times New Roman" w:hAnsi="Times New Roman"/>
          <w:iCs/>
          <w:sz w:val="22"/>
          <w:szCs w:val="22"/>
        </w:rPr>
        <w:t xml:space="preserve">Premières vues sur la réforme de la loi </w:t>
      </w:r>
      <w:r w:rsidRPr="004019C5">
        <w:rPr>
          <w:rFonts w:ascii="Times New Roman" w:hAnsi="Times New Roman"/>
          <w:i/>
          <w:iCs/>
          <w:sz w:val="22"/>
          <w:szCs w:val="22"/>
        </w:rPr>
        <w:t>Macron</w:t>
      </w:r>
      <w:r w:rsidR="0029446F" w:rsidRPr="0029446F">
        <w:rPr>
          <w:rFonts w:ascii="Times New Roman" w:hAnsi="Times New Roman"/>
          <w:iCs/>
          <w:sz w:val="22"/>
          <w:szCs w:val="22"/>
        </w:rPr>
        <w:t xml:space="preserve"> et les contrats de la grande distribution, JCP</w:t>
      </w:r>
      <w:r w:rsidR="00827144">
        <w:rPr>
          <w:rFonts w:ascii="Times New Roman" w:hAnsi="Times New Roman"/>
          <w:iCs/>
          <w:sz w:val="22"/>
          <w:szCs w:val="22"/>
        </w:rPr>
        <w:t> </w:t>
      </w:r>
      <w:r w:rsidR="0029446F" w:rsidRPr="0029446F">
        <w:rPr>
          <w:rFonts w:ascii="Times New Roman" w:hAnsi="Times New Roman"/>
          <w:iCs/>
          <w:sz w:val="22"/>
          <w:szCs w:val="22"/>
        </w:rPr>
        <w:t>E</w:t>
      </w:r>
      <w:r w:rsidRPr="00635D2F">
        <w:rPr>
          <w:rFonts w:ascii="Times New Roman" w:hAnsi="Times New Roman"/>
          <w:i/>
          <w:iCs/>
          <w:sz w:val="22"/>
          <w:szCs w:val="22"/>
        </w:rPr>
        <w:t xml:space="preserve"> </w:t>
      </w:r>
      <w:r w:rsidRPr="00635D2F">
        <w:rPr>
          <w:rFonts w:ascii="Times New Roman" w:hAnsi="Times New Roman"/>
          <w:iCs/>
          <w:sz w:val="22"/>
          <w:szCs w:val="22"/>
        </w:rPr>
        <w:t>2015, 1579.</w:t>
      </w:r>
    </w:p>
  </w:footnote>
  <w:footnote w:id="13">
    <w:p w:rsidR="003E1170" w:rsidRPr="00635D2F" w:rsidRDefault="003E1170" w:rsidP="00635D2F">
      <w:pPr>
        <w:pStyle w:val="Notedebasdepage"/>
        <w:jc w:val="both"/>
        <w:rPr>
          <w:rFonts w:ascii="Times New Roman" w:hAnsi="Times New Roman"/>
          <w:sz w:val="22"/>
          <w:szCs w:val="22"/>
        </w:rPr>
      </w:pPr>
      <w:r w:rsidRPr="00635D2F">
        <w:rPr>
          <w:rStyle w:val="Appelnotedebasdep"/>
          <w:rFonts w:ascii="Times New Roman" w:hAnsi="Times New Roman"/>
          <w:sz w:val="22"/>
          <w:szCs w:val="22"/>
        </w:rPr>
        <w:footnoteRef/>
      </w:r>
      <w:r w:rsidRPr="00635D2F">
        <w:rPr>
          <w:rFonts w:ascii="Times New Roman" w:hAnsi="Times New Roman"/>
          <w:sz w:val="22"/>
          <w:szCs w:val="22"/>
        </w:rPr>
        <w:t xml:space="preserve"> </w:t>
      </w:r>
      <w:r w:rsidR="00840989">
        <w:rPr>
          <w:rFonts w:ascii="Times New Roman" w:hAnsi="Times New Roman"/>
          <w:sz w:val="22"/>
          <w:szCs w:val="22"/>
        </w:rPr>
        <w:t>Aut. conc.</w:t>
      </w:r>
      <w:r w:rsidRPr="00635D2F">
        <w:rPr>
          <w:rFonts w:ascii="Times New Roman" w:hAnsi="Times New Roman"/>
          <w:sz w:val="22"/>
          <w:szCs w:val="22"/>
        </w:rPr>
        <w:t xml:space="preserve">, </w:t>
      </w:r>
      <w:r w:rsidR="00840989">
        <w:rPr>
          <w:rFonts w:ascii="Times New Roman" w:hAnsi="Times New Roman"/>
          <w:sz w:val="22"/>
          <w:szCs w:val="22"/>
        </w:rPr>
        <w:t>a</w:t>
      </w:r>
      <w:r w:rsidRPr="00635D2F">
        <w:rPr>
          <w:rFonts w:ascii="Times New Roman" w:hAnsi="Times New Roman"/>
          <w:sz w:val="22"/>
          <w:szCs w:val="22"/>
        </w:rPr>
        <w:t>vis n°</w:t>
      </w:r>
      <w:r w:rsidR="00840989">
        <w:rPr>
          <w:rFonts w:ascii="Times New Roman" w:hAnsi="Times New Roman"/>
          <w:sz w:val="22"/>
          <w:szCs w:val="22"/>
        </w:rPr>
        <w:t> </w:t>
      </w:r>
      <w:r w:rsidRPr="00635D2F">
        <w:rPr>
          <w:rFonts w:ascii="Times New Roman" w:hAnsi="Times New Roman"/>
          <w:sz w:val="22"/>
          <w:szCs w:val="22"/>
        </w:rPr>
        <w:t>10-A-26</w:t>
      </w:r>
      <w:r w:rsidR="00840989">
        <w:rPr>
          <w:rFonts w:ascii="Times New Roman" w:hAnsi="Times New Roman"/>
          <w:sz w:val="22"/>
          <w:szCs w:val="22"/>
        </w:rPr>
        <w:t>,</w:t>
      </w:r>
      <w:r w:rsidRPr="00635D2F">
        <w:rPr>
          <w:rFonts w:ascii="Times New Roman" w:hAnsi="Times New Roman"/>
          <w:sz w:val="22"/>
          <w:szCs w:val="22"/>
        </w:rPr>
        <w:t xml:space="preserve"> 7</w:t>
      </w:r>
      <w:r w:rsidR="00840989">
        <w:rPr>
          <w:rFonts w:ascii="Times New Roman" w:hAnsi="Times New Roman"/>
          <w:sz w:val="22"/>
          <w:szCs w:val="22"/>
        </w:rPr>
        <w:t> </w:t>
      </w:r>
      <w:r w:rsidRPr="00635D2F">
        <w:rPr>
          <w:rFonts w:ascii="Times New Roman" w:hAnsi="Times New Roman"/>
          <w:sz w:val="22"/>
          <w:szCs w:val="22"/>
        </w:rPr>
        <w:t>déc</w:t>
      </w:r>
      <w:r w:rsidR="00840989">
        <w:rPr>
          <w:rFonts w:ascii="Times New Roman" w:hAnsi="Times New Roman"/>
          <w:sz w:val="22"/>
          <w:szCs w:val="22"/>
        </w:rPr>
        <w:t>.</w:t>
      </w:r>
      <w:r w:rsidRPr="00635D2F">
        <w:rPr>
          <w:rFonts w:ascii="Times New Roman" w:hAnsi="Times New Roman"/>
          <w:sz w:val="22"/>
          <w:szCs w:val="22"/>
        </w:rPr>
        <w:t xml:space="preserve"> 2010, </w:t>
      </w:r>
      <w:r w:rsidR="0029446F" w:rsidRPr="0029446F">
        <w:rPr>
          <w:rFonts w:ascii="Times New Roman" w:hAnsi="Times New Roman"/>
          <w:iCs/>
          <w:sz w:val="22"/>
          <w:szCs w:val="22"/>
        </w:rPr>
        <w:t>relatif aux contrats d’affiliation de magasins indépendants et les modalités de foncier commercial dans le secteur de la distribution alimentaire</w:t>
      </w:r>
      <w:r w:rsidR="00FB6DCC">
        <w:rPr>
          <w:rFonts w:ascii="Times New Roman" w:hAnsi="Times New Roman"/>
          <w:sz w:val="22"/>
          <w:szCs w:val="22"/>
        </w:rPr>
        <w:t>,</w:t>
      </w:r>
      <w:r w:rsidRPr="00635D2F">
        <w:rPr>
          <w:rFonts w:ascii="Times New Roman" w:hAnsi="Times New Roman"/>
          <w:sz w:val="22"/>
          <w:szCs w:val="22"/>
        </w:rPr>
        <w:t xml:space="preserve"> JCP</w:t>
      </w:r>
      <w:r w:rsidR="00827144">
        <w:rPr>
          <w:rFonts w:ascii="Times New Roman" w:hAnsi="Times New Roman"/>
          <w:sz w:val="22"/>
          <w:szCs w:val="22"/>
        </w:rPr>
        <w:t> </w:t>
      </w:r>
      <w:r w:rsidRPr="00635D2F">
        <w:rPr>
          <w:rFonts w:ascii="Times New Roman" w:hAnsi="Times New Roman"/>
          <w:sz w:val="22"/>
          <w:szCs w:val="22"/>
        </w:rPr>
        <w:t>E 2010, 678, obs. N.</w:t>
      </w:r>
      <w:r w:rsidR="00840989">
        <w:rPr>
          <w:rFonts w:ascii="Times New Roman" w:hAnsi="Times New Roman"/>
          <w:sz w:val="22"/>
          <w:szCs w:val="22"/>
        </w:rPr>
        <w:t> </w:t>
      </w:r>
      <w:r w:rsidRPr="00635D2F">
        <w:rPr>
          <w:rFonts w:ascii="Times New Roman" w:hAnsi="Times New Roman"/>
          <w:sz w:val="22"/>
          <w:szCs w:val="22"/>
        </w:rPr>
        <w:t>Raud et G.</w:t>
      </w:r>
      <w:r w:rsidR="00840989">
        <w:rPr>
          <w:rFonts w:ascii="Times New Roman" w:hAnsi="Times New Roman"/>
          <w:sz w:val="22"/>
          <w:szCs w:val="22"/>
        </w:rPr>
        <w:t> </w:t>
      </w:r>
      <w:r w:rsidRPr="00635D2F">
        <w:rPr>
          <w:rFonts w:ascii="Times New Roman" w:hAnsi="Times New Roman"/>
          <w:sz w:val="22"/>
          <w:szCs w:val="22"/>
        </w:rPr>
        <w:t>Notté</w:t>
      </w:r>
      <w:r w:rsidR="00840989">
        <w:rPr>
          <w:rFonts w:ascii="Times New Roman" w:hAnsi="Times New Roman"/>
          <w:sz w:val="22"/>
          <w:szCs w:val="22"/>
        </w:rPr>
        <w:t>,</w:t>
      </w:r>
      <w:r w:rsidRPr="00635D2F">
        <w:rPr>
          <w:rFonts w:ascii="Times New Roman" w:hAnsi="Times New Roman"/>
          <w:sz w:val="22"/>
          <w:szCs w:val="22"/>
        </w:rPr>
        <w:t xml:space="preserve"> JCP</w:t>
      </w:r>
      <w:r w:rsidR="00827144">
        <w:rPr>
          <w:rFonts w:ascii="Times New Roman" w:hAnsi="Times New Roman"/>
          <w:sz w:val="22"/>
          <w:szCs w:val="22"/>
        </w:rPr>
        <w:t> </w:t>
      </w:r>
      <w:r w:rsidRPr="00635D2F">
        <w:rPr>
          <w:rFonts w:ascii="Times New Roman" w:hAnsi="Times New Roman"/>
          <w:sz w:val="22"/>
          <w:szCs w:val="22"/>
        </w:rPr>
        <w:t>G</w:t>
      </w:r>
      <w:r w:rsidR="00827144">
        <w:rPr>
          <w:rFonts w:ascii="Times New Roman" w:hAnsi="Times New Roman"/>
          <w:sz w:val="22"/>
          <w:szCs w:val="22"/>
        </w:rPr>
        <w:t xml:space="preserve"> </w:t>
      </w:r>
      <w:r w:rsidRPr="00635D2F">
        <w:rPr>
          <w:rFonts w:ascii="Times New Roman" w:hAnsi="Times New Roman"/>
          <w:sz w:val="22"/>
          <w:szCs w:val="22"/>
        </w:rPr>
        <w:t>2011, 177, note N.</w:t>
      </w:r>
      <w:r w:rsidR="00840989">
        <w:rPr>
          <w:rFonts w:ascii="Times New Roman" w:hAnsi="Times New Roman"/>
          <w:sz w:val="22"/>
          <w:szCs w:val="22"/>
        </w:rPr>
        <w:t> </w:t>
      </w:r>
      <w:r w:rsidRPr="00635D2F">
        <w:rPr>
          <w:rFonts w:ascii="Times New Roman" w:hAnsi="Times New Roman"/>
          <w:sz w:val="22"/>
          <w:szCs w:val="22"/>
        </w:rPr>
        <w:t>Dissaux</w:t>
      </w:r>
      <w:r w:rsidR="00840989">
        <w:rPr>
          <w:rFonts w:ascii="Times New Roman" w:hAnsi="Times New Roman"/>
          <w:sz w:val="22"/>
          <w:szCs w:val="22"/>
        </w:rPr>
        <w:t>,</w:t>
      </w:r>
      <w:r w:rsidRPr="00635D2F">
        <w:rPr>
          <w:rFonts w:ascii="Times New Roman" w:hAnsi="Times New Roman"/>
          <w:sz w:val="22"/>
          <w:szCs w:val="22"/>
        </w:rPr>
        <w:t xml:space="preserve"> JCP</w:t>
      </w:r>
      <w:r w:rsidR="00827144">
        <w:rPr>
          <w:rFonts w:ascii="Times New Roman" w:hAnsi="Times New Roman"/>
          <w:sz w:val="22"/>
          <w:szCs w:val="22"/>
        </w:rPr>
        <w:t> </w:t>
      </w:r>
      <w:r w:rsidRPr="00635D2F">
        <w:rPr>
          <w:rFonts w:ascii="Times New Roman" w:hAnsi="Times New Roman"/>
          <w:sz w:val="22"/>
          <w:szCs w:val="22"/>
        </w:rPr>
        <w:t>E</w:t>
      </w:r>
      <w:r w:rsidR="00827144">
        <w:rPr>
          <w:rFonts w:ascii="Times New Roman" w:hAnsi="Times New Roman"/>
          <w:sz w:val="22"/>
          <w:szCs w:val="22"/>
        </w:rPr>
        <w:t xml:space="preserve"> </w:t>
      </w:r>
      <w:r w:rsidRPr="00635D2F">
        <w:rPr>
          <w:rFonts w:ascii="Times New Roman" w:hAnsi="Times New Roman"/>
          <w:sz w:val="22"/>
          <w:szCs w:val="22"/>
        </w:rPr>
        <w:t>2011, 1217, note M.</w:t>
      </w:r>
      <w:r w:rsidR="00840989">
        <w:rPr>
          <w:rFonts w:ascii="Times New Roman" w:hAnsi="Times New Roman"/>
          <w:sz w:val="22"/>
          <w:szCs w:val="22"/>
        </w:rPr>
        <w:t> </w:t>
      </w:r>
      <w:r w:rsidRPr="00635D2F">
        <w:rPr>
          <w:rFonts w:ascii="Times New Roman" w:hAnsi="Times New Roman"/>
          <w:sz w:val="22"/>
          <w:szCs w:val="22"/>
        </w:rPr>
        <w:t xml:space="preserve"> Malaurie-Vignal</w:t>
      </w:r>
      <w:r w:rsidR="00840989">
        <w:rPr>
          <w:rFonts w:ascii="Times New Roman" w:hAnsi="Times New Roman"/>
          <w:sz w:val="22"/>
          <w:szCs w:val="22"/>
        </w:rPr>
        <w:t> </w:t>
      </w:r>
      <w:r w:rsidRPr="00635D2F">
        <w:rPr>
          <w:rFonts w:ascii="Times New Roman" w:hAnsi="Times New Roman"/>
          <w:sz w:val="22"/>
          <w:szCs w:val="22"/>
        </w:rPr>
        <w:t xml:space="preserve">; </w:t>
      </w:r>
      <w:r w:rsidR="00840989">
        <w:rPr>
          <w:rFonts w:ascii="Times New Roman" w:hAnsi="Times New Roman"/>
          <w:sz w:val="22"/>
          <w:szCs w:val="22"/>
        </w:rPr>
        <w:t>voir</w:t>
      </w:r>
      <w:r w:rsidRPr="00635D2F">
        <w:rPr>
          <w:rFonts w:ascii="Times New Roman" w:hAnsi="Times New Roman"/>
          <w:sz w:val="22"/>
          <w:szCs w:val="22"/>
        </w:rPr>
        <w:t xml:space="preserve"> égal</w:t>
      </w:r>
      <w:r w:rsidR="00840989">
        <w:rPr>
          <w:rFonts w:ascii="Times New Roman" w:hAnsi="Times New Roman"/>
          <w:sz w:val="22"/>
          <w:szCs w:val="22"/>
        </w:rPr>
        <w:t>.</w:t>
      </w:r>
      <w:r w:rsidRPr="00635D2F">
        <w:rPr>
          <w:rFonts w:ascii="Times New Roman" w:hAnsi="Times New Roman"/>
          <w:sz w:val="22"/>
          <w:szCs w:val="22"/>
        </w:rPr>
        <w:t xml:space="preserve"> A.</w:t>
      </w:r>
      <w:r w:rsidR="00936E06">
        <w:rPr>
          <w:rFonts w:ascii="Times New Roman" w:hAnsi="Times New Roman"/>
          <w:sz w:val="22"/>
          <w:szCs w:val="22"/>
        </w:rPr>
        <w:t> </w:t>
      </w:r>
      <w:r w:rsidRPr="00635D2F">
        <w:rPr>
          <w:rFonts w:ascii="Times New Roman" w:hAnsi="Times New Roman"/>
          <w:sz w:val="22"/>
          <w:szCs w:val="22"/>
        </w:rPr>
        <w:t>Lecourt : RLDA, 2012</w:t>
      </w:r>
      <w:r w:rsidR="00827144">
        <w:rPr>
          <w:rFonts w:ascii="Times New Roman" w:hAnsi="Times New Roman"/>
          <w:sz w:val="22"/>
          <w:szCs w:val="22"/>
        </w:rPr>
        <w:t>/67, n° 3844</w:t>
      </w:r>
      <w:r w:rsidR="00936E06">
        <w:rPr>
          <w:rFonts w:ascii="Times New Roman" w:hAnsi="Times New Roman"/>
          <w:sz w:val="22"/>
          <w:szCs w:val="22"/>
        </w:rPr>
        <w:t> ;</w:t>
      </w:r>
      <w:r w:rsidR="00827144">
        <w:rPr>
          <w:rFonts w:ascii="Times New Roman" w:hAnsi="Times New Roman"/>
          <w:sz w:val="22"/>
          <w:szCs w:val="22"/>
        </w:rPr>
        <w:t xml:space="preserve"> </w:t>
      </w:r>
      <w:r w:rsidR="00936E06">
        <w:rPr>
          <w:rFonts w:ascii="Times New Roman" w:hAnsi="Times New Roman"/>
          <w:sz w:val="22"/>
          <w:szCs w:val="22"/>
        </w:rPr>
        <w:t>c</w:t>
      </w:r>
      <w:r w:rsidRPr="00635D2F">
        <w:rPr>
          <w:rFonts w:ascii="Times New Roman" w:hAnsi="Times New Roman"/>
          <w:sz w:val="22"/>
          <w:szCs w:val="22"/>
        </w:rPr>
        <w:t xml:space="preserve">omp. </w:t>
      </w:r>
      <w:r w:rsidR="00840989" w:rsidRPr="00840989">
        <w:rPr>
          <w:rFonts w:ascii="Times New Roman" w:hAnsi="Times New Roman"/>
          <w:sz w:val="22"/>
          <w:szCs w:val="22"/>
        </w:rPr>
        <w:t>Aut. conc.</w:t>
      </w:r>
      <w:r w:rsidRPr="00635D2F">
        <w:rPr>
          <w:rFonts w:ascii="Times New Roman" w:hAnsi="Times New Roman"/>
          <w:sz w:val="22"/>
          <w:szCs w:val="22"/>
        </w:rPr>
        <w:t>, déc. n°</w:t>
      </w:r>
      <w:r w:rsidR="00840989">
        <w:rPr>
          <w:rFonts w:ascii="Times New Roman" w:hAnsi="Times New Roman"/>
          <w:sz w:val="22"/>
          <w:szCs w:val="22"/>
        </w:rPr>
        <w:t> </w:t>
      </w:r>
      <w:r w:rsidRPr="00635D2F">
        <w:rPr>
          <w:rFonts w:ascii="Times New Roman" w:hAnsi="Times New Roman"/>
          <w:sz w:val="22"/>
          <w:szCs w:val="22"/>
        </w:rPr>
        <w:t>11-D-20</w:t>
      </w:r>
      <w:r w:rsidR="00840989">
        <w:rPr>
          <w:rFonts w:ascii="Times New Roman" w:hAnsi="Times New Roman"/>
          <w:sz w:val="22"/>
          <w:szCs w:val="22"/>
        </w:rPr>
        <w:t>,</w:t>
      </w:r>
      <w:r w:rsidRPr="00635D2F">
        <w:rPr>
          <w:rFonts w:ascii="Times New Roman" w:hAnsi="Times New Roman"/>
          <w:sz w:val="22"/>
          <w:szCs w:val="22"/>
        </w:rPr>
        <w:t xml:space="preserve"> 16</w:t>
      </w:r>
      <w:r w:rsidR="00840989">
        <w:rPr>
          <w:rFonts w:ascii="Times New Roman" w:hAnsi="Times New Roman"/>
          <w:sz w:val="22"/>
          <w:szCs w:val="22"/>
        </w:rPr>
        <w:t> </w:t>
      </w:r>
      <w:r w:rsidRPr="00635D2F">
        <w:rPr>
          <w:rFonts w:ascii="Times New Roman" w:hAnsi="Times New Roman"/>
          <w:sz w:val="22"/>
          <w:szCs w:val="22"/>
        </w:rPr>
        <w:t>déc</w:t>
      </w:r>
      <w:r w:rsidR="00840989">
        <w:rPr>
          <w:rFonts w:ascii="Times New Roman" w:hAnsi="Times New Roman"/>
          <w:sz w:val="22"/>
          <w:szCs w:val="22"/>
        </w:rPr>
        <w:t>.</w:t>
      </w:r>
      <w:r w:rsidRPr="00635D2F">
        <w:rPr>
          <w:rFonts w:ascii="Times New Roman" w:hAnsi="Times New Roman"/>
          <w:sz w:val="22"/>
          <w:szCs w:val="22"/>
        </w:rPr>
        <w:t xml:space="preserve"> 2011, </w:t>
      </w:r>
      <w:r w:rsidR="0029446F" w:rsidRPr="0029446F">
        <w:rPr>
          <w:rFonts w:ascii="Times New Roman" w:hAnsi="Times New Roman"/>
          <w:iCs/>
          <w:sz w:val="22"/>
          <w:szCs w:val="22"/>
        </w:rPr>
        <w:t>Pratiques mises en œuvre par Carrefour dans le secteur de la distribution alimentaire</w:t>
      </w:r>
      <w:r w:rsidR="00840989">
        <w:rPr>
          <w:rFonts w:ascii="Times New Roman" w:hAnsi="Times New Roman"/>
          <w:i/>
          <w:iCs/>
          <w:sz w:val="22"/>
          <w:szCs w:val="22"/>
        </w:rPr>
        <w:t>,</w:t>
      </w:r>
      <w:r w:rsidRPr="00635D2F">
        <w:rPr>
          <w:rFonts w:ascii="Times New Roman" w:hAnsi="Times New Roman"/>
          <w:sz w:val="22"/>
          <w:szCs w:val="22"/>
        </w:rPr>
        <w:t xml:space="preserve"> Contrats, conc., consom. 2012, comm. 43, obs. M.</w:t>
      </w:r>
      <w:r w:rsidR="00840989">
        <w:rPr>
          <w:rFonts w:ascii="Times New Roman" w:hAnsi="Times New Roman"/>
          <w:sz w:val="22"/>
          <w:szCs w:val="22"/>
        </w:rPr>
        <w:t> </w:t>
      </w:r>
      <w:r w:rsidRPr="00635D2F">
        <w:rPr>
          <w:rFonts w:ascii="Times New Roman" w:hAnsi="Times New Roman"/>
          <w:sz w:val="22"/>
          <w:szCs w:val="22"/>
        </w:rPr>
        <w:t>Malaurie-Vignal</w:t>
      </w:r>
      <w:r w:rsidR="00936E06">
        <w:rPr>
          <w:rFonts w:ascii="Times New Roman" w:hAnsi="Times New Roman"/>
          <w:sz w:val="22"/>
          <w:szCs w:val="22"/>
        </w:rPr>
        <w:t>,</w:t>
      </w:r>
      <w:r w:rsidRPr="00635D2F">
        <w:rPr>
          <w:rFonts w:ascii="Times New Roman" w:hAnsi="Times New Roman"/>
          <w:sz w:val="22"/>
          <w:szCs w:val="22"/>
        </w:rPr>
        <w:t xml:space="preserve"> D.</w:t>
      </w:r>
      <w:r w:rsidR="00827144">
        <w:rPr>
          <w:rFonts w:ascii="Times New Roman" w:hAnsi="Times New Roman"/>
          <w:sz w:val="22"/>
          <w:szCs w:val="22"/>
        </w:rPr>
        <w:t> </w:t>
      </w:r>
      <w:r w:rsidRPr="00635D2F">
        <w:rPr>
          <w:rFonts w:ascii="Times New Roman" w:hAnsi="Times New Roman"/>
          <w:sz w:val="22"/>
          <w:szCs w:val="22"/>
        </w:rPr>
        <w:t>2012, p.</w:t>
      </w:r>
      <w:r w:rsidR="00827144">
        <w:rPr>
          <w:rFonts w:ascii="Times New Roman" w:hAnsi="Times New Roman"/>
          <w:sz w:val="22"/>
          <w:szCs w:val="22"/>
        </w:rPr>
        <w:t> </w:t>
      </w:r>
      <w:r w:rsidRPr="00635D2F">
        <w:rPr>
          <w:rFonts w:ascii="Times New Roman" w:hAnsi="Times New Roman"/>
          <w:sz w:val="22"/>
          <w:szCs w:val="22"/>
        </w:rPr>
        <w:t>577, chron. D.</w:t>
      </w:r>
      <w:r w:rsidR="00840989">
        <w:rPr>
          <w:rFonts w:ascii="Times New Roman" w:hAnsi="Times New Roman"/>
          <w:sz w:val="22"/>
          <w:szCs w:val="22"/>
        </w:rPr>
        <w:t> </w:t>
      </w:r>
      <w:r w:rsidRPr="00635D2F">
        <w:rPr>
          <w:rFonts w:ascii="Times New Roman" w:hAnsi="Times New Roman"/>
          <w:sz w:val="22"/>
          <w:szCs w:val="22"/>
        </w:rPr>
        <w:t>Ferrier</w:t>
      </w:r>
      <w:r w:rsidR="00840989">
        <w:rPr>
          <w:rFonts w:ascii="Times New Roman" w:hAnsi="Times New Roman"/>
          <w:sz w:val="22"/>
          <w:szCs w:val="22"/>
        </w:rPr>
        <w:t> ; voir</w:t>
      </w:r>
      <w:r w:rsidRPr="00635D2F">
        <w:rPr>
          <w:rFonts w:ascii="Times New Roman" w:hAnsi="Times New Roman"/>
          <w:sz w:val="22"/>
          <w:szCs w:val="22"/>
        </w:rPr>
        <w:t xml:space="preserve"> égal</w:t>
      </w:r>
      <w:r w:rsidR="00936E06">
        <w:rPr>
          <w:rFonts w:ascii="Times New Roman" w:hAnsi="Times New Roman"/>
          <w:sz w:val="22"/>
          <w:szCs w:val="22"/>
        </w:rPr>
        <w:t>.</w:t>
      </w:r>
      <w:r w:rsidRPr="00635D2F">
        <w:rPr>
          <w:rFonts w:ascii="Times New Roman" w:hAnsi="Times New Roman"/>
          <w:sz w:val="22"/>
          <w:szCs w:val="22"/>
        </w:rPr>
        <w:t xml:space="preserve"> </w:t>
      </w:r>
      <w:r w:rsidR="00840989" w:rsidRPr="00840989">
        <w:rPr>
          <w:rFonts w:ascii="Times New Roman" w:hAnsi="Times New Roman"/>
          <w:sz w:val="22"/>
          <w:szCs w:val="22"/>
        </w:rPr>
        <w:t>Aut. conc.</w:t>
      </w:r>
      <w:r w:rsidRPr="00635D2F">
        <w:rPr>
          <w:rFonts w:ascii="Times New Roman" w:hAnsi="Times New Roman"/>
          <w:sz w:val="22"/>
          <w:szCs w:val="22"/>
        </w:rPr>
        <w:t>, déc. n°</w:t>
      </w:r>
      <w:r w:rsidR="00840989">
        <w:rPr>
          <w:rFonts w:ascii="Times New Roman" w:hAnsi="Times New Roman"/>
          <w:sz w:val="22"/>
          <w:szCs w:val="22"/>
        </w:rPr>
        <w:t> </w:t>
      </w:r>
      <w:r w:rsidRPr="00635D2F">
        <w:rPr>
          <w:rFonts w:ascii="Times New Roman" w:hAnsi="Times New Roman"/>
          <w:sz w:val="22"/>
          <w:szCs w:val="22"/>
        </w:rPr>
        <w:t>11-D-04</w:t>
      </w:r>
      <w:r w:rsidR="00840989">
        <w:rPr>
          <w:rFonts w:ascii="Times New Roman" w:hAnsi="Times New Roman"/>
          <w:sz w:val="22"/>
          <w:szCs w:val="22"/>
        </w:rPr>
        <w:t xml:space="preserve">, </w:t>
      </w:r>
      <w:r w:rsidRPr="00635D2F">
        <w:rPr>
          <w:rFonts w:ascii="Times New Roman" w:hAnsi="Times New Roman"/>
          <w:sz w:val="22"/>
          <w:szCs w:val="22"/>
        </w:rPr>
        <w:t>23</w:t>
      </w:r>
      <w:r w:rsidR="00840989">
        <w:rPr>
          <w:rFonts w:ascii="Times New Roman" w:hAnsi="Times New Roman"/>
          <w:sz w:val="22"/>
          <w:szCs w:val="22"/>
        </w:rPr>
        <w:t> </w:t>
      </w:r>
      <w:r w:rsidRPr="00635D2F">
        <w:rPr>
          <w:rFonts w:ascii="Times New Roman" w:hAnsi="Times New Roman"/>
          <w:sz w:val="22"/>
          <w:szCs w:val="22"/>
        </w:rPr>
        <w:t>févr</w:t>
      </w:r>
      <w:r w:rsidR="00840989">
        <w:rPr>
          <w:rFonts w:ascii="Times New Roman" w:hAnsi="Times New Roman"/>
          <w:sz w:val="22"/>
          <w:szCs w:val="22"/>
        </w:rPr>
        <w:t>.</w:t>
      </w:r>
      <w:r w:rsidRPr="00635D2F">
        <w:rPr>
          <w:rFonts w:ascii="Times New Roman" w:hAnsi="Times New Roman"/>
          <w:sz w:val="22"/>
          <w:szCs w:val="22"/>
        </w:rPr>
        <w:t xml:space="preserve"> 2011, </w:t>
      </w:r>
      <w:r w:rsidR="0029446F" w:rsidRPr="0029446F">
        <w:rPr>
          <w:rFonts w:ascii="Times New Roman" w:hAnsi="Times New Roman"/>
          <w:iCs/>
          <w:sz w:val="22"/>
          <w:szCs w:val="22"/>
        </w:rPr>
        <w:t>Pratiques mises en œuvre par Carrefour dans le secteur de la distribution alimentaire</w:t>
      </w:r>
      <w:r w:rsidR="00840989">
        <w:rPr>
          <w:rFonts w:ascii="Times New Roman" w:hAnsi="Times New Roman"/>
          <w:sz w:val="22"/>
          <w:szCs w:val="22"/>
        </w:rPr>
        <w:t xml:space="preserve">, </w:t>
      </w:r>
      <w:r w:rsidRPr="00635D2F">
        <w:rPr>
          <w:rFonts w:ascii="Times New Roman" w:hAnsi="Times New Roman"/>
          <w:sz w:val="22"/>
          <w:szCs w:val="22"/>
        </w:rPr>
        <w:t>Contrats, conc., consom. 2011, comm. 114, obs. M.</w:t>
      </w:r>
      <w:r w:rsidR="00840989">
        <w:rPr>
          <w:rFonts w:ascii="Times New Roman" w:hAnsi="Times New Roman"/>
          <w:sz w:val="22"/>
          <w:szCs w:val="22"/>
        </w:rPr>
        <w:t> </w:t>
      </w:r>
      <w:r w:rsidRPr="00635D2F">
        <w:rPr>
          <w:rFonts w:ascii="Times New Roman" w:hAnsi="Times New Roman"/>
          <w:sz w:val="22"/>
          <w:szCs w:val="22"/>
        </w:rPr>
        <w:t>Malaurie-Vignal</w:t>
      </w:r>
      <w:r w:rsidR="00840989">
        <w:rPr>
          <w:rFonts w:ascii="Times New Roman" w:hAnsi="Times New Roman"/>
          <w:sz w:val="22"/>
          <w:szCs w:val="22"/>
        </w:rPr>
        <w:t>,</w:t>
      </w:r>
      <w:r w:rsidRPr="00635D2F">
        <w:rPr>
          <w:rFonts w:ascii="Times New Roman" w:hAnsi="Times New Roman"/>
          <w:sz w:val="22"/>
          <w:szCs w:val="22"/>
        </w:rPr>
        <w:t xml:space="preserve"> RTD com. 2011, p.</w:t>
      </w:r>
      <w:r w:rsidR="00827144">
        <w:rPr>
          <w:rFonts w:ascii="Times New Roman" w:hAnsi="Times New Roman"/>
          <w:sz w:val="22"/>
          <w:szCs w:val="22"/>
        </w:rPr>
        <w:t> </w:t>
      </w:r>
      <w:r w:rsidRPr="00635D2F">
        <w:rPr>
          <w:rFonts w:ascii="Times New Roman" w:hAnsi="Times New Roman"/>
          <w:sz w:val="22"/>
          <w:szCs w:val="22"/>
        </w:rPr>
        <w:t>528, note E.</w:t>
      </w:r>
      <w:r w:rsidR="00840989">
        <w:rPr>
          <w:rFonts w:ascii="Times New Roman" w:hAnsi="Times New Roman"/>
          <w:sz w:val="22"/>
          <w:szCs w:val="22"/>
        </w:rPr>
        <w:t> </w:t>
      </w:r>
      <w:r w:rsidRPr="00635D2F">
        <w:rPr>
          <w:rFonts w:ascii="Times New Roman" w:hAnsi="Times New Roman"/>
          <w:sz w:val="22"/>
          <w:szCs w:val="22"/>
        </w:rPr>
        <w:t>Claudel</w:t>
      </w:r>
      <w:r w:rsidR="00840989">
        <w:rPr>
          <w:rFonts w:ascii="Times New Roman" w:hAnsi="Times New Roman"/>
          <w:sz w:val="22"/>
          <w:szCs w:val="22"/>
        </w:rPr>
        <w:t>,</w:t>
      </w:r>
      <w:r w:rsidRPr="00635D2F">
        <w:rPr>
          <w:rFonts w:ascii="Times New Roman" w:hAnsi="Times New Roman"/>
          <w:sz w:val="22"/>
          <w:szCs w:val="22"/>
        </w:rPr>
        <w:t xml:space="preserve"> Concurrences 2011, n°</w:t>
      </w:r>
      <w:r w:rsidR="0000472A">
        <w:rPr>
          <w:rFonts w:ascii="Times New Roman" w:hAnsi="Times New Roman"/>
          <w:sz w:val="22"/>
          <w:szCs w:val="22"/>
        </w:rPr>
        <w:t> </w:t>
      </w:r>
      <w:r w:rsidRPr="00635D2F">
        <w:rPr>
          <w:rFonts w:ascii="Times New Roman" w:hAnsi="Times New Roman"/>
          <w:sz w:val="22"/>
          <w:szCs w:val="22"/>
        </w:rPr>
        <w:t>2, p.</w:t>
      </w:r>
      <w:r w:rsidR="0000472A">
        <w:rPr>
          <w:rFonts w:ascii="Times New Roman" w:hAnsi="Times New Roman"/>
          <w:sz w:val="22"/>
          <w:szCs w:val="22"/>
        </w:rPr>
        <w:t> </w:t>
      </w:r>
      <w:r w:rsidRPr="00635D2F">
        <w:rPr>
          <w:rFonts w:ascii="Times New Roman" w:hAnsi="Times New Roman"/>
          <w:sz w:val="22"/>
          <w:szCs w:val="22"/>
        </w:rPr>
        <w:t xml:space="preserve">115, obs. </w:t>
      </w:r>
      <w:r w:rsidRPr="00635D2F">
        <w:rPr>
          <w:rFonts w:ascii="Times New Roman" w:hAnsi="Times New Roman"/>
          <w:sz w:val="22"/>
          <w:szCs w:val="22"/>
          <w:lang w:val="de-DE"/>
        </w:rPr>
        <w:t>A.</w:t>
      </w:r>
      <w:r w:rsidR="00840989">
        <w:rPr>
          <w:rFonts w:ascii="Times New Roman" w:hAnsi="Times New Roman"/>
          <w:sz w:val="22"/>
          <w:szCs w:val="22"/>
          <w:lang w:val="de-DE"/>
        </w:rPr>
        <w:t> </w:t>
      </w:r>
      <w:r w:rsidRPr="00635D2F">
        <w:rPr>
          <w:rFonts w:ascii="Times New Roman" w:hAnsi="Times New Roman"/>
          <w:sz w:val="22"/>
          <w:szCs w:val="22"/>
          <w:lang w:val="de-DE"/>
        </w:rPr>
        <w:t>Wachsmann</w:t>
      </w:r>
      <w:r w:rsidR="00840989">
        <w:rPr>
          <w:rFonts w:ascii="Times New Roman" w:hAnsi="Times New Roman"/>
          <w:sz w:val="22"/>
          <w:szCs w:val="22"/>
          <w:lang w:val="de-DE"/>
        </w:rPr>
        <w:t>,</w:t>
      </w:r>
      <w:r w:rsidRPr="00635D2F">
        <w:rPr>
          <w:rFonts w:ascii="Times New Roman" w:hAnsi="Times New Roman"/>
          <w:sz w:val="22"/>
          <w:szCs w:val="22"/>
          <w:lang w:val="de-DE"/>
        </w:rPr>
        <w:t xml:space="preserve"> RLC 2011</w:t>
      </w:r>
      <w:r w:rsidR="00880166">
        <w:rPr>
          <w:rFonts w:ascii="Times New Roman" w:hAnsi="Times New Roman"/>
          <w:sz w:val="22"/>
          <w:szCs w:val="22"/>
          <w:lang w:val="de-DE"/>
        </w:rPr>
        <w:t>/27</w:t>
      </w:r>
      <w:r w:rsidRPr="00635D2F">
        <w:rPr>
          <w:rFonts w:ascii="Times New Roman" w:hAnsi="Times New Roman"/>
          <w:sz w:val="22"/>
          <w:szCs w:val="22"/>
          <w:lang w:val="de-DE"/>
        </w:rPr>
        <w:t xml:space="preserve">, </w:t>
      </w:r>
      <w:r w:rsidR="00880166">
        <w:rPr>
          <w:rFonts w:ascii="Times New Roman" w:hAnsi="Times New Roman"/>
          <w:sz w:val="22"/>
          <w:szCs w:val="22"/>
          <w:lang w:val="de-DE"/>
        </w:rPr>
        <w:t>n° 1788</w:t>
      </w:r>
      <w:r w:rsidRPr="00635D2F">
        <w:rPr>
          <w:rFonts w:ascii="Times New Roman" w:hAnsi="Times New Roman"/>
          <w:sz w:val="22"/>
          <w:szCs w:val="22"/>
          <w:lang w:val="de-DE"/>
        </w:rPr>
        <w:t xml:space="preserve">, obs. </w:t>
      </w:r>
      <w:r w:rsidRPr="00635D2F">
        <w:rPr>
          <w:rFonts w:ascii="Times New Roman" w:hAnsi="Times New Roman"/>
          <w:sz w:val="22"/>
          <w:szCs w:val="22"/>
        </w:rPr>
        <w:t>V.</w:t>
      </w:r>
      <w:r w:rsidR="00840989">
        <w:rPr>
          <w:rFonts w:ascii="Times New Roman" w:hAnsi="Times New Roman"/>
          <w:sz w:val="22"/>
          <w:szCs w:val="22"/>
        </w:rPr>
        <w:t> </w:t>
      </w:r>
      <w:r w:rsidRPr="00635D2F">
        <w:rPr>
          <w:rFonts w:ascii="Times New Roman" w:hAnsi="Times New Roman"/>
          <w:sz w:val="22"/>
          <w:szCs w:val="22"/>
        </w:rPr>
        <w:t>Sélinky.</w:t>
      </w:r>
    </w:p>
  </w:footnote>
  <w:footnote w:id="14">
    <w:p w:rsidR="003E1170" w:rsidRPr="00635D2F" w:rsidRDefault="003E1170" w:rsidP="00635D2F">
      <w:pPr>
        <w:pStyle w:val="Notedebasdepage"/>
        <w:jc w:val="both"/>
        <w:rPr>
          <w:rFonts w:ascii="Times New Roman" w:hAnsi="Times New Roman"/>
          <w:sz w:val="22"/>
          <w:szCs w:val="22"/>
        </w:rPr>
      </w:pPr>
      <w:r w:rsidRPr="00635D2F">
        <w:rPr>
          <w:rStyle w:val="Appelnotedebasdep"/>
          <w:rFonts w:ascii="Times New Roman" w:hAnsi="Times New Roman"/>
          <w:sz w:val="22"/>
          <w:szCs w:val="22"/>
        </w:rPr>
        <w:footnoteRef/>
      </w:r>
      <w:r w:rsidRPr="00635D2F">
        <w:rPr>
          <w:rFonts w:ascii="Times New Roman" w:hAnsi="Times New Roman"/>
          <w:sz w:val="22"/>
          <w:szCs w:val="22"/>
        </w:rPr>
        <w:t xml:space="preserve"> Comp. </w:t>
      </w:r>
      <w:r w:rsidR="003356BD">
        <w:rPr>
          <w:rFonts w:ascii="Times New Roman" w:hAnsi="Times New Roman"/>
          <w:sz w:val="22"/>
          <w:szCs w:val="22"/>
        </w:rPr>
        <w:t xml:space="preserve">CA </w:t>
      </w:r>
      <w:r w:rsidRPr="00635D2F">
        <w:rPr>
          <w:rFonts w:ascii="Times New Roman" w:hAnsi="Times New Roman"/>
          <w:sz w:val="22"/>
          <w:szCs w:val="22"/>
        </w:rPr>
        <w:t xml:space="preserve">Paris, </w:t>
      </w:r>
      <w:r w:rsidR="003356BD">
        <w:rPr>
          <w:rFonts w:ascii="Times New Roman" w:hAnsi="Times New Roman"/>
          <w:sz w:val="22"/>
          <w:szCs w:val="22"/>
        </w:rPr>
        <w:t xml:space="preserve">pôle 5, ch. 3, </w:t>
      </w:r>
      <w:r w:rsidRPr="00635D2F">
        <w:rPr>
          <w:rFonts w:ascii="Times New Roman" w:hAnsi="Times New Roman"/>
          <w:sz w:val="22"/>
          <w:szCs w:val="22"/>
        </w:rPr>
        <w:t>13</w:t>
      </w:r>
      <w:r w:rsidR="003356BD">
        <w:rPr>
          <w:rFonts w:ascii="Times New Roman" w:hAnsi="Times New Roman"/>
          <w:sz w:val="22"/>
          <w:szCs w:val="22"/>
        </w:rPr>
        <w:t> </w:t>
      </w:r>
      <w:r w:rsidRPr="00635D2F">
        <w:rPr>
          <w:rFonts w:ascii="Times New Roman" w:hAnsi="Times New Roman"/>
          <w:sz w:val="22"/>
          <w:szCs w:val="22"/>
        </w:rPr>
        <w:t xml:space="preserve">juin 2012, </w:t>
      </w:r>
      <w:r w:rsidR="00DB188D">
        <w:rPr>
          <w:rFonts w:ascii="Times New Roman" w:hAnsi="Times New Roman"/>
          <w:sz w:val="22"/>
          <w:szCs w:val="22"/>
        </w:rPr>
        <w:t>n° </w:t>
      </w:r>
      <w:r w:rsidRPr="00635D2F">
        <w:rPr>
          <w:rFonts w:ascii="Times New Roman" w:hAnsi="Times New Roman"/>
          <w:sz w:val="22"/>
          <w:szCs w:val="22"/>
        </w:rPr>
        <w:t>RG</w:t>
      </w:r>
      <w:r w:rsidR="00DB188D">
        <w:rPr>
          <w:rFonts w:ascii="Times New Roman" w:hAnsi="Times New Roman"/>
          <w:sz w:val="22"/>
          <w:szCs w:val="22"/>
        </w:rPr>
        <w:t xml:space="preserve"> : </w:t>
      </w:r>
      <w:r w:rsidRPr="00635D2F">
        <w:rPr>
          <w:rFonts w:ascii="Times New Roman" w:hAnsi="Times New Roman"/>
          <w:sz w:val="22"/>
          <w:szCs w:val="22"/>
        </w:rPr>
        <w:t>10</w:t>
      </w:r>
      <w:r w:rsidR="003356BD">
        <w:rPr>
          <w:rFonts w:ascii="Times New Roman" w:hAnsi="Times New Roman"/>
          <w:sz w:val="22"/>
          <w:szCs w:val="22"/>
        </w:rPr>
        <w:t>/25262</w:t>
      </w:r>
      <w:r w:rsidRPr="00635D2F">
        <w:rPr>
          <w:rFonts w:ascii="Times New Roman" w:hAnsi="Times New Roman"/>
          <w:sz w:val="22"/>
          <w:szCs w:val="22"/>
        </w:rPr>
        <w:t xml:space="preserve">, qui rappelle que l’avis de 2010 </w:t>
      </w:r>
      <w:r w:rsidR="0029446F" w:rsidRPr="0029446F">
        <w:rPr>
          <w:rFonts w:ascii="Times New Roman" w:hAnsi="Times New Roman"/>
          <w:iCs/>
          <w:sz w:val="22"/>
          <w:szCs w:val="22"/>
        </w:rPr>
        <w:t>«</w:t>
      </w:r>
      <w:r w:rsidRPr="00635D2F">
        <w:rPr>
          <w:rFonts w:ascii="Times New Roman" w:hAnsi="Times New Roman"/>
          <w:i/>
          <w:iCs/>
          <w:sz w:val="22"/>
          <w:szCs w:val="22"/>
        </w:rPr>
        <w:t> est un avis de portée particulièrement générale, qu’il n’a aucune force obligatoire et ne peut être émis que pour l’avenir, dès lors que la loi et la jurisprudence continuent de réaffirmer la parfaite validité de tels droits de préférence </w:t>
      </w:r>
      <w:r w:rsidR="0029446F" w:rsidRPr="0029446F">
        <w:rPr>
          <w:rFonts w:ascii="Times New Roman" w:hAnsi="Times New Roman"/>
          <w:iCs/>
          <w:sz w:val="22"/>
          <w:szCs w:val="22"/>
        </w:rPr>
        <w:t>»</w:t>
      </w:r>
      <w:r w:rsidRPr="00635D2F">
        <w:rPr>
          <w:rFonts w:ascii="Times New Roman" w:hAnsi="Times New Roman"/>
          <w:i/>
          <w:iCs/>
          <w:sz w:val="22"/>
          <w:szCs w:val="22"/>
        </w:rPr>
        <w:t>.</w:t>
      </w:r>
    </w:p>
  </w:footnote>
  <w:footnote w:id="15">
    <w:p w:rsidR="003E1170" w:rsidRPr="00635D2F" w:rsidRDefault="003E1170" w:rsidP="00635D2F">
      <w:pPr>
        <w:pStyle w:val="Notedebasdepage"/>
        <w:jc w:val="both"/>
        <w:rPr>
          <w:rFonts w:ascii="Times New Roman" w:hAnsi="Times New Roman"/>
          <w:sz w:val="22"/>
          <w:szCs w:val="22"/>
        </w:rPr>
      </w:pPr>
      <w:r w:rsidRPr="00635D2F">
        <w:rPr>
          <w:rStyle w:val="Appelnotedebasdep"/>
          <w:rFonts w:ascii="Times New Roman" w:hAnsi="Times New Roman"/>
          <w:sz w:val="22"/>
          <w:szCs w:val="22"/>
        </w:rPr>
        <w:footnoteRef/>
      </w:r>
      <w:r w:rsidRPr="00635D2F">
        <w:rPr>
          <w:rFonts w:ascii="Times New Roman" w:hAnsi="Times New Roman"/>
          <w:sz w:val="22"/>
          <w:szCs w:val="22"/>
        </w:rPr>
        <w:t xml:space="preserve"> Comp. Cass. com.</w:t>
      </w:r>
      <w:r w:rsidR="003356BD">
        <w:rPr>
          <w:rFonts w:ascii="Times New Roman" w:hAnsi="Times New Roman"/>
          <w:sz w:val="22"/>
          <w:szCs w:val="22"/>
        </w:rPr>
        <w:t>,</w:t>
      </w:r>
      <w:r w:rsidRPr="00635D2F">
        <w:rPr>
          <w:rFonts w:ascii="Times New Roman" w:hAnsi="Times New Roman"/>
          <w:sz w:val="22"/>
          <w:szCs w:val="22"/>
        </w:rPr>
        <w:t xml:space="preserve"> 19</w:t>
      </w:r>
      <w:r w:rsidR="003356BD">
        <w:rPr>
          <w:rFonts w:ascii="Times New Roman" w:hAnsi="Times New Roman"/>
          <w:sz w:val="22"/>
          <w:szCs w:val="22"/>
        </w:rPr>
        <w:t> </w:t>
      </w:r>
      <w:r w:rsidRPr="00635D2F">
        <w:rPr>
          <w:rFonts w:ascii="Times New Roman" w:hAnsi="Times New Roman"/>
          <w:sz w:val="22"/>
          <w:szCs w:val="22"/>
        </w:rPr>
        <w:t>déc. 2006, n</w:t>
      </w:r>
      <w:r w:rsidR="0029446F" w:rsidRPr="0029446F">
        <w:rPr>
          <w:rFonts w:ascii="Times New Roman" w:hAnsi="Times New Roman"/>
          <w:sz w:val="22"/>
          <w:szCs w:val="22"/>
          <w:vertAlign w:val="superscript"/>
        </w:rPr>
        <w:t>os</w:t>
      </w:r>
      <w:r w:rsidR="00840989">
        <w:rPr>
          <w:rFonts w:ascii="Times New Roman" w:hAnsi="Times New Roman"/>
          <w:sz w:val="22"/>
          <w:szCs w:val="22"/>
        </w:rPr>
        <w:t> </w:t>
      </w:r>
      <w:r w:rsidRPr="00635D2F">
        <w:rPr>
          <w:rFonts w:ascii="Times New Roman" w:hAnsi="Times New Roman"/>
          <w:sz w:val="22"/>
          <w:szCs w:val="22"/>
        </w:rPr>
        <w:t>05-10</w:t>
      </w:r>
      <w:r w:rsidR="003356BD">
        <w:rPr>
          <w:rFonts w:ascii="Times New Roman" w:hAnsi="Times New Roman"/>
          <w:sz w:val="22"/>
          <w:szCs w:val="22"/>
        </w:rPr>
        <w:t>.</w:t>
      </w:r>
      <w:r w:rsidRPr="00635D2F">
        <w:rPr>
          <w:rFonts w:ascii="Times New Roman" w:hAnsi="Times New Roman"/>
          <w:sz w:val="22"/>
          <w:szCs w:val="22"/>
        </w:rPr>
        <w:t>197, 05-10</w:t>
      </w:r>
      <w:r w:rsidR="003356BD">
        <w:rPr>
          <w:rFonts w:ascii="Times New Roman" w:hAnsi="Times New Roman"/>
          <w:sz w:val="22"/>
          <w:szCs w:val="22"/>
        </w:rPr>
        <w:t>.</w:t>
      </w:r>
      <w:r w:rsidRPr="00635D2F">
        <w:rPr>
          <w:rFonts w:ascii="Times New Roman" w:hAnsi="Times New Roman"/>
          <w:sz w:val="22"/>
          <w:szCs w:val="22"/>
        </w:rPr>
        <w:t>198, 05-10</w:t>
      </w:r>
      <w:r w:rsidR="003356BD">
        <w:rPr>
          <w:rFonts w:ascii="Times New Roman" w:hAnsi="Times New Roman"/>
          <w:sz w:val="22"/>
          <w:szCs w:val="22"/>
        </w:rPr>
        <w:t>.</w:t>
      </w:r>
      <w:r w:rsidRPr="00635D2F">
        <w:rPr>
          <w:rFonts w:ascii="Times New Roman" w:hAnsi="Times New Roman"/>
          <w:sz w:val="22"/>
          <w:szCs w:val="22"/>
        </w:rPr>
        <w:t>199, 03-21</w:t>
      </w:r>
      <w:r w:rsidR="003356BD">
        <w:rPr>
          <w:rFonts w:ascii="Times New Roman" w:hAnsi="Times New Roman"/>
          <w:sz w:val="22"/>
          <w:szCs w:val="22"/>
        </w:rPr>
        <w:t>.</w:t>
      </w:r>
      <w:r w:rsidRPr="00635D2F">
        <w:rPr>
          <w:rFonts w:ascii="Times New Roman" w:hAnsi="Times New Roman"/>
          <w:sz w:val="22"/>
          <w:szCs w:val="22"/>
        </w:rPr>
        <w:t>042, JCP</w:t>
      </w:r>
      <w:r w:rsidR="003356BD">
        <w:rPr>
          <w:rFonts w:ascii="Times New Roman" w:hAnsi="Times New Roman"/>
          <w:sz w:val="22"/>
          <w:szCs w:val="22"/>
        </w:rPr>
        <w:t> </w:t>
      </w:r>
      <w:r w:rsidRPr="00635D2F">
        <w:rPr>
          <w:rFonts w:ascii="Times New Roman" w:hAnsi="Times New Roman"/>
          <w:sz w:val="22"/>
          <w:szCs w:val="22"/>
        </w:rPr>
        <w:t>E 2007, 1348, obs. D.</w:t>
      </w:r>
      <w:r w:rsidR="00840989">
        <w:rPr>
          <w:rFonts w:ascii="Times New Roman" w:hAnsi="Times New Roman"/>
          <w:sz w:val="22"/>
          <w:szCs w:val="22"/>
        </w:rPr>
        <w:t> </w:t>
      </w:r>
      <w:r w:rsidRPr="002E6AA4">
        <w:rPr>
          <w:rFonts w:ascii="Times New Roman" w:hAnsi="Times New Roman"/>
          <w:sz w:val="22"/>
          <w:szCs w:val="22"/>
          <w:rPrChange w:id="0" w:author="DMainguy" w:date="2016-07-05T11:25:00Z">
            <w:rPr>
              <w:rFonts w:ascii="Times New Roman" w:hAnsi="Times New Roman"/>
              <w:sz w:val="22"/>
              <w:szCs w:val="22"/>
              <w:lang w:val="en-US"/>
            </w:rPr>
          </w:rPrChange>
        </w:rPr>
        <w:t>Mainguy</w:t>
      </w:r>
      <w:r w:rsidR="00594A53" w:rsidRPr="002E6AA4">
        <w:rPr>
          <w:rFonts w:ascii="Times New Roman" w:hAnsi="Times New Roman"/>
          <w:sz w:val="22"/>
          <w:szCs w:val="22"/>
          <w:rPrChange w:id="1" w:author="DMainguy" w:date="2016-07-05T11:25:00Z">
            <w:rPr>
              <w:rFonts w:ascii="Times New Roman" w:hAnsi="Times New Roman"/>
              <w:sz w:val="22"/>
              <w:szCs w:val="22"/>
              <w:lang w:val="en-US"/>
            </w:rPr>
          </w:rPrChange>
        </w:rPr>
        <w:t> ;</w:t>
      </w:r>
      <w:r w:rsidRPr="002E6AA4">
        <w:rPr>
          <w:rFonts w:ascii="Times New Roman" w:hAnsi="Times New Roman"/>
          <w:sz w:val="22"/>
          <w:szCs w:val="22"/>
          <w:rPrChange w:id="2" w:author="DMainguy" w:date="2016-07-05T11:25:00Z">
            <w:rPr>
              <w:rFonts w:ascii="Times New Roman" w:hAnsi="Times New Roman"/>
              <w:sz w:val="22"/>
              <w:szCs w:val="22"/>
              <w:lang w:val="en-US"/>
            </w:rPr>
          </w:rPrChange>
        </w:rPr>
        <w:t xml:space="preserve"> </w:t>
      </w:r>
      <w:r w:rsidR="00E34357" w:rsidRPr="002E6AA4">
        <w:rPr>
          <w:rFonts w:ascii="Times New Roman" w:hAnsi="Times New Roman"/>
          <w:sz w:val="22"/>
          <w:szCs w:val="22"/>
          <w:rPrChange w:id="3" w:author="DMainguy" w:date="2016-07-05T11:25:00Z">
            <w:rPr>
              <w:rFonts w:ascii="Times New Roman" w:hAnsi="Times New Roman"/>
              <w:sz w:val="22"/>
              <w:szCs w:val="22"/>
              <w:lang w:val="en-US"/>
            </w:rPr>
          </w:rPrChange>
        </w:rPr>
        <w:t>Cass. com.</w:t>
      </w:r>
      <w:r w:rsidR="003356BD" w:rsidRPr="002E6AA4">
        <w:rPr>
          <w:rFonts w:ascii="Times New Roman" w:hAnsi="Times New Roman"/>
          <w:sz w:val="22"/>
          <w:szCs w:val="22"/>
          <w:rPrChange w:id="4" w:author="DMainguy" w:date="2016-07-05T11:25:00Z">
            <w:rPr>
              <w:rFonts w:ascii="Times New Roman" w:hAnsi="Times New Roman"/>
              <w:sz w:val="22"/>
              <w:szCs w:val="22"/>
              <w:lang w:val="en-US"/>
            </w:rPr>
          </w:rPrChange>
        </w:rPr>
        <w:t>,</w:t>
      </w:r>
      <w:r w:rsidR="00E34357" w:rsidRPr="002E6AA4">
        <w:rPr>
          <w:rFonts w:ascii="Times New Roman" w:hAnsi="Times New Roman"/>
          <w:sz w:val="22"/>
          <w:szCs w:val="22"/>
          <w:rPrChange w:id="5" w:author="DMainguy" w:date="2016-07-05T11:25:00Z">
            <w:rPr>
              <w:rFonts w:ascii="Times New Roman" w:hAnsi="Times New Roman"/>
              <w:sz w:val="22"/>
              <w:szCs w:val="22"/>
              <w:lang w:val="en-US"/>
            </w:rPr>
          </w:rPrChange>
        </w:rPr>
        <w:t xml:space="preserve"> 30</w:t>
      </w:r>
      <w:r w:rsidR="003356BD" w:rsidRPr="002E6AA4">
        <w:rPr>
          <w:rFonts w:ascii="Times New Roman" w:hAnsi="Times New Roman"/>
          <w:sz w:val="22"/>
          <w:szCs w:val="22"/>
          <w:rPrChange w:id="6" w:author="DMainguy" w:date="2016-07-05T11:25:00Z">
            <w:rPr>
              <w:rFonts w:ascii="Times New Roman" w:hAnsi="Times New Roman"/>
              <w:sz w:val="22"/>
              <w:szCs w:val="22"/>
              <w:lang w:val="en-US"/>
            </w:rPr>
          </w:rPrChange>
        </w:rPr>
        <w:t> </w:t>
      </w:r>
      <w:r w:rsidR="00E34357" w:rsidRPr="002E6AA4">
        <w:rPr>
          <w:rFonts w:ascii="Times New Roman" w:hAnsi="Times New Roman"/>
          <w:sz w:val="22"/>
          <w:szCs w:val="22"/>
          <w:rPrChange w:id="7" w:author="DMainguy" w:date="2016-07-05T11:25:00Z">
            <w:rPr>
              <w:rFonts w:ascii="Times New Roman" w:hAnsi="Times New Roman"/>
              <w:sz w:val="22"/>
              <w:szCs w:val="22"/>
              <w:lang w:val="en-US"/>
            </w:rPr>
          </w:rPrChange>
        </w:rPr>
        <w:t>mai 2012, n°</w:t>
      </w:r>
      <w:r w:rsidR="003356BD" w:rsidRPr="002E6AA4">
        <w:rPr>
          <w:rFonts w:ascii="Times New Roman" w:hAnsi="Times New Roman"/>
          <w:sz w:val="22"/>
          <w:szCs w:val="22"/>
          <w:rPrChange w:id="8" w:author="DMainguy" w:date="2016-07-05T11:25:00Z">
            <w:rPr>
              <w:rFonts w:ascii="Times New Roman" w:hAnsi="Times New Roman"/>
              <w:sz w:val="22"/>
              <w:szCs w:val="22"/>
              <w:lang w:val="en-US"/>
            </w:rPr>
          </w:rPrChange>
        </w:rPr>
        <w:t> </w:t>
      </w:r>
      <w:r w:rsidR="00E34357" w:rsidRPr="002E6AA4">
        <w:rPr>
          <w:rFonts w:ascii="Times New Roman" w:hAnsi="Times New Roman"/>
          <w:sz w:val="22"/>
          <w:szCs w:val="22"/>
          <w:rPrChange w:id="9" w:author="DMainguy" w:date="2016-07-05T11:25:00Z">
            <w:rPr>
              <w:rFonts w:ascii="Times New Roman" w:hAnsi="Times New Roman"/>
              <w:sz w:val="22"/>
              <w:szCs w:val="22"/>
              <w:lang w:val="en-US"/>
            </w:rPr>
          </w:rPrChange>
        </w:rPr>
        <w:t>11-18</w:t>
      </w:r>
      <w:r w:rsidR="00594A53" w:rsidRPr="002E6AA4">
        <w:rPr>
          <w:rFonts w:ascii="Times New Roman" w:hAnsi="Times New Roman"/>
          <w:sz w:val="22"/>
          <w:szCs w:val="22"/>
          <w:rPrChange w:id="10" w:author="DMainguy" w:date="2016-07-05T11:25:00Z">
            <w:rPr>
              <w:rFonts w:ascii="Times New Roman" w:hAnsi="Times New Roman"/>
              <w:sz w:val="22"/>
              <w:szCs w:val="22"/>
              <w:lang w:val="en-US"/>
            </w:rPr>
          </w:rPrChange>
        </w:rPr>
        <w:t>.</w:t>
      </w:r>
      <w:r w:rsidR="00E34357" w:rsidRPr="002E6AA4">
        <w:rPr>
          <w:rFonts w:ascii="Times New Roman" w:hAnsi="Times New Roman"/>
          <w:sz w:val="22"/>
          <w:szCs w:val="22"/>
          <w:rPrChange w:id="11" w:author="DMainguy" w:date="2016-07-05T11:25:00Z">
            <w:rPr>
              <w:rFonts w:ascii="Times New Roman" w:hAnsi="Times New Roman"/>
              <w:sz w:val="22"/>
              <w:szCs w:val="22"/>
              <w:lang w:val="en-US"/>
            </w:rPr>
          </w:rPrChange>
        </w:rPr>
        <w:t>024, JCP</w:t>
      </w:r>
      <w:r w:rsidR="00594A53" w:rsidRPr="002E6AA4">
        <w:rPr>
          <w:rFonts w:ascii="Times New Roman" w:hAnsi="Times New Roman"/>
          <w:sz w:val="22"/>
          <w:szCs w:val="22"/>
          <w:rPrChange w:id="12" w:author="DMainguy" w:date="2016-07-05T11:25:00Z">
            <w:rPr>
              <w:rFonts w:ascii="Times New Roman" w:hAnsi="Times New Roman"/>
              <w:sz w:val="22"/>
              <w:szCs w:val="22"/>
              <w:lang w:val="en-US"/>
            </w:rPr>
          </w:rPrChange>
        </w:rPr>
        <w:t> </w:t>
      </w:r>
      <w:r w:rsidR="00E34357" w:rsidRPr="002E6AA4">
        <w:rPr>
          <w:rFonts w:ascii="Times New Roman" w:hAnsi="Times New Roman"/>
          <w:sz w:val="22"/>
          <w:szCs w:val="22"/>
          <w:rPrChange w:id="13" w:author="DMainguy" w:date="2016-07-05T11:25:00Z">
            <w:rPr>
              <w:rFonts w:ascii="Times New Roman" w:hAnsi="Times New Roman"/>
              <w:sz w:val="22"/>
              <w:szCs w:val="22"/>
              <w:lang w:val="en-US"/>
            </w:rPr>
          </w:rPrChange>
        </w:rPr>
        <w:t>E 2012, 1641, note B.</w:t>
      </w:r>
      <w:r w:rsidR="00840989" w:rsidRPr="002E6AA4">
        <w:rPr>
          <w:rFonts w:ascii="Times New Roman" w:hAnsi="Times New Roman"/>
          <w:sz w:val="22"/>
          <w:szCs w:val="22"/>
          <w:rPrChange w:id="14" w:author="DMainguy" w:date="2016-07-05T11:25:00Z">
            <w:rPr>
              <w:rFonts w:ascii="Times New Roman" w:hAnsi="Times New Roman"/>
              <w:sz w:val="22"/>
              <w:szCs w:val="22"/>
              <w:lang w:val="en-US"/>
            </w:rPr>
          </w:rPrChange>
        </w:rPr>
        <w:t> </w:t>
      </w:r>
      <w:r w:rsidR="00E34357" w:rsidRPr="002E6AA4">
        <w:rPr>
          <w:rFonts w:ascii="Times New Roman" w:hAnsi="Times New Roman"/>
          <w:sz w:val="22"/>
          <w:szCs w:val="22"/>
          <w:rPrChange w:id="15" w:author="DMainguy" w:date="2016-07-05T11:25:00Z">
            <w:rPr>
              <w:rFonts w:ascii="Times New Roman" w:hAnsi="Times New Roman"/>
              <w:sz w:val="22"/>
              <w:szCs w:val="22"/>
              <w:lang w:val="en-US"/>
            </w:rPr>
          </w:rPrChange>
        </w:rPr>
        <w:t>Dondero</w:t>
      </w:r>
      <w:r w:rsidR="00594A53" w:rsidRPr="002E6AA4">
        <w:rPr>
          <w:rFonts w:ascii="Times New Roman" w:hAnsi="Times New Roman"/>
          <w:sz w:val="22"/>
          <w:szCs w:val="22"/>
          <w:rPrChange w:id="16" w:author="DMainguy" w:date="2016-07-05T11:25:00Z">
            <w:rPr>
              <w:rFonts w:ascii="Times New Roman" w:hAnsi="Times New Roman"/>
              <w:sz w:val="22"/>
              <w:szCs w:val="22"/>
              <w:lang w:val="en-US"/>
            </w:rPr>
          </w:rPrChange>
        </w:rPr>
        <w:t> ;</w:t>
      </w:r>
      <w:r w:rsidR="00E34357" w:rsidRPr="002E6AA4">
        <w:rPr>
          <w:rFonts w:ascii="Times New Roman" w:hAnsi="Times New Roman"/>
          <w:sz w:val="22"/>
          <w:szCs w:val="22"/>
          <w:rPrChange w:id="17" w:author="DMainguy" w:date="2016-07-05T11:25:00Z">
            <w:rPr>
              <w:rFonts w:ascii="Times New Roman" w:hAnsi="Times New Roman"/>
              <w:sz w:val="22"/>
              <w:szCs w:val="22"/>
              <w:lang w:val="en-US"/>
            </w:rPr>
          </w:rPrChange>
        </w:rPr>
        <w:t xml:space="preserve"> Cass. com.</w:t>
      </w:r>
      <w:r w:rsidR="00594A53" w:rsidRPr="002E6AA4">
        <w:rPr>
          <w:rFonts w:ascii="Times New Roman" w:hAnsi="Times New Roman"/>
          <w:sz w:val="22"/>
          <w:szCs w:val="22"/>
          <w:rPrChange w:id="18" w:author="DMainguy" w:date="2016-07-05T11:25:00Z">
            <w:rPr>
              <w:rFonts w:ascii="Times New Roman" w:hAnsi="Times New Roman"/>
              <w:sz w:val="22"/>
              <w:szCs w:val="22"/>
              <w:lang w:val="en-US"/>
            </w:rPr>
          </w:rPrChange>
        </w:rPr>
        <w:t>,</w:t>
      </w:r>
      <w:r w:rsidR="00E34357" w:rsidRPr="002E6AA4">
        <w:rPr>
          <w:rFonts w:ascii="Times New Roman" w:hAnsi="Times New Roman"/>
          <w:sz w:val="22"/>
          <w:szCs w:val="22"/>
          <w:rPrChange w:id="19" w:author="DMainguy" w:date="2016-07-05T11:25:00Z">
            <w:rPr>
              <w:rFonts w:ascii="Times New Roman" w:hAnsi="Times New Roman"/>
              <w:sz w:val="22"/>
              <w:szCs w:val="22"/>
              <w:lang w:val="en-US"/>
            </w:rPr>
          </w:rPrChange>
        </w:rPr>
        <w:t xml:space="preserve"> 4</w:t>
      </w:r>
      <w:r w:rsidR="00594A53" w:rsidRPr="002E6AA4">
        <w:rPr>
          <w:rFonts w:ascii="Times New Roman" w:hAnsi="Times New Roman"/>
          <w:sz w:val="22"/>
          <w:szCs w:val="22"/>
          <w:rPrChange w:id="20" w:author="DMainguy" w:date="2016-07-05T11:25:00Z">
            <w:rPr>
              <w:rFonts w:ascii="Times New Roman" w:hAnsi="Times New Roman"/>
              <w:sz w:val="22"/>
              <w:szCs w:val="22"/>
              <w:lang w:val="en-US"/>
            </w:rPr>
          </w:rPrChange>
        </w:rPr>
        <w:t> </w:t>
      </w:r>
      <w:r w:rsidR="00E34357" w:rsidRPr="002E6AA4">
        <w:rPr>
          <w:rFonts w:ascii="Times New Roman" w:hAnsi="Times New Roman"/>
          <w:sz w:val="22"/>
          <w:szCs w:val="22"/>
          <w:rPrChange w:id="21" w:author="DMainguy" w:date="2016-07-05T11:25:00Z">
            <w:rPr>
              <w:rFonts w:ascii="Times New Roman" w:hAnsi="Times New Roman"/>
              <w:sz w:val="22"/>
              <w:szCs w:val="22"/>
              <w:lang w:val="en-US"/>
            </w:rPr>
          </w:rPrChange>
        </w:rPr>
        <w:t>nov. 2014, n°</w:t>
      </w:r>
      <w:r w:rsidR="00594A53" w:rsidRPr="002E6AA4">
        <w:rPr>
          <w:rFonts w:ascii="Times New Roman" w:hAnsi="Times New Roman"/>
          <w:sz w:val="22"/>
          <w:szCs w:val="22"/>
          <w:rPrChange w:id="22" w:author="DMainguy" w:date="2016-07-05T11:25:00Z">
            <w:rPr>
              <w:rFonts w:ascii="Times New Roman" w:hAnsi="Times New Roman"/>
              <w:sz w:val="22"/>
              <w:szCs w:val="22"/>
              <w:lang w:val="en-US"/>
            </w:rPr>
          </w:rPrChange>
        </w:rPr>
        <w:t> </w:t>
      </w:r>
      <w:r w:rsidR="00E34357" w:rsidRPr="002E6AA4">
        <w:rPr>
          <w:rFonts w:ascii="Times New Roman" w:hAnsi="Times New Roman"/>
          <w:sz w:val="22"/>
          <w:szCs w:val="22"/>
          <w:rPrChange w:id="23" w:author="DMainguy" w:date="2016-07-05T11:25:00Z">
            <w:rPr>
              <w:rFonts w:ascii="Times New Roman" w:hAnsi="Times New Roman"/>
              <w:sz w:val="22"/>
              <w:szCs w:val="22"/>
              <w:lang w:val="en-US"/>
            </w:rPr>
          </w:rPrChange>
        </w:rPr>
        <w:t>12-25</w:t>
      </w:r>
      <w:r w:rsidR="00594A53" w:rsidRPr="002E6AA4">
        <w:rPr>
          <w:rFonts w:ascii="Times New Roman" w:hAnsi="Times New Roman"/>
          <w:sz w:val="22"/>
          <w:szCs w:val="22"/>
          <w:rPrChange w:id="24" w:author="DMainguy" w:date="2016-07-05T11:25:00Z">
            <w:rPr>
              <w:rFonts w:ascii="Times New Roman" w:hAnsi="Times New Roman"/>
              <w:sz w:val="22"/>
              <w:szCs w:val="22"/>
              <w:lang w:val="en-US"/>
            </w:rPr>
          </w:rPrChange>
        </w:rPr>
        <w:t>.</w:t>
      </w:r>
      <w:r w:rsidR="00E34357" w:rsidRPr="002E6AA4">
        <w:rPr>
          <w:rFonts w:ascii="Times New Roman" w:hAnsi="Times New Roman"/>
          <w:sz w:val="22"/>
          <w:szCs w:val="22"/>
          <w:rPrChange w:id="25" w:author="DMainguy" w:date="2016-07-05T11:25:00Z">
            <w:rPr>
              <w:rFonts w:ascii="Times New Roman" w:hAnsi="Times New Roman"/>
              <w:sz w:val="22"/>
              <w:szCs w:val="22"/>
              <w:lang w:val="en-US"/>
            </w:rPr>
          </w:rPrChange>
        </w:rPr>
        <w:t>419</w:t>
      </w:r>
      <w:r w:rsidR="00594A53" w:rsidRPr="002E6AA4">
        <w:rPr>
          <w:rFonts w:ascii="Times New Roman" w:hAnsi="Times New Roman"/>
          <w:sz w:val="22"/>
          <w:szCs w:val="22"/>
          <w:rPrChange w:id="26" w:author="DMainguy" w:date="2016-07-05T11:25:00Z">
            <w:rPr>
              <w:rFonts w:ascii="Times New Roman" w:hAnsi="Times New Roman"/>
              <w:sz w:val="22"/>
              <w:szCs w:val="22"/>
              <w:lang w:val="en-US"/>
            </w:rPr>
          </w:rPrChange>
        </w:rPr>
        <w:t> ;</w:t>
      </w:r>
      <w:r w:rsidR="00E34357" w:rsidRPr="002E6AA4">
        <w:rPr>
          <w:rFonts w:ascii="Times New Roman" w:hAnsi="Times New Roman"/>
          <w:sz w:val="22"/>
          <w:szCs w:val="22"/>
          <w:rPrChange w:id="27" w:author="DMainguy" w:date="2016-07-05T11:25:00Z">
            <w:rPr>
              <w:rFonts w:ascii="Times New Roman" w:hAnsi="Times New Roman"/>
              <w:sz w:val="22"/>
              <w:szCs w:val="22"/>
              <w:lang w:val="en-US"/>
            </w:rPr>
          </w:rPrChange>
        </w:rPr>
        <w:t xml:space="preserve"> Cass. com.</w:t>
      </w:r>
      <w:r w:rsidR="00594A53" w:rsidRPr="002E6AA4">
        <w:rPr>
          <w:rFonts w:ascii="Times New Roman" w:hAnsi="Times New Roman"/>
          <w:sz w:val="22"/>
          <w:szCs w:val="22"/>
          <w:rPrChange w:id="28" w:author="DMainguy" w:date="2016-07-05T11:25:00Z">
            <w:rPr>
              <w:rFonts w:ascii="Times New Roman" w:hAnsi="Times New Roman"/>
              <w:sz w:val="22"/>
              <w:szCs w:val="22"/>
              <w:lang w:val="en-US"/>
            </w:rPr>
          </w:rPrChange>
        </w:rPr>
        <w:t>,</w:t>
      </w:r>
      <w:r w:rsidR="00E34357" w:rsidRPr="002E6AA4">
        <w:rPr>
          <w:rFonts w:ascii="Times New Roman" w:hAnsi="Times New Roman"/>
          <w:sz w:val="22"/>
          <w:szCs w:val="22"/>
          <w:rPrChange w:id="29" w:author="DMainguy" w:date="2016-07-05T11:25:00Z">
            <w:rPr>
              <w:rFonts w:ascii="Times New Roman" w:hAnsi="Times New Roman"/>
              <w:sz w:val="22"/>
              <w:szCs w:val="22"/>
              <w:lang w:val="en-US"/>
            </w:rPr>
          </w:rPrChange>
        </w:rPr>
        <w:t xml:space="preserve"> 5</w:t>
      </w:r>
      <w:r w:rsidR="00594A53" w:rsidRPr="002E6AA4">
        <w:rPr>
          <w:rFonts w:ascii="Times New Roman" w:hAnsi="Times New Roman"/>
          <w:sz w:val="22"/>
          <w:szCs w:val="22"/>
          <w:rPrChange w:id="30" w:author="DMainguy" w:date="2016-07-05T11:25:00Z">
            <w:rPr>
              <w:rFonts w:ascii="Times New Roman" w:hAnsi="Times New Roman"/>
              <w:sz w:val="22"/>
              <w:szCs w:val="22"/>
              <w:lang w:val="en-US"/>
            </w:rPr>
          </w:rPrChange>
        </w:rPr>
        <w:t> </w:t>
      </w:r>
      <w:r w:rsidR="00E34357" w:rsidRPr="002E6AA4">
        <w:rPr>
          <w:rFonts w:ascii="Times New Roman" w:hAnsi="Times New Roman"/>
          <w:sz w:val="22"/>
          <w:szCs w:val="22"/>
          <w:rPrChange w:id="31" w:author="DMainguy" w:date="2016-07-05T11:25:00Z">
            <w:rPr>
              <w:rFonts w:ascii="Times New Roman" w:hAnsi="Times New Roman"/>
              <w:sz w:val="22"/>
              <w:szCs w:val="22"/>
              <w:lang w:val="en-US"/>
            </w:rPr>
          </w:rPrChange>
        </w:rPr>
        <w:t>janv. 2016, n°</w:t>
      </w:r>
      <w:r w:rsidR="00594A53" w:rsidRPr="002E6AA4">
        <w:rPr>
          <w:rFonts w:ascii="Times New Roman" w:hAnsi="Times New Roman"/>
          <w:sz w:val="22"/>
          <w:szCs w:val="22"/>
          <w:rPrChange w:id="32" w:author="DMainguy" w:date="2016-07-05T11:25:00Z">
            <w:rPr>
              <w:rFonts w:ascii="Times New Roman" w:hAnsi="Times New Roman"/>
              <w:sz w:val="22"/>
              <w:szCs w:val="22"/>
              <w:lang w:val="en-US"/>
            </w:rPr>
          </w:rPrChange>
        </w:rPr>
        <w:t> </w:t>
      </w:r>
      <w:r w:rsidR="00E34357" w:rsidRPr="002E6AA4">
        <w:rPr>
          <w:rFonts w:ascii="Times New Roman" w:hAnsi="Times New Roman"/>
          <w:sz w:val="22"/>
          <w:szCs w:val="22"/>
          <w:rPrChange w:id="33" w:author="DMainguy" w:date="2016-07-05T11:25:00Z">
            <w:rPr>
              <w:rFonts w:ascii="Times New Roman" w:hAnsi="Times New Roman"/>
              <w:sz w:val="22"/>
              <w:szCs w:val="22"/>
              <w:lang w:val="en-US"/>
            </w:rPr>
          </w:rPrChange>
        </w:rPr>
        <w:t>14-19</w:t>
      </w:r>
      <w:r w:rsidR="00594A53" w:rsidRPr="002E6AA4">
        <w:rPr>
          <w:rFonts w:ascii="Times New Roman" w:hAnsi="Times New Roman"/>
          <w:sz w:val="22"/>
          <w:szCs w:val="22"/>
          <w:rPrChange w:id="34" w:author="DMainguy" w:date="2016-07-05T11:25:00Z">
            <w:rPr>
              <w:rFonts w:ascii="Times New Roman" w:hAnsi="Times New Roman"/>
              <w:sz w:val="22"/>
              <w:szCs w:val="22"/>
              <w:lang w:val="en-US"/>
            </w:rPr>
          </w:rPrChange>
        </w:rPr>
        <w:t>.</w:t>
      </w:r>
      <w:r w:rsidR="00E34357" w:rsidRPr="002E6AA4">
        <w:rPr>
          <w:rFonts w:ascii="Times New Roman" w:hAnsi="Times New Roman"/>
          <w:sz w:val="22"/>
          <w:szCs w:val="22"/>
          <w:rPrChange w:id="35" w:author="DMainguy" w:date="2016-07-05T11:25:00Z">
            <w:rPr>
              <w:rFonts w:ascii="Times New Roman" w:hAnsi="Times New Roman"/>
              <w:sz w:val="22"/>
              <w:szCs w:val="22"/>
              <w:lang w:val="en-US"/>
            </w:rPr>
          </w:rPrChange>
        </w:rPr>
        <w:t>584</w:t>
      </w:r>
      <w:r w:rsidR="00746A30" w:rsidRPr="002E6AA4">
        <w:rPr>
          <w:rFonts w:ascii="Times New Roman" w:hAnsi="Times New Roman"/>
          <w:sz w:val="22"/>
          <w:szCs w:val="22"/>
          <w:rPrChange w:id="36" w:author="DMainguy" w:date="2016-07-05T11:25:00Z">
            <w:rPr>
              <w:rFonts w:ascii="Times New Roman" w:hAnsi="Times New Roman"/>
              <w:sz w:val="22"/>
              <w:szCs w:val="22"/>
              <w:lang w:val="en-US"/>
            </w:rPr>
          </w:rPrChange>
        </w:rPr>
        <w:t xml:space="preserve">. </w:t>
      </w:r>
      <w:r w:rsidR="0029446F" w:rsidRPr="002E6AA4">
        <w:rPr>
          <w:rFonts w:ascii="Times New Roman" w:hAnsi="Times New Roman"/>
          <w:i/>
          <w:sz w:val="22"/>
          <w:szCs w:val="22"/>
          <w:rPrChange w:id="37" w:author="DMainguy" w:date="2016-07-05T11:25:00Z">
            <w:rPr>
              <w:rFonts w:ascii="Times New Roman" w:hAnsi="Times New Roman"/>
              <w:i/>
              <w:sz w:val="22"/>
              <w:szCs w:val="22"/>
              <w:lang w:val="en-US"/>
            </w:rPr>
          </w:rPrChange>
        </w:rPr>
        <w:t>Adde</w:t>
      </w:r>
      <w:r w:rsidR="00840989" w:rsidRPr="002E6AA4">
        <w:rPr>
          <w:rFonts w:ascii="Times New Roman" w:hAnsi="Times New Roman"/>
          <w:sz w:val="22"/>
          <w:szCs w:val="22"/>
          <w:rPrChange w:id="38" w:author="DMainguy" w:date="2016-07-05T11:25:00Z">
            <w:rPr>
              <w:rFonts w:ascii="Times New Roman" w:hAnsi="Times New Roman"/>
              <w:sz w:val="22"/>
              <w:szCs w:val="22"/>
              <w:lang w:val="en-US"/>
            </w:rPr>
          </w:rPrChange>
        </w:rPr>
        <w:t xml:space="preserve"> </w:t>
      </w:r>
      <w:r w:rsidR="00746A30" w:rsidRPr="002E6AA4">
        <w:rPr>
          <w:rFonts w:ascii="Times New Roman" w:hAnsi="Times New Roman"/>
          <w:sz w:val="22"/>
          <w:szCs w:val="22"/>
          <w:rPrChange w:id="39" w:author="DMainguy" w:date="2016-07-05T11:25:00Z">
            <w:rPr>
              <w:rFonts w:ascii="Times New Roman" w:hAnsi="Times New Roman"/>
              <w:sz w:val="22"/>
              <w:szCs w:val="22"/>
              <w:lang w:val="en-US"/>
            </w:rPr>
          </w:rPrChange>
        </w:rPr>
        <w:t>D.</w:t>
      </w:r>
      <w:r w:rsidR="00840989" w:rsidRPr="002E6AA4">
        <w:rPr>
          <w:rFonts w:ascii="Times New Roman" w:hAnsi="Times New Roman"/>
          <w:sz w:val="22"/>
          <w:szCs w:val="22"/>
          <w:rPrChange w:id="40" w:author="DMainguy" w:date="2016-07-05T11:25:00Z">
            <w:rPr>
              <w:rFonts w:ascii="Times New Roman" w:hAnsi="Times New Roman"/>
              <w:sz w:val="22"/>
              <w:szCs w:val="22"/>
              <w:lang w:val="en-US"/>
            </w:rPr>
          </w:rPrChange>
        </w:rPr>
        <w:t> </w:t>
      </w:r>
      <w:r w:rsidR="00746A30" w:rsidRPr="00635D2F">
        <w:rPr>
          <w:rFonts w:ascii="Times New Roman" w:hAnsi="Times New Roman"/>
          <w:sz w:val="22"/>
          <w:szCs w:val="22"/>
        </w:rPr>
        <w:t xml:space="preserve">Mainguy, Le contrat de franchise dans la distribution alimentaire, </w:t>
      </w:r>
      <w:r w:rsidR="0029446F" w:rsidRPr="0029446F">
        <w:rPr>
          <w:rFonts w:ascii="Times New Roman" w:hAnsi="Times New Roman"/>
          <w:i/>
          <w:sz w:val="22"/>
          <w:szCs w:val="22"/>
        </w:rPr>
        <w:t>in</w:t>
      </w:r>
      <w:r w:rsidR="00746A30" w:rsidRPr="00635D2F">
        <w:rPr>
          <w:rFonts w:ascii="Times New Roman" w:hAnsi="Times New Roman"/>
          <w:sz w:val="22"/>
          <w:szCs w:val="22"/>
        </w:rPr>
        <w:t xml:space="preserve"> D.</w:t>
      </w:r>
      <w:r w:rsidR="00840989">
        <w:rPr>
          <w:rFonts w:ascii="Times New Roman" w:hAnsi="Times New Roman"/>
          <w:sz w:val="22"/>
          <w:szCs w:val="22"/>
        </w:rPr>
        <w:t> </w:t>
      </w:r>
      <w:r w:rsidR="00746A30" w:rsidRPr="00635D2F">
        <w:rPr>
          <w:rFonts w:ascii="Times New Roman" w:hAnsi="Times New Roman"/>
          <w:sz w:val="22"/>
          <w:szCs w:val="22"/>
        </w:rPr>
        <w:t>Mainguy</w:t>
      </w:r>
      <w:r w:rsidR="00BE74AC">
        <w:rPr>
          <w:rFonts w:ascii="Times New Roman" w:hAnsi="Times New Roman"/>
          <w:sz w:val="22"/>
          <w:szCs w:val="22"/>
        </w:rPr>
        <w:t xml:space="preserve"> </w:t>
      </w:r>
      <w:r w:rsidR="00746A30" w:rsidRPr="00635D2F">
        <w:rPr>
          <w:rFonts w:ascii="Times New Roman" w:hAnsi="Times New Roman"/>
          <w:sz w:val="22"/>
          <w:szCs w:val="22"/>
        </w:rPr>
        <w:t>(dir.), La crise du contrat de Franchise, Lextenso</w:t>
      </w:r>
      <w:r w:rsidR="00840989">
        <w:rPr>
          <w:rFonts w:ascii="Times New Roman" w:hAnsi="Times New Roman"/>
          <w:sz w:val="22"/>
          <w:szCs w:val="22"/>
        </w:rPr>
        <w:t>,</w:t>
      </w:r>
      <w:r w:rsidR="00746A30" w:rsidRPr="00635D2F">
        <w:rPr>
          <w:rFonts w:ascii="Times New Roman" w:hAnsi="Times New Roman"/>
          <w:sz w:val="22"/>
          <w:szCs w:val="22"/>
        </w:rPr>
        <w:t xml:space="preserve"> 2016, p.</w:t>
      </w:r>
      <w:r w:rsidR="00594A53">
        <w:rPr>
          <w:rFonts w:ascii="Times New Roman" w:hAnsi="Times New Roman"/>
          <w:sz w:val="22"/>
          <w:szCs w:val="22"/>
        </w:rPr>
        <w:t> </w:t>
      </w:r>
      <w:r w:rsidR="00746A30" w:rsidRPr="00635D2F">
        <w:rPr>
          <w:rFonts w:ascii="Times New Roman" w:hAnsi="Times New Roman"/>
          <w:sz w:val="22"/>
          <w:szCs w:val="22"/>
        </w:rPr>
        <w:t xml:space="preserve">85. </w:t>
      </w:r>
    </w:p>
  </w:footnote>
  <w:footnote w:id="16">
    <w:p w:rsidR="00FF0E29" w:rsidRPr="00C0003B" w:rsidRDefault="00FF0E29" w:rsidP="00635D2F">
      <w:pPr>
        <w:pStyle w:val="Notedebasdepage"/>
        <w:jc w:val="both"/>
        <w:rPr>
          <w:rFonts w:ascii="Times New Roman" w:hAnsi="Times New Roman"/>
          <w:sz w:val="22"/>
          <w:szCs w:val="22"/>
        </w:rPr>
      </w:pPr>
      <w:r w:rsidRPr="00635D2F">
        <w:rPr>
          <w:rStyle w:val="Appelnotedebasdep"/>
          <w:rFonts w:ascii="Times New Roman" w:hAnsi="Times New Roman"/>
          <w:sz w:val="22"/>
          <w:szCs w:val="22"/>
        </w:rPr>
        <w:footnoteRef/>
      </w:r>
      <w:r w:rsidRPr="00635D2F">
        <w:rPr>
          <w:rFonts w:ascii="Times New Roman" w:hAnsi="Times New Roman"/>
          <w:sz w:val="22"/>
          <w:szCs w:val="22"/>
        </w:rPr>
        <w:t xml:space="preserve"> </w:t>
      </w:r>
      <w:r w:rsidRPr="00635D2F">
        <w:rPr>
          <w:rFonts w:ascii="Times New Roman" w:hAnsi="Times New Roman"/>
          <w:color w:val="000000" w:themeColor="text1"/>
          <w:sz w:val="22"/>
          <w:szCs w:val="22"/>
        </w:rPr>
        <w:t>Comp. M.</w:t>
      </w:r>
      <w:r w:rsidR="00840989">
        <w:rPr>
          <w:rFonts w:ascii="Times New Roman" w:hAnsi="Times New Roman"/>
          <w:color w:val="000000" w:themeColor="text1"/>
          <w:sz w:val="22"/>
          <w:szCs w:val="22"/>
        </w:rPr>
        <w:t> </w:t>
      </w:r>
      <w:r w:rsidRPr="00635D2F">
        <w:rPr>
          <w:rFonts w:ascii="Times New Roman" w:hAnsi="Times New Roman"/>
          <w:color w:val="000000" w:themeColor="text1"/>
          <w:sz w:val="22"/>
          <w:szCs w:val="22"/>
        </w:rPr>
        <w:t>Béhar-Touchais, Un déséquilibre significat</w:t>
      </w:r>
      <w:r w:rsidRPr="00C0003B">
        <w:rPr>
          <w:rFonts w:ascii="Times New Roman" w:hAnsi="Times New Roman"/>
          <w:color w:val="000000" w:themeColor="text1"/>
          <w:sz w:val="22"/>
          <w:szCs w:val="22"/>
        </w:rPr>
        <w:t>if à deux vitesses, JCP</w:t>
      </w:r>
      <w:r w:rsidR="00594A53">
        <w:rPr>
          <w:rFonts w:ascii="Times New Roman" w:hAnsi="Times New Roman"/>
          <w:color w:val="000000" w:themeColor="text1"/>
          <w:sz w:val="22"/>
          <w:szCs w:val="22"/>
        </w:rPr>
        <w:t xml:space="preserve"> G </w:t>
      </w:r>
      <w:r w:rsidRPr="00C0003B">
        <w:rPr>
          <w:rFonts w:ascii="Times New Roman" w:hAnsi="Times New Roman"/>
          <w:color w:val="000000" w:themeColor="text1"/>
          <w:sz w:val="22"/>
          <w:szCs w:val="22"/>
        </w:rPr>
        <w:t xml:space="preserve">2015, </w:t>
      </w:r>
      <w:r w:rsidR="00594A53">
        <w:rPr>
          <w:rFonts w:ascii="Times New Roman" w:hAnsi="Times New Roman"/>
          <w:color w:val="000000" w:themeColor="text1"/>
          <w:sz w:val="22"/>
          <w:szCs w:val="22"/>
        </w:rPr>
        <w:t>act. </w:t>
      </w:r>
      <w:r w:rsidRPr="00C0003B">
        <w:rPr>
          <w:rFonts w:ascii="Times New Roman" w:hAnsi="Times New Roman"/>
          <w:color w:val="000000" w:themeColor="text1"/>
          <w:sz w:val="22"/>
          <w:szCs w:val="22"/>
        </w:rPr>
        <w:t>603.</w:t>
      </w:r>
    </w:p>
  </w:footnote>
  <w:footnote w:id="17">
    <w:p w:rsidR="00C0003B" w:rsidRDefault="00C0003B">
      <w:pPr>
        <w:pStyle w:val="Notedebasdepage"/>
      </w:pPr>
      <w:r w:rsidRPr="00C0003B">
        <w:rPr>
          <w:rStyle w:val="Appelnotedebasdep"/>
          <w:rFonts w:ascii="Times New Roman" w:hAnsi="Times New Roman"/>
          <w:sz w:val="22"/>
          <w:szCs w:val="22"/>
        </w:rPr>
        <w:footnoteRef/>
      </w:r>
      <w:r w:rsidRPr="00C0003B">
        <w:rPr>
          <w:rFonts w:ascii="Times New Roman" w:hAnsi="Times New Roman"/>
          <w:sz w:val="22"/>
          <w:szCs w:val="22"/>
        </w:rPr>
        <w:t xml:space="preserve"> </w:t>
      </w:r>
      <w:r w:rsidR="00840989">
        <w:rPr>
          <w:rFonts w:ascii="Times New Roman" w:hAnsi="Times New Roman"/>
          <w:color w:val="000000" w:themeColor="text1"/>
          <w:sz w:val="22"/>
          <w:szCs w:val="22"/>
        </w:rPr>
        <w:t>Voir</w:t>
      </w:r>
      <w:r w:rsidRPr="00C0003B">
        <w:rPr>
          <w:rFonts w:ascii="Times New Roman" w:hAnsi="Times New Roman"/>
          <w:color w:val="000000" w:themeColor="text1"/>
          <w:sz w:val="22"/>
          <w:szCs w:val="22"/>
        </w:rPr>
        <w:t xml:space="preserve"> Th.</w:t>
      </w:r>
      <w:r w:rsidR="00840989">
        <w:rPr>
          <w:rFonts w:ascii="Times New Roman" w:hAnsi="Times New Roman"/>
          <w:color w:val="000000" w:themeColor="text1"/>
          <w:sz w:val="22"/>
          <w:szCs w:val="22"/>
        </w:rPr>
        <w:t> </w:t>
      </w:r>
      <w:r w:rsidRPr="00C0003B">
        <w:rPr>
          <w:rFonts w:ascii="Times New Roman" w:hAnsi="Times New Roman"/>
          <w:color w:val="000000" w:themeColor="text1"/>
          <w:sz w:val="22"/>
          <w:szCs w:val="22"/>
        </w:rPr>
        <w:t>Revet, Les contrats structurellement déséquilibrés, D.</w:t>
      </w:r>
      <w:r w:rsidR="00594A53">
        <w:rPr>
          <w:rFonts w:ascii="Times New Roman" w:hAnsi="Times New Roman"/>
          <w:color w:val="000000" w:themeColor="text1"/>
          <w:sz w:val="22"/>
          <w:szCs w:val="22"/>
        </w:rPr>
        <w:t> </w:t>
      </w:r>
      <w:r w:rsidRPr="00C0003B">
        <w:rPr>
          <w:rFonts w:ascii="Times New Roman" w:hAnsi="Times New Roman"/>
          <w:color w:val="000000" w:themeColor="text1"/>
          <w:sz w:val="22"/>
          <w:szCs w:val="22"/>
        </w:rPr>
        <w:t>2015, p.</w:t>
      </w:r>
      <w:r w:rsidR="00594A53">
        <w:rPr>
          <w:rFonts w:ascii="Times New Roman" w:hAnsi="Times New Roman"/>
          <w:color w:val="000000" w:themeColor="text1"/>
          <w:sz w:val="22"/>
          <w:szCs w:val="22"/>
        </w:rPr>
        <w:t> </w:t>
      </w:r>
      <w:r w:rsidRPr="00C0003B">
        <w:rPr>
          <w:rFonts w:ascii="Times New Roman" w:hAnsi="Times New Roman"/>
          <w:color w:val="000000" w:themeColor="text1"/>
          <w:sz w:val="22"/>
          <w:szCs w:val="22"/>
        </w:rPr>
        <w:t>1217</w:t>
      </w:r>
      <w:r w:rsidR="00840989">
        <w:rPr>
          <w:rFonts w:ascii="Times New Roman" w:hAnsi="Times New Roman"/>
          <w:color w:val="000000" w:themeColor="text1"/>
          <w:sz w:val="22"/>
          <w:szCs w:val="22"/>
        </w:rPr>
        <w:t> ;</w:t>
      </w:r>
      <w:r w:rsidRPr="00C0003B">
        <w:rPr>
          <w:rFonts w:ascii="Times New Roman" w:hAnsi="Times New Roman"/>
          <w:color w:val="000000" w:themeColor="text1"/>
          <w:sz w:val="22"/>
          <w:szCs w:val="22"/>
        </w:rPr>
        <w:t xml:space="preserve"> F.</w:t>
      </w:r>
      <w:r w:rsidR="00840989">
        <w:rPr>
          <w:rFonts w:ascii="Times New Roman" w:hAnsi="Times New Roman"/>
          <w:color w:val="000000" w:themeColor="text1"/>
          <w:sz w:val="22"/>
          <w:szCs w:val="22"/>
        </w:rPr>
        <w:t> </w:t>
      </w:r>
      <w:r w:rsidRPr="00C0003B">
        <w:rPr>
          <w:rFonts w:ascii="Times New Roman" w:hAnsi="Times New Roman"/>
          <w:color w:val="000000" w:themeColor="text1"/>
          <w:sz w:val="22"/>
          <w:szCs w:val="22"/>
        </w:rPr>
        <w:t>Chénédé, Les contrats d’adhésion, D.</w:t>
      </w:r>
      <w:r w:rsidR="00594A53">
        <w:rPr>
          <w:rFonts w:ascii="Times New Roman" w:hAnsi="Times New Roman"/>
          <w:color w:val="000000" w:themeColor="text1"/>
          <w:sz w:val="22"/>
          <w:szCs w:val="22"/>
        </w:rPr>
        <w:t> </w:t>
      </w:r>
      <w:r w:rsidRPr="00C0003B">
        <w:rPr>
          <w:rFonts w:ascii="Times New Roman" w:hAnsi="Times New Roman"/>
          <w:color w:val="000000" w:themeColor="text1"/>
          <w:sz w:val="22"/>
          <w:szCs w:val="22"/>
        </w:rPr>
        <w:t>2015, p.</w:t>
      </w:r>
      <w:r w:rsidR="00594A53">
        <w:rPr>
          <w:rFonts w:ascii="Times New Roman" w:hAnsi="Times New Roman"/>
          <w:color w:val="000000" w:themeColor="text1"/>
          <w:sz w:val="22"/>
          <w:szCs w:val="22"/>
        </w:rPr>
        <w:t> </w:t>
      </w:r>
      <w:r w:rsidRPr="00C0003B">
        <w:rPr>
          <w:rFonts w:ascii="Times New Roman" w:hAnsi="Times New Roman"/>
          <w:color w:val="000000" w:themeColor="text1"/>
          <w:sz w:val="22"/>
          <w:szCs w:val="22"/>
        </w:rPr>
        <w:t>1226.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3162"/>
    <w:multiLevelType w:val="hybridMultilevel"/>
    <w:tmpl w:val="D61201DC"/>
    <w:lvl w:ilvl="0" w:tplc="88443A70">
      <w:start w:val="1"/>
      <w:numFmt w:val="decimal"/>
      <w:pStyle w:val="Style1"/>
      <w:lvlText w:val="%1."/>
      <w:lvlJc w:val="left"/>
      <w:pPr>
        <w:tabs>
          <w:tab w:val="num" w:pos="510"/>
        </w:tabs>
        <w:ind w:left="0" w:firstLine="0"/>
      </w:pPr>
      <w:rPr>
        <w:rFonts w:ascii="Book Antiqua" w:hAnsi="Book Antiqua" w:hint="default"/>
        <w:b/>
        <w:i w:val="0"/>
        <w:caps w:val="0"/>
        <w:strike w:val="0"/>
        <w:dstrike w:val="0"/>
        <w:vanish w:val="0"/>
        <w:color w:val="1F497D" w:themeColor="text2"/>
        <w:sz w:val="22"/>
        <w:vertAlign w:val="baseline"/>
      </w:rPr>
    </w:lvl>
    <w:lvl w:ilvl="1" w:tplc="EC74C4BA">
      <w:start w:val="1"/>
      <w:numFmt w:val="upp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409E1D44"/>
    <w:multiLevelType w:val="hybridMultilevel"/>
    <w:tmpl w:val="90AE0F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32E06C4"/>
    <w:multiLevelType w:val="hybridMultilevel"/>
    <w:tmpl w:val="02A4CB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E994B08"/>
    <w:multiLevelType w:val="hybridMultilevel"/>
    <w:tmpl w:val="F14C72C0"/>
    <w:lvl w:ilvl="0" w:tplc="1424FA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15526DC"/>
    <w:multiLevelType w:val="hybridMultilevel"/>
    <w:tmpl w:val="FCF627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mauries">
    <w15:presenceInfo w15:providerId="None" w15:userId="vmauries"/>
  </w15:person>
  <w15:person w15:author="Alami Hamdouni, Lamia">
    <w15:presenceInfo w15:providerId="AD" w15:userId="S-1-5-21-3116693071-2928306925-2472099718-4014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compat>
  <w:rsids>
    <w:rsidRoot w:val="00272116"/>
    <w:rsid w:val="0000472A"/>
    <w:rsid w:val="00005103"/>
    <w:rsid w:val="0001562B"/>
    <w:rsid w:val="000356AE"/>
    <w:rsid w:val="00035EB8"/>
    <w:rsid w:val="00040D1C"/>
    <w:rsid w:val="000572CB"/>
    <w:rsid w:val="0006232B"/>
    <w:rsid w:val="0006330D"/>
    <w:rsid w:val="00074051"/>
    <w:rsid w:val="00080218"/>
    <w:rsid w:val="000817B2"/>
    <w:rsid w:val="00093EE5"/>
    <w:rsid w:val="000B1D38"/>
    <w:rsid w:val="000C1265"/>
    <w:rsid w:val="000C3F18"/>
    <w:rsid w:val="000E5F56"/>
    <w:rsid w:val="000F2B4E"/>
    <w:rsid w:val="0010728A"/>
    <w:rsid w:val="00111846"/>
    <w:rsid w:val="00132527"/>
    <w:rsid w:val="0016322D"/>
    <w:rsid w:val="00192C99"/>
    <w:rsid w:val="00197133"/>
    <w:rsid w:val="001A5486"/>
    <w:rsid w:val="001B2B18"/>
    <w:rsid w:val="001C1590"/>
    <w:rsid w:val="001D4E4E"/>
    <w:rsid w:val="001E39BE"/>
    <w:rsid w:val="001E53AD"/>
    <w:rsid w:val="001F3644"/>
    <w:rsid w:val="001F5722"/>
    <w:rsid w:val="0021132A"/>
    <w:rsid w:val="002200BC"/>
    <w:rsid w:val="002366CE"/>
    <w:rsid w:val="002376A1"/>
    <w:rsid w:val="00246486"/>
    <w:rsid w:val="00272116"/>
    <w:rsid w:val="00281101"/>
    <w:rsid w:val="00292BBF"/>
    <w:rsid w:val="0029446F"/>
    <w:rsid w:val="002954BB"/>
    <w:rsid w:val="00296A80"/>
    <w:rsid w:val="002B7431"/>
    <w:rsid w:val="002C6F32"/>
    <w:rsid w:val="002E6AA4"/>
    <w:rsid w:val="002F4B0A"/>
    <w:rsid w:val="002F702A"/>
    <w:rsid w:val="003054FE"/>
    <w:rsid w:val="00305D25"/>
    <w:rsid w:val="003228D6"/>
    <w:rsid w:val="003356BD"/>
    <w:rsid w:val="00337AA9"/>
    <w:rsid w:val="003767A4"/>
    <w:rsid w:val="00380158"/>
    <w:rsid w:val="00385205"/>
    <w:rsid w:val="003A09B9"/>
    <w:rsid w:val="003A1F47"/>
    <w:rsid w:val="003A6900"/>
    <w:rsid w:val="003C2D68"/>
    <w:rsid w:val="003D19CF"/>
    <w:rsid w:val="003D29F9"/>
    <w:rsid w:val="003D689C"/>
    <w:rsid w:val="003E1170"/>
    <w:rsid w:val="003F0E52"/>
    <w:rsid w:val="004019C5"/>
    <w:rsid w:val="004658C7"/>
    <w:rsid w:val="0047202E"/>
    <w:rsid w:val="00493762"/>
    <w:rsid w:val="004B2E0D"/>
    <w:rsid w:val="004D135D"/>
    <w:rsid w:val="004D63F2"/>
    <w:rsid w:val="004E754F"/>
    <w:rsid w:val="005026A8"/>
    <w:rsid w:val="00504F84"/>
    <w:rsid w:val="005247A5"/>
    <w:rsid w:val="00560402"/>
    <w:rsid w:val="005706FC"/>
    <w:rsid w:val="00582EC7"/>
    <w:rsid w:val="00586E97"/>
    <w:rsid w:val="00594A53"/>
    <w:rsid w:val="00595B4A"/>
    <w:rsid w:val="005961BA"/>
    <w:rsid w:val="005C51F4"/>
    <w:rsid w:val="005F2A09"/>
    <w:rsid w:val="00611E9B"/>
    <w:rsid w:val="00635D2F"/>
    <w:rsid w:val="00640FB6"/>
    <w:rsid w:val="0064506B"/>
    <w:rsid w:val="00652EF1"/>
    <w:rsid w:val="0068054B"/>
    <w:rsid w:val="00686F4A"/>
    <w:rsid w:val="006A1404"/>
    <w:rsid w:val="006E43FC"/>
    <w:rsid w:val="006F0D22"/>
    <w:rsid w:val="00744B6F"/>
    <w:rsid w:val="00746A30"/>
    <w:rsid w:val="00756563"/>
    <w:rsid w:val="00767AE1"/>
    <w:rsid w:val="00774A69"/>
    <w:rsid w:val="00785406"/>
    <w:rsid w:val="007B0668"/>
    <w:rsid w:val="007C23FD"/>
    <w:rsid w:val="007C65DF"/>
    <w:rsid w:val="007C718D"/>
    <w:rsid w:val="007C7E7D"/>
    <w:rsid w:val="007D0AE8"/>
    <w:rsid w:val="007D1B0C"/>
    <w:rsid w:val="007D4516"/>
    <w:rsid w:val="007D6B67"/>
    <w:rsid w:val="007E085E"/>
    <w:rsid w:val="007E1621"/>
    <w:rsid w:val="007E1EB7"/>
    <w:rsid w:val="00827144"/>
    <w:rsid w:val="0082771D"/>
    <w:rsid w:val="00832484"/>
    <w:rsid w:val="008364E1"/>
    <w:rsid w:val="00840989"/>
    <w:rsid w:val="00852343"/>
    <w:rsid w:val="008560D1"/>
    <w:rsid w:val="008673DA"/>
    <w:rsid w:val="00880060"/>
    <w:rsid w:val="00880166"/>
    <w:rsid w:val="008B4212"/>
    <w:rsid w:val="008F52D7"/>
    <w:rsid w:val="00916179"/>
    <w:rsid w:val="00936E06"/>
    <w:rsid w:val="00950904"/>
    <w:rsid w:val="0095793E"/>
    <w:rsid w:val="00965585"/>
    <w:rsid w:val="00965D14"/>
    <w:rsid w:val="00966917"/>
    <w:rsid w:val="009762FB"/>
    <w:rsid w:val="00984E7C"/>
    <w:rsid w:val="009B2DE4"/>
    <w:rsid w:val="009B3B12"/>
    <w:rsid w:val="009C7A19"/>
    <w:rsid w:val="009D532B"/>
    <w:rsid w:val="009E4986"/>
    <w:rsid w:val="00A43D88"/>
    <w:rsid w:val="00A752F2"/>
    <w:rsid w:val="00A80AF9"/>
    <w:rsid w:val="00A96AA4"/>
    <w:rsid w:val="00AB2002"/>
    <w:rsid w:val="00AB6A5C"/>
    <w:rsid w:val="00AD12D0"/>
    <w:rsid w:val="00AD3C6A"/>
    <w:rsid w:val="00AE65FB"/>
    <w:rsid w:val="00AF1021"/>
    <w:rsid w:val="00AF5CA9"/>
    <w:rsid w:val="00B1256B"/>
    <w:rsid w:val="00B15D64"/>
    <w:rsid w:val="00B179FD"/>
    <w:rsid w:val="00B2090B"/>
    <w:rsid w:val="00B42CB7"/>
    <w:rsid w:val="00B613FF"/>
    <w:rsid w:val="00B67914"/>
    <w:rsid w:val="00B73F9B"/>
    <w:rsid w:val="00B96A16"/>
    <w:rsid w:val="00BB7E40"/>
    <w:rsid w:val="00BE2A9D"/>
    <w:rsid w:val="00BE74AC"/>
    <w:rsid w:val="00C0003B"/>
    <w:rsid w:val="00C016BE"/>
    <w:rsid w:val="00C0344F"/>
    <w:rsid w:val="00C120A0"/>
    <w:rsid w:val="00C3512C"/>
    <w:rsid w:val="00C4577D"/>
    <w:rsid w:val="00C632A6"/>
    <w:rsid w:val="00C64125"/>
    <w:rsid w:val="00C71D08"/>
    <w:rsid w:val="00C904C5"/>
    <w:rsid w:val="00C918E2"/>
    <w:rsid w:val="00CA64EC"/>
    <w:rsid w:val="00CB7DEC"/>
    <w:rsid w:val="00CC1B6D"/>
    <w:rsid w:val="00CD7044"/>
    <w:rsid w:val="00D04177"/>
    <w:rsid w:val="00D07870"/>
    <w:rsid w:val="00D14D04"/>
    <w:rsid w:val="00D27B02"/>
    <w:rsid w:val="00D82253"/>
    <w:rsid w:val="00D92937"/>
    <w:rsid w:val="00D92D65"/>
    <w:rsid w:val="00DA5D5C"/>
    <w:rsid w:val="00DB188D"/>
    <w:rsid w:val="00DC1213"/>
    <w:rsid w:val="00DC7EB6"/>
    <w:rsid w:val="00DD2DD8"/>
    <w:rsid w:val="00DD59C0"/>
    <w:rsid w:val="00DE364E"/>
    <w:rsid w:val="00DE736C"/>
    <w:rsid w:val="00E00C26"/>
    <w:rsid w:val="00E068CD"/>
    <w:rsid w:val="00E17318"/>
    <w:rsid w:val="00E20045"/>
    <w:rsid w:val="00E34357"/>
    <w:rsid w:val="00E66851"/>
    <w:rsid w:val="00E734AB"/>
    <w:rsid w:val="00E86819"/>
    <w:rsid w:val="00E97BFA"/>
    <w:rsid w:val="00EB0C76"/>
    <w:rsid w:val="00EB2E2B"/>
    <w:rsid w:val="00EB78BE"/>
    <w:rsid w:val="00EF6BD3"/>
    <w:rsid w:val="00EF78E6"/>
    <w:rsid w:val="00EF7B60"/>
    <w:rsid w:val="00F243F6"/>
    <w:rsid w:val="00F2756C"/>
    <w:rsid w:val="00F33AB2"/>
    <w:rsid w:val="00F57A1E"/>
    <w:rsid w:val="00F712D7"/>
    <w:rsid w:val="00F84FB0"/>
    <w:rsid w:val="00F97DDB"/>
    <w:rsid w:val="00FB6DCC"/>
    <w:rsid w:val="00FD2B49"/>
    <w:rsid w:val="00FE7C37"/>
    <w:rsid w:val="00FF0536"/>
    <w:rsid w:val="00FF0E29"/>
    <w:rsid w:val="00FF275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DE4"/>
    <w:pPr>
      <w:spacing w:after="200" w:line="276" w:lineRule="auto"/>
    </w:pPr>
    <w:rPr>
      <w:sz w:val="22"/>
      <w:szCs w:val="22"/>
    </w:rPr>
  </w:style>
  <w:style w:type="paragraph" w:styleId="Titre1">
    <w:name w:val="heading 1"/>
    <w:basedOn w:val="Normal"/>
    <w:link w:val="Titre1Car"/>
    <w:uiPriority w:val="9"/>
    <w:qFormat/>
    <w:rsid w:val="001E39BE"/>
    <w:pPr>
      <w:spacing w:before="100" w:beforeAutospacing="1" w:after="100" w:afterAutospacing="1" w:line="240" w:lineRule="auto"/>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4658C7"/>
    <w:pPr>
      <w:spacing w:after="0" w:line="240" w:lineRule="auto"/>
      <w:jc w:val="center"/>
    </w:pPr>
    <w:rPr>
      <w:rFonts w:ascii="Garamond" w:hAnsi="Garamond"/>
      <w:b/>
      <w:sz w:val="32"/>
      <w:szCs w:val="26"/>
    </w:rPr>
  </w:style>
  <w:style w:type="character" w:customStyle="1" w:styleId="Corpsdetexte2Car">
    <w:name w:val="Corps de texte 2 Car"/>
    <w:link w:val="Corpsdetexte2"/>
    <w:semiHidden/>
    <w:rsid w:val="004658C7"/>
    <w:rPr>
      <w:rFonts w:ascii="Garamond" w:eastAsia="Times New Roman" w:hAnsi="Garamond" w:cs="Times New Roman"/>
      <w:b/>
      <w:sz w:val="32"/>
      <w:szCs w:val="26"/>
    </w:rPr>
  </w:style>
  <w:style w:type="paragraph" w:styleId="Notedebasdepage">
    <w:name w:val="footnote text"/>
    <w:basedOn w:val="Normal"/>
    <w:link w:val="NotedebasdepageCar"/>
    <w:rsid w:val="004658C7"/>
    <w:pPr>
      <w:spacing w:after="0" w:line="240" w:lineRule="auto"/>
    </w:pPr>
    <w:rPr>
      <w:rFonts w:ascii="Garamond" w:hAnsi="Garamond"/>
      <w:sz w:val="18"/>
      <w:szCs w:val="20"/>
      <w:lang w:eastAsia="en-US"/>
    </w:rPr>
  </w:style>
  <w:style w:type="character" w:customStyle="1" w:styleId="NotedebasdepageCar">
    <w:name w:val="Note de bas de page Car"/>
    <w:link w:val="Notedebasdepage"/>
    <w:rsid w:val="004658C7"/>
    <w:rPr>
      <w:rFonts w:ascii="Garamond" w:eastAsia="Times New Roman" w:hAnsi="Garamond" w:cs="Times New Roman"/>
      <w:sz w:val="18"/>
      <w:szCs w:val="20"/>
      <w:lang w:eastAsia="en-US"/>
    </w:rPr>
  </w:style>
  <w:style w:type="paragraph" w:styleId="NormalWeb">
    <w:name w:val="Normal (Web)"/>
    <w:basedOn w:val="Normal"/>
    <w:uiPriority w:val="99"/>
    <w:rsid w:val="004658C7"/>
    <w:pPr>
      <w:spacing w:before="100" w:beforeAutospacing="1" w:after="100" w:afterAutospacing="1" w:line="240" w:lineRule="auto"/>
    </w:pPr>
    <w:rPr>
      <w:rFonts w:ascii="Times New Roman" w:hAnsi="Times New Roman"/>
      <w:sz w:val="24"/>
      <w:szCs w:val="24"/>
    </w:rPr>
  </w:style>
  <w:style w:type="character" w:styleId="Appelnotedebasdep">
    <w:name w:val="footnote reference"/>
    <w:rsid w:val="004658C7"/>
    <w:rPr>
      <w:vertAlign w:val="superscript"/>
    </w:rPr>
  </w:style>
  <w:style w:type="character" w:styleId="Accentuation">
    <w:name w:val="Emphasis"/>
    <w:uiPriority w:val="20"/>
    <w:qFormat/>
    <w:rsid w:val="00CA64EC"/>
    <w:rPr>
      <w:i/>
      <w:iCs/>
    </w:rPr>
  </w:style>
  <w:style w:type="paragraph" w:styleId="Paragraphedeliste">
    <w:name w:val="List Paragraph"/>
    <w:basedOn w:val="Normal"/>
    <w:uiPriority w:val="34"/>
    <w:qFormat/>
    <w:rsid w:val="00DD2DD8"/>
    <w:pPr>
      <w:ind w:left="720"/>
      <w:contextualSpacing/>
    </w:pPr>
  </w:style>
  <w:style w:type="paragraph" w:customStyle="1" w:styleId="Style1">
    <w:name w:val="Style1"/>
    <w:basedOn w:val="Normal"/>
    <w:rsid w:val="00DD2DD8"/>
    <w:pPr>
      <w:numPr>
        <w:numId w:val="2"/>
      </w:numPr>
      <w:spacing w:after="0" w:line="240" w:lineRule="auto"/>
    </w:pPr>
    <w:rPr>
      <w:rFonts w:ascii="Times New Roman" w:hAnsi="Times New Roman"/>
      <w:sz w:val="24"/>
      <w:szCs w:val="24"/>
    </w:rPr>
  </w:style>
  <w:style w:type="character" w:customStyle="1" w:styleId="Titre1Car">
    <w:name w:val="Titre 1 Car"/>
    <w:basedOn w:val="Policepardfaut"/>
    <w:link w:val="Titre1"/>
    <w:uiPriority w:val="9"/>
    <w:rsid w:val="001E39BE"/>
    <w:rPr>
      <w:rFonts w:ascii="Times New Roman" w:hAnsi="Times New Roman"/>
      <w:b/>
      <w:bCs/>
      <w:kern w:val="36"/>
      <w:sz w:val="48"/>
      <w:szCs w:val="48"/>
    </w:rPr>
  </w:style>
  <w:style w:type="paragraph" w:styleId="Textedebulles">
    <w:name w:val="Balloon Text"/>
    <w:basedOn w:val="Normal"/>
    <w:link w:val="TextedebullesCar"/>
    <w:uiPriority w:val="99"/>
    <w:semiHidden/>
    <w:unhideWhenUsed/>
    <w:rsid w:val="000C3F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3F1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2040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FDDBA-1AC4-47BB-A3D2-746B45F6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4525</Words>
  <Characters>24890</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UMR5815</Company>
  <LinksUpToDate>false</LinksUpToDate>
  <CharactersWithSpaces>29357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DMainguy</dc:creator>
  <cp:lastModifiedBy>DMainguy</cp:lastModifiedBy>
  <cp:revision>5</cp:revision>
  <dcterms:created xsi:type="dcterms:W3CDTF">2016-06-08T14:59:00Z</dcterms:created>
  <dcterms:modified xsi:type="dcterms:W3CDTF">2016-07-05T09:25:00Z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Mon Feb 01 11:35:21 CET 2016</vt:lpwstr>
  </property>
  <property fmtid="{D5CDD505-2E9C-101B-9397-08002B2CF9AE}" pid="3" name="jforVersion">
    <vt:lpwstr>jfor V0.7.2rc1 - see http://www.jfor.org</vt:lpwstr>
  </property>
</Properties>
</file>