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528" w:rsidRDefault="0026416A" w:rsidP="00C40872">
      <w:pPr>
        <w:pStyle w:val="Titolo1"/>
      </w:pPr>
      <w:r>
        <w:rPr>
          <w:noProof/>
        </w:rPr>
        <mc:AlternateContent>
          <mc:Choice Requires="wps">
            <w:drawing>
              <wp:anchor distT="0" distB="0" distL="114300" distR="114300" simplePos="0" relativeHeight="251657728" behindDoc="0" locked="0" layoutInCell="1" allowOverlap="1">
                <wp:simplePos x="0" y="0"/>
                <wp:positionH relativeFrom="column">
                  <wp:posOffset>2509520</wp:posOffset>
                </wp:positionH>
                <wp:positionV relativeFrom="paragraph">
                  <wp:posOffset>0</wp:posOffset>
                </wp:positionV>
                <wp:extent cx="3236595" cy="1193800"/>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6595" cy="1193800"/>
                        </a:xfrm>
                        <a:prstGeom prst="rect">
                          <a:avLst/>
                        </a:prstGeom>
                        <a:solidFill>
                          <a:srgbClr val="FFFFFF"/>
                        </a:solidFill>
                        <a:ln w="9525">
                          <a:solidFill>
                            <a:srgbClr val="000000"/>
                          </a:solidFill>
                          <a:miter lim="800000"/>
                          <a:headEnd/>
                          <a:tailEnd/>
                        </a:ln>
                      </wps:spPr>
                      <wps:txbx>
                        <w:txbxContent>
                          <w:p w:rsidR="006D2113" w:rsidRDefault="006D2113">
                            <w:pPr>
                              <w:rPr>
                                <w:i/>
                              </w:rPr>
                            </w:pPr>
                            <w:r>
                              <w:rPr>
                                <w:i/>
                              </w:rPr>
                              <w:t>file:</w:t>
                            </w:r>
                            <w:r w:rsidR="0026416A" w:rsidRPr="0026416A">
                              <w:rPr>
                                <w:b/>
                                <w:i/>
                              </w:rPr>
                              <w:t>Occasione per puntualizzare</w:t>
                            </w:r>
                          </w:p>
                          <w:p w:rsidR="006D2113" w:rsidRDefault="006D2113">
                            <w:pPr>
                              <w:rPr>
                                <w:i/>
                              </w:rPr>
                            </w:pPr>
                          </w:p>
                          <w:p w:rsidR="006D2113" w:rsidRDefault="006D2113">
                            <w:pPr>
                              <w:rPr>
                                <w:i/>
                              </w:rPr>
                            </w:pPr>
                            <w:r>
                              <w:rPr>
                                <w:i/>
                              </w:rPr>
                              <w:t>date</w:t>
                            </w:r>
                            <w:r w:rsidR="0026416A">
                              <w:rPr>
                                <w:i/>
                              </w:rPr>
                              <w:t xml:space="preserve">: </w:t>
                            </w:r>
                            <w:proofErr w:type="spellStart"/>
                            <w:r w:rsidR="0026416A">
                              <w:rPr>
                                <w:i/>
                              </w:rPr>
                              <w:t>jan</w:t>
                            </w:r>
                            <w:proofErr w:type="spellEnd"/>
                            <w:r w:rsidR="0026416A">
                              <w:rPr>
                                <w:i/>
                              </w:rPr>
                              <w:t xml:space="preserve"> 2014</w:t>
                            </w:r>
                          </w:p>
                          <w:p w:rsidR="006D2113" w:rsidRDefault="006D2113">
                            <w:pPr>
                              <w:rPr>
                                <w:i/>
                              </w:rPr>
                            </w:pPr>
                          </w:p>
                          <w:p w:rsidR="006D2113" w:rsidRPr="006D2113" w:rsidRDefault="006D2113">
                            <w:pPr>
                              <w:rPr>
                                <w:i/>
                              </w:rPr>
                            </w:pPr>
                            <w:r>
                              <w:rPr>
                                <w:i/>
                              </w:rPr>
                              <w:t>re:</w:t>
                            </w:r>
                            <w:r w:rsidR="001D1B44">
                              <w:rPr>
                                <w:i/>
                              </w:rPr>
                              <w:t xml:space="preserve"> </w:t>
                            </w:r>
                            <w:r w:rsidR="0026416A">
                              <w:rPr>
                                <w:i/>
                              </w:rPr>
                              <w:t>Smagrimento attività di autocontrollo.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197.6pt;margin-top:0;width:254.85pt;height: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">
                <v:textbox>
                  <w:txbxContent>
                    <w:p w:rsidR="006D2113" w:rsidRDefault="006D2113">
                      <w:pPr>
                        <w:rPr>
                          <w:i/>
                        </w:rPr>
                      </w:pPr>
                      <w:r>
                        <w:rPr>
                          <w:i/>
                        </w:rPr>
                        <w:t>file:</w:t>
                      </w:r>
                      <w:r w:rsidR="0026416A" w:rsidRPr="0026416A">
                        <w:rPr>
                          <w:b/>
                          <w:i/>
                        </w:rPr>
                        <w:t>Occasione per puntualizzare</w:t>
                      </w:r>
                    </w:p>
                    <w:p w:rsidR="006D2113" w:rsidRDefault="006D2113">
                      <w:pPr>
                        <w:rPr>
                          <w:i/>
                        </w:rPr>
                      </w:pPr>
                    </w:p>
                    <w:p w:rsidR="006D2113" w:rsidRDefault="006D2113">
                      <w:pPr>
                        <w:rPr>
                          <w:i/>
                        </w:rPr>
                      </w:pPr>
                      <w:r>
                        <w:rPr>
                          <w:i/>
                        </w:rPr>
                        <w:t>date</w:t>
                      </w:r>
                      <w:r w:rsidR="0026416A">
                        <w:rPr>
                          <w:i/>
                        </w:rPr>
                        <w:t xml:space="preserve">: </w:t>
                      </w:r>
                      <w:proofErr w:type="spellStart"/>
                      <w:r w:rsidR="0026416A">
                        <w:rPr>
                          <w:i/>
                        </w:rPr>
                        <w:t>jan</w:t>
                      </w:r>
                      <w:proofErr w:type="spellEnd"/>
                      <w:r w:rsidR="0026416A">
                        <w:rPr>
                          <w:i/>
                        </w:rPr>
                        <w:t xml:space="preserve"> 2014</w:t>
                      </w:r>
                    </w:p>
                    <w:p w:rsidR="006D2113" w:rsidRDefault="006D2113">
                      <w:pPr>
                        <w:rPr>
                          <w:i/>
                        </w:rPr>
                      </w:pPr>
                    </w:p>
                    <w:p w:rsidR="006D2113" w:rsidRPr="006D2113" w:rsidRDefault="006D2113">
                      <w:pPr>
                        <w:rPr>
                          <w:i/>
                        </w:rPr>
                      </w:pPr>
                      <w:r>
                        <w:rPr>
                          <w:i/>
                        </w:rPr>
                        <w:t>re:</w:t>
                      </w:r>
                      <w:r w:rsidR="001D1B44">
                        <w:rPr>
                          <w:i/>
                        </w:rPr>
                        <w:t xml:space="preserve"> </w:t>
                      </w:r>
                      <w:r w:rsidR="0026416A">
                        <w:rPr>
                          <w:i/>
                        </w:rPr>
                        <w:t>Smagrimento attività di autocontrollo.</w:t>
                      </w:r>
                    </w:p>
                  </w:txbxContent>
                </v:textbox>
              </v:shape>
            </w:pict>
          </mc:Fallback>
        </mc:AlternateContent>
      </w:r>
      <w:bookmarkStart w:id="0" w:name="_895217502"/>
      <w:bookmarkEnd w:id="0"/>
      <w:r w:rsidR="00DB51F2">
        <w:fldChar w:fldCharType="begin"/>
      </w:r>
      <w:r w:rsidR="00DB51F2">
        <w:instrText xml:space="preserve"> LINK CQuickDraw5 "D:\\CLIPART\\LEISURE\\MAZE.CMX" "" \a \p </w:instrText>
      </w:r>
      <w:r w:rsidR="00DB51F2">
        <w:fldChar w:fldCharType="separate"/>
      </w:r>
      <w:r w:rsidR="006E2FF9">
        <w:object w:dxaOrig="3408"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4pt;height:81pt">
            <v:imagedata r:id="rId8" o:title=""/>
          </v:shape>
        </w:object>
      </w:r>
      <w:r w:rsidR="00DB51F2">
        <w:fldChar w:fldCharType="end"/>
      </w:r>
      <w:r w:rsidR="00DB51F2">
        <w:t xml:space="preserve"> </w:t>
      </w:r>
    </w:p>
    <w:p w:rsidR="0095758A" w:rsidRDefault="0095758A" w:rsidP="0057712C">
      <w:pPr>
        <w:jc w:val="both"/>
      </w:pPr>
    </w:p>
    <w:p w:rsidR="0026416A" w:rsidRDefault="0026416A" w:rsidP="0057712C">
      <w:pPr>
        <w:jc w:val="both"/>
      </w:pPr>
      <w:r>
        <w:t xml:space="preserve">Le recenti decisioni relative alla </w:t>
      </w:r>
      <w:proofErr w:type="spellStart"/>
      <w:r>
        <w:t>re-autorizzazione</w:t>
      </w:r>
      <w:proofErr w:type="spellEnd"/>
      <w:r>
        <w:t xml:space="preserve"> dell’agente chimico </w:t>
      </w:r>
      <w:r w:rsidR="00E37B54">
        <w:t>“s</w:t>
      </w:r>
      <w:r>
        <w:t xml:space="preserve">ali </w:t>
      </w:r>
      <w:r w:rsidR="001C0EEA">
        <w:t>di C</w:t>
      </w:r>
      <w:r>
        <w:t>obalto</w:t>
      </w:r>
      <w:r w:rsidR="00E37B54">
        <w:t>”</w:t>
      </w:r>
      <w:r>
        <w:t>, nonché le prime reazioni ci inducono a delle riflessioni</w:t>
      </w:r>
      <w:r w:rsidR="0057712C">
        <w:t xml:space="preserve"> che riteniamo utili per l’intero settore. Diversi fattori hanno contribuito alle riflessioni.</w:t>
      </w:r>
    </w:p>
    <w:p w:rsidR="00E37B54" w:rsidRDefault="00E37B54" w:rsidP="0057712C">
      <w:pPr>
        <w:jc w:val="both"/>
      </w:pPr>
    </w:p>
    <w:p w:rsidR="0057712C" w:rsidRDefault="0057712C" w:rsidP="0057712C">
      <w:pPr>
        <w:jc w:val="both"/>
      </w:pPr>
      <w:r>
        <w:t xml:space="preserve">Le differenti versioni del </w:t>
      </w:r>
      <w:proofErr w:type="spellStart"/>
      <w:r w:rsidRPr="0057712C">
        <w:rPr>
          <w:i/>
        </w:rPr>
        <w:t>draft</w:t>
      </w:r>
      <w:proofErr w:type="spellEnd"/>
      <w:r w:rsidRPr="0057712C">
        <w:rPr>
          <w:i/>
        </w:rPr>
        <w:t xml:space="preserve"> </w:t>
      </w:r>
      <w:r>
        <w:t xml:space="preserve">dell’EFSA relative alla </w:t>
      </w:r>
      <w:proofErr w:type="spellStart"/>
      <w:r>
        <w:t>re-autorizzazione</w:t>
      </w:r>
      <w:proofErr w:type="spellEnd"/>
      <w:r>
        <w:t xml:space="preserve"> del Cobalto ed alla verifica dei comportamenti dei vari attori nel contesto europeo. Si trattava, come per gli altri agenti chimici, di una sostanza normalmente utilizzata dal settore da oltre 40 anni. C’erano state delle ricerche relative alle emissioni nei siti di produzione di alimenti zootecnici</w:t>
      </w:r>
      <w:r w:rsidR="00E37B54">
        <w:rPr>
          <w:rStyle w:val="Rimandonotaapidipagina"/>
        </w:rPr>
        <w:footnoteReference w:id="1"/>
      </w:r>
      <w:r>
        <w:t xml:space="preserve">, ma pochi si aspettavano una accelerazione come è avvenuta. E </w:t>
      </w:r>
      <w:r w:rsidR="004E75E3">
        <w:t>da parti autorevoli si è anticipato che lo stesso varrà per altri agenti chimici, si è fatto riferimento al Manganese come esempio</w:t>
      </w:r>
      <w:r w:rsidR="00CB39A4">
        <w:rPr>
          <w:rStyle w:val="Rimandonotaapidipagina"/>
        </w:rPr>
        <w:footnoteReference w:id="2"/>
      </w:r>
      <w:r w:rsidR="004E75E3">
        <w:t>.</w:t>
      </w:r>
    </w:p>
    <w:p w:rsidR="00E37B54" w:rsidRDefault="00E37B54" w:rsidP="0057712C">
      <w:pPr>
        <w:jc w:val="both"/>
      </w:pPr>
    </w:p>
    <w:p w:rsidR="0057712C" w:rsidRDefault="0057712C" w:rsidP="0057712C">
      <w:pPr>
        <w:jc w:val="both"/>
      </w:pPr>
      <w:r>
        <w:t xml:space="preserve">La concomitanza della revisione degli obiettivi del PNAA ed in particolare al </w:t>
      </w:r>
      <w:proofErr w:type="spellStart"/>
      <w:r w:rsidRPr="0057712C">
        <w:rPr>
          <w:i/>
        </w:rPr>
        <w:t>carry</w:t>
      </w:r>
      <w:proofErr w:type="spellEnd"/>
      <w:r w:rsidRPr="0057712C">
        <w:rPr>
          <w:i/>
        </w:rPr>
        <w:t xml:space="preserve"> over</w:t>
      </w:r>
      <w:r>
        <w:rPr>
          <w:i/>
        </w:rPr>
        <w:t xml:space="preserve"> </w:t>
      </w:r>
      <w:r>
        <w:t>a cui è stata dedicata una sessione di informazione e formazione nel recente convegno organizzato dall’</w:t>
      </w:r>
      <w:proofErr w:type="spellStart"/>
      <w:r w:rsidR="00E37B54">
        <w:t>Assalzoo</w:t>
      </w:r>
      <w:proofErr w:type="spellEnd"/>
      <w:r w:rsidR="00E37B54">
        <w:t>,</w:t>
      </w:r>
      <w:r>
        <w:t xml:space="preserve"> </w:t>
      </w:r>
      <w:r w:rsidR="004E75E3">
        <w:t>al quale abbiamo colto lo spirito italiano (tuta, paletta, cacciavite e pesa), lo spirito francese (soglie di tolleranza con una storia della parte rappresentativa del settore</w:t>
      </w:r>
      <w:r w:rsidR="00E37B54">
        <w:t>)</w:t>
      </w:r>
      <w:r w:rsidR="004E75E3">
        <w:t>, l’atteggiamento delle autorità belghe che hanno adattato lo spirito</w:t>
      </w:r>
      <w:r w:rsidR="00E37B54">
        <w:t xml:space="preserve"> della direttiva europea</w:t>
      </w:r>
      <w:r w:rsidR="004E75E3">
        <w:t xml:space="preserve"> alla spec</w:t>
      </w:r>
      <w:r w:rsidR="00014B3D">
        <w:t>ificità del proprio territorio,</w:t>
      </w:r>
      <w:r w:rsidR="00CB39A4">
        <w:t xml:space="preserve"> e </w:t>
      </w:r>
      <w:r w:rsidR="004E75E3">
        <w:t>l’obiettivo di ottenere una drastica riduzione della contaminazione</w:t>
      </w:r>
      <w:r w:rsidR="00DF5C10">
        <w:t>, così come dimostrato,</w:t>
      </w:r>
      <w:r w:rsidR="004E75E3">
        <w:t xml:space="preserve"> val bene una decisione legale che valga pe</w:t>
      </w:r>
      <w:r w:rsidR="00014B3D">
        <w:t>r la specificità del territorio</w:t>
      </w:r>
      <w:r w:rsidR="004E75E3">
        <w:t>. Nello stesso convegno abbiamo avuto modo di apprendere delle critiche rivolte al sistema italiano ed alle dec</w:t>
      </w:r>
      <w:r w:rsidR="00DF5C10">
        <w:t>isioni che vengono preventivate, e che ci meravigliano</w:t>
      </w:r>
      <w:r w:rsidR="00CB39A4">
        <w:t>,</w:t>
      </w:r>
      <w:r w:rsidR="00DF5C10">
        <w:t xml:space="preserve"> oltre a preoccuparci.</w:t>
      </w:r>
    </w:p>
    <w:p w:rsidR="00DF5C10" w:rsidRDefault="00DF5C10" w:rsidP="0057712C">
      <w:pPr>
        <w:jc w:val="both"/>
      </w:pPr>
    </w:p>
    <w:p w:rsidR="004E75E3" w:rsidRDefault="004E75E3" w:rsidP="0057712C">
      <w:pPr>
        <w:jc w:val="both"/>
      </w:pPr>
      <w:r>
        <w:t>Ed in tutto questo le prime reazioni del settore relativamente al Cobalto sono state “ma noi abbiamo deciso di non utilizzarlo.”.</w:t>
      </w:r>
    </w:p>
    <w:p w:rsidR="00DF5C10" w:rsidRDefault="00DF5C10" w:rsidP="0057712C">
      <w:pPr>
        <w:jc w:val="both"/>
      </w:pPr>
    </w:p>
    <w:p w:rsidR="004E75E3" w:rsidRDefault="004E75E3" w:rsidP="0057712C">
      <w:pPr>
        <w:jc w:val="both"/>
      </w:pPr>
      <w:r w:rsidRPr="00DF5C10">
        <w:rPr>
          <w:b/>
        </w:rPr>
        <w:t>Dal mio angolo di visuale non si è affatto parlato di Cobalto</w:t>
      </w:r>
      <w:r>
        <w:t>. L’innovazione della decisione è stata che delle specifiche relative ad una sostanza e che risolvono il problema (in questo caso era il contenimento delle emissioni) sia</w:t>
      </w:r>
      <w:r w:rsidR="00DF5C10">
        <w:t>no</w:t>
      </w:r>
      <w:r>
        <w:t xml:space="preserve"> state riconosciute sufficienti (accanto ad una opera di formazione e sensibilizzazione delle risorse) per evitare che il mangime debba essere manipolato con indumenti e precauzioni particolari. La specifica diventa un </w:t>
      </w:r>
      <w:r w:rsidRPr="00CB39A4">
        <w:rPr>
          <w:b/>
        </w:rPr>
        <w:t>prerequisito all’entrata</w:t>
      </w:r>
      <w:r>
        <w:t xml:space="preserve"> </w:t>
      </w:r>
      <w:r w:rsidRPr="00CB39A4">
        <w:rPr>
          <w:b/>
          <w:u w:val="single"/>
        </w:rPr>
        <w:t>e</w:t>
      </w:r>
      <w:r>
        <w:t xml:space="preserve"> con il prerequisito il sito può procedere a fare il proprio lavoro. </w:t>
      </w:r>
    </w:p>
    <w:p w:rsidR="00DF5C10" w:rsidRDefault="00DF5C10" w:rsidP="0057712C">
      <w:pPr>
        <w:jc w:val="both"/>
      </w:pPr>
    </w:p>
    <w:p w:rsidR="00503CD7" w:rsidRPr="00DF5C10" w:rsidRDefault="00503CD7" w:rsidP="0057712C">
      <w:pPr>
        <w:jc w:val="both"/>
        <w:rPr>
          <w:b/>
        </w:rPr>
      </w:pPr>
      <w:r w:rsidRPr="00DF5C10">
        <w:rPr>
          <w:b/>
        </w:rPr>
        <w:t>Questa è la mia lettura. Del tutto personale dite? Si, è del tutto personale.</w:t>
      </w:r>
    </w:p>
    <w:p w:rsidR="00503CD7" w:rsidRDefault="00503CD7" w:rsidP="0057712C">
      <w:pPr>
        <w:jc w:val="both"/>
      </w:pPr>
    </w:p>
    <w:p w:rsidR="00503CD7" w:rsidRDefault="00503CD7" w:rsidP="0057712C">
      <w:pPr>
        <w:jc w:val="both"/>
      </w:pPr>
      <w:r>
        <w:t>Ma accompagnatemi nella riflessione. Nelle attività di produzione</w:t>
      </w:r>
      <w:r w:rsidR="00DF5C10">
        <w:t xml:space="preserve"> di alimenti zoote</w:t>
      </w:r>
      <w:r w:rsidR="008046DB">
        <w:t>cn</w:t>
      </w:r>
      <w:r w:rsidR="00DF5C10">
        <w:t>ici</w:t>
      </w:r>
      <w:r>
        <w:t>, per la vendita e/o per l’a</w:t>
      </w:r>
      <w:r w:rsidR="00D31070">
        <w:t>utoconsumo</w:t>
      </w:r>
      <w:r>
        <w:t>, vi sono altri punti cri</w:t>
      </w:r>
      <w:r w:rsidR="002A4073">
        <w:t>tici (CP) oltre alle emissioni.</w:t>
      </w:r>
      <w:r>
        <w:t xml:space="preserve"> E noi sappiamo che per i CP a cui non corrisponde una preventiva soluzione dobbiamo promuoverli a CCP e prevedere una attività di controllo. </w:t>
      </w:r>
      <w:r w:rsidR="005C2927">
        <w:t xml:space="preserve">Quanto segue ha necessariamente un carattere generale e noi sappiamo che ogni sito è un </w:t>
      </w:r>
      <w:r w:rsidR="005C2927">
        <w:rPr>
          <w:i/>
        </w:rPr>
        <w:t>unicum</w:t>
      </w:r>
      <w:r w:rsidR="005C2927">
        <w:t>. Lo spirito della lettura sia dunque quello di verificare il generale per poi prende</w:t>
      </w:r>
      <w:r w:rsidR="0020341E">
        <w:t>re la decisione di entrare nella specificità</w:t>
      </w:r>
      <w:r w:rsidR="005C2927">
        <w:t xml:space="preserve"> del sito. </w:t>
      </w:r>
    </w:p>
    <w:p w:rsidR="005C2927" w:rsidRDefault="005C2927" w:rsidP="0057712C">
      <w:pPr>
        <w:jc w:val="both"/>
      </w:pPr>
    </w:p>
    <w:p w:rsidR="00DF5C10" w:rsidRPr="00DF5C10" w:rsidRDefault="00DF5C10" w:rsidP="0057712C">
      <w:pPr>
        <w:jc w:val="both"/>
        <w:rPr>
          <w:b/>
        </w:rPr>
      </w:pPr>
      <w:r w:rsidRPr="00DF5C10">
        <w:rPr>
          <w:b/>
        </w:rPr>
        <w:lastRenderedPageBreak/>
        <w:t>1 – Tipologia di rischio</w:t>
      </w:r>
    </w:p>
    <w:p w:rsidR="00DF5C10" w:rsidRDefault="00DF5C10" w:rsidP="0057712C">
      <w:pPr>
        <w:jc w:val="both"/>
      </w:pPr>
    </w:p>
    <w:p w:rsidR="005C2927" w:rsidRDefault="00DF5C10" w:rsidP="0057712C">
      <w:pPr>
        <w:jc w:val="both"/>
      </w:pPr>
      <w:r>
        <w:t>Dato che</w:t>
      </w:r>
      <w:r w:rsidR="005C2927">
        <w:t xml:space="preserve"> il prerequisito è stato ritenuto sufficiente dall’EFSA per un agente critico, si può ritenere che le stesse caratter</w:t>
      </w:r>
      <w:r>
        <w:t>istiche delle specifiche risolva</w:t>
      </w:r>
      <w:r w:rsidR="005C2927">
        <w:t>no, o quantomeno ridimensionino, il tipo di rischio per qualsiasi altri agente chimico.</w:t>
      </w:r>
    </w:p>
    <w:p w:rsidR="00DF5C10" w:rsidRDefault="00DF5C10" w:rsidP="0057712C">
      <w:pPr>
        <w:jc w:val="both"/>
        <w:rPr>
          <w:b/>
        </w:rPr>
      </w:pPr>
    </w:p>
    <w:p w:rsidR="00DF5C10" w:rsidRPr="00DF5C10" w:rsidRDefault="00DF5C10" w:rsidP="0057712C">
      <w:pPr>
        <w:jc w:val="both"/>
        <w:rPr>
          <w:b/>
        </w:rPr>
      </w:pPr>
      <w:r w:rsidRPr="00DF5C10">
        <w:rPr>
          <w:b/>
        </w:rPr>
        <w:t>2 – Tipologia di tappa operativa</w:t>
      </w:r>
    </w:p>
    <w:p w:rsidR="00DF5C10" w:rsidRDefault="00DF5C10" w:rsidP="0057712C">
      <w:pPr>
        <w:jc w:val="both"/>
      </w:pPr>
    </w:p>
    <w:p w:rsidR="00DF5C10" w:rsidRDefault="00DF5C10" w:rsidP="0057712C">
      <w:pPr>
        <w:jc w:val="both"/>
      </w:pPr>
      <w:r>
        <w:t>Dato che</w:t>
      </w:r>
      <w:r w:rsidR="005C2927">
        <w:t xml:space="preserve"> il prerequisito è stato ritenuto sufficiente dall’</w:t>
      </w:r>
      <w:r w:rsidR="00DB1749">
        <w:t xml:space="preserve">EFSA per </w:t>
      </w:r>
      <w:r w:rsidR="00DB1749" w:rsidRPr="00C91166">
        <w:rPr>
          <w:i/>
        </w:rPr>
        <w:t>degradare</w:t>
      </w:r>
      <w:r w:rsidR="00DB1749">
        <w:t xml:space="preserve"> il CCP a CP p</w:t>
      </w:r>
      <w:r w:rsidR="00867E7D">
        <w:t xml:space="preserve">er una attività altamente critica quale la sicurezza, si può valutare che la stessa metodologia possa essere ritenuta valida </w:t>
      </w:r>
      <w:r w:rsidR="00DB1749">
        <w:t xml:space="preserve">per altri </w:t>
      </w:r>
      <w:r w:rsidR="00867E7D">
        <w:t>C</w:t>
      </w:r>
      <w:r w:rsidR="00DB1749">
        <w:t xml:space="preserve">CP nella revisione dell’HACCP delle proprie attività operative. </w:t>
      </w:r>
    </w:p>
    <w:p w:rsidR="00DF5C10" w:rsidRDefault="00DF5C10" w:rsidP="0057712C">
      <w:pPr>
        <w:jc w:val="both"/>
      </w:pPr>
    </w:p>
    <w:p w:rsidR="005C2927" w:rsidRPr="00DF5C10" w:rsidRDefault="00DB1749" w:rsidP="0057712C">
      <w:pPr>
        <w:jc w:val="both"/>
        <w:rPr>
          <w:b/>
        </w:rPr>
      </w:pPr>
      <w:r w:rsidRPr="00DF5C10">
        <w:rPr>
          <w:b/>
        </w:rPr>
        <w:t xml:space="preserve">E questo è una vera e propria succosa occasione. </w:t>
      </w:r>
    </w:p>
    <w:p w:rsidR="00DF5C10" w:rsidRDefault="00DF5C10" w:rsidP="0057712C">
      <w:pPr>
        <w:jc w:val="both"/>
      </w:pPr>
    </w:p>
    <w:p w:rsidR="005C2927" w:rsidRDefault="005C2927" w:rsidP="0057712C">
      <w:pPr>
        <w:jc w:val="both"/>
      </w:pPr>
      <w:r>
        <w:t>Cerco di schematizzare i CP relativi alla premiscela per cui il sito non esiga i prerequisiti oppure li esiga.</w:t>
      </w:r>
    </w:p>
    <w:p w:rsidR="00DB1749" w:rsidRDefault="00DB1749" w:rsidP="0057712C">
      <w:pPr>
        <w:jc w:val="both"/>
      </w:pPr>
      <w:r>
        <w:t>Ma di quali prerequisiti si sta parlando?</w:t>
      </w:r>
      <w:r w:rsidR="00E64D63">
        <w:t xml:space="preserve"> Di quelli di qualsiasi premisc</w:t>
      </w:r>
      <w:r w:rsidR="00DF5C10">
        <w:t>ela che contenga agenti chimici, che comunque entrano nel sito di produzione di mangimi.</w:t>
      </w:r>
    </w:p>
    <w:p w:rsidR="00DF5C10" w:rsidRDefault="00DF5C10" w:rsidP="0057712C">
      <w:pPr>
        <w:jc w:val="both"/>
      </w:pPr>
    </w:p>
    <w:p w:rsidR="00DF5C10" w:rsidRDefault="00DF5C10" w:rsidP="0057712C">
      <w:pPr>
        <w:jc w:val="both"/>
      </w:pPr>
      <w:r>
        <w:t xml:space="preserve">Il </w:t>
      </w:r>
      <w:r w:rsidRPr="00DF5C10">
        <w:rPr>
          <w:b/>
        </w:rPr>
        <w:t>prerequisito</w:t>
      </w:r>
      <w:r>
        <w:t xml:space="preserve">, per essere tale, DEVE essere stato approfondito, studiato, esaminato e </w:t>
      </w:r>
      <w:r w:rsidRPr="00DF5C10">
        <w:rPr>
          <w:b/>
        </w:rPr>
        <w:t>convalidato</w:t>
      </w:r>
      <w:r>
        <w:t xml:space="preserve"> dal sito</w:t>
      </w:r>
      <w:r w:rsidR="006857BC">
        <w:t xml:space="preserve"> e preteso da qualsiasi fornitore di premiscele</w:t>
      </w:r>
      <w:r>
        <w:t>.</w:t>
      </w:r>
    </w:p>
    <w:p w:rsidR="00E64D63" w:rsidRDefault="00E64D63" w:rsidP="0057712C">
      <w:pPr>
        <w:jc w:val="both"/>
      </w:pPr>
    </w:p>
    <w:tbl>
      <w:tblPr>
        <w:tblStyle w:val="Grigliatabella"/>
        <w:tblW w:w="0" w:type="auto"/>
        <w:tblLook w:val="04A0" w:firstRow="1" w:lastRow="0" w:firstColumn="1" w:lastColumn="0" w:noHBand="0" w:noVBand="1"/>
      </w:tblPr>
      <w:tblGrid>
        <w:gridCol w:w="3070"/>
        <w:gridCol w:w="3070"/>
        <w:gridCol w:w="3071"/>
      </w:tblGrid>
      <w:tr w:rsidR="00DB1749" w:rsidTr="00DB1749">
        <w:tc>
          <w:tcPr>
            <w:tcW w:w="3070" w:type="dxa"/>
          </w:tcPr>
          <w:p w:rsidR="00DB1749" w:rsidRPr="0095758A" w:rsidRDefault="00DB1749" w:rsidP="0095758A">
            <w:pPr>
              <w:jc w:val="center"/>
              <w:rPr>
                <w:b/>
              </w:rPr>
            </w:pPr>
            <w:r w:rsidRPr="0095758A">
              <w:rPr>
                <w:b/>
              </w:rPr>
              <w:t>Prerequisito</w:t>
            </w:r>
          </w:p>
        </w:tc>
        <w:tc>
          <w:tcPr>
            <w:tcW w:w="3070" w:type="dxa"/>
          </w:tcPr>
          <w:p w:rsidR="00DB1749" w:rsidRPr="0095758A" w:rsidRDefault="00DB1749" w:rsidP="0095758A">
            <w:pPr>
              <w:jc w:val="center"/>
              <w:rPr>
                <w:b/>
              </w:rPr>
            </w:pPr>
            <w:r w:rsidRPr="0095758A">
              <w:rPr>
                <w:b/>
              </w:rPr>
              <w:t>Misura</w:t>
            </w:r>
          </w:p>
        </w:tc>
        <w:tc>
          <w:tcPr>
            <w:tcW w:w="3071" w:type="dxa"/>
          </w:tcPr>
          <w:p w:rsidR="00DB1749" w:rsidRPr="0095758A" w:rsidRDefault="00DB1749" w:rsidP="0095758A">
            <w:pPr>
              <w:jc w:val="center"/>
              <w:rPr>
                <w:b/>
              </w:rPr>
            </w:pPr>
            <w:r w:rsidRPr="0095758A">
              <w:rPr>
                <w:b/>
              </w:rPr>
              <w:t>Vantaggio</w:t>
            </w:r>
          </w:p>
        </w:tc>
      </w:tr>
      <w:tr w:rsidR="00DB1749" w:rsidTr="00DB1749">
        <w:tc>
          <w:tcPr>
            <w:tcW w:w="3070" w:type="dxa"/>
          </w:tcPr>
          <w:p w:rsidR="00DB1749" w:rsidRDefault="00DB1749" w:rsidP="0057712C">
            <w:pPr>
              <w:jc w:val="both"/>
            </w:pPr>
            <w:r>
              <w:t>Granulometria</w:t>
            </w:r>
          </w:p>
        </w:tc>
        <w:tc>
          <w:tcPr>
            <w:tcW w:w="3070" w:type="dxa"/>
          </w:tcPr>
          <w:p w:rsidR="00DB1749" w:rsidRDefault="00DB1749" w:rsidP="0057712C">
            <w:pPr>
              <w:jc w:val="both"/>
            </w:pPr>
            <w:r>
              <w:t>Rapporto 1:1</w:t>
            </w:r>
          </w:p>
        </w:tc>
        <w:tc>
          <w:tcPr>
            <w:tcW w:w="3071" w:type="dxa"/>
          </w:tcPr>
          <w:p w:rsidR="00DB1749" w:rsidRDefault="00DB1749" w:rsidP="0057712C">
            <w:pPr>
              <w:jc w:val="both"/>
            </w:pPr>
            <w:r>
              <w:t>Stabilità della distribuzione</w:t>
            </w:r>
          </w:p>
        </w:tc>
      </w:tr>
      <w:tr w:rsidR="00DB1749" w:rsidTr="00DB1749">
        <w:tc>
          <w:tcPr>
            <w:tcW w:w="3070" w:type="dxa"/>
          </w:tcPr>
          <w:p w:rsidR="00DB1749" w:rsidRDefault="00DB1749" w:rsidP="0057712C">
            <w:pPr>
              <w:jc w:val="both"/>
            </w:pPr>
            <w:r>
              <w:t xml:space="preserve">Particelle &lt; 50 </w:t>
            </w:r>
            <w:r>
              <w:rPr>
                <w:rFonts w:cs="Arial"/>
              </w:rPr>
              <w:t>µ</w:t>
            </w:r>
          </w:p>
        </w:tc>
        <w:tc>
          <w:tcPr>
            <w:tcW w:w="3070" w:type="dxa"/>
          </w:tcPr>
          <w:p w:rsidR="00DB1749" w:rsidRDefault="00DB1749" w:rsidP="0057712C">
            <w:pPr>
              <w:jc w:val="both"/>
            </w:pPr>
            <w:r>
              <w:t>&lt; 1%</w:t>
            </w:r>
          </w:p>
        </w:tc>
        <w:tc>
          <w:tcPr>
            <w:tcW w:w="3071" w:type="dxa"/>
          </w:tcPr>
          <w:p w:rsidR="00DB1749" w:rsidRDefault="00DB1749" w:rsidP="0057712C">
            <w:pPr>
              <w:jc w:val="both"/>
            </w:pPr>
            <w:r>
              <w:t>Sotto soglia di accettabilità per le emissioni ed i residui nei trasferimenti</w:t>
            </w:r>
          </w:p>
        </w:tc>
      </w:tr>
      <w:tr w:rsidR="00DB1749" w:rsidTr="00DB1749">
        <w:tc>
          <w:tcPr>
            <w:tcW w:w="3070" w:type="dxa"/>
          </w:tcPr>
          <w:p w:rsidR="00DB1749" w:rsidRDefault="00DB1749" w:rsidP="0057712C">
            <w:pPr>
              <w:jc w:val="both"/>
            </w:pPr>
            <w:r>
              <w:t xml:space="preserve">Particelle &lt; 100 </w:t>
            </w:r>
            <w:r>
              <w:rPr>
                <w:rFonts w:cs="Arial"/>
              </w:rPr>
              <w:t>µ</w:t>
            </w:r>
          </w:p>
        </w:tc>
        <w:tc>
          <w:tcPr>
            <w:tcW w:w="3070" w:type="dxa"/>
          </w:tcPr>
          <w:p w:rsidR="00DB1749" w:rsidRDefault="00DB1749" w:rsidP="0057712C">
            <w:pPr>
              <w:jc w:val="both"/>
            </w:pPr>
            <w:r>
              <w:t>&lt; 10%</w:t>
            </w:r>
          </w:p>
        </w:tc>
        <w:tc>
          <w:tcPr>
            <w:tcW w:w="3071" w:type="dxa"/>
          </w:tcPr>
          <w:p w:rsidR="00DB1749" w:rsidRDefault="00DB1749" w:rsidP="0057712C">
            <w:pPr>
              <w:jc w:val="both"/>
            </w:pPr>
            <w:r>
              <w:t>Sotto soglia di accettabilità nei circuiti di aspirazione e nei residui dei trasferimenti ed elevatori</w:t>
            </w:r>
          </w:p>
        </w:tc>
      </w:tr>
      <w:tr w:rsidR="00DB1749" w:rsidTr="00DB1749">
        <w:tc>
          <w:tcPr>
            <w:tcW w:w="3070" w:type="dxa"/>
          </w:tcPr>
          <w:p w:rsidR="00DB1749" w:rsidRDefault="00DB1749" w:rsidP="0057712C">
            <w:pPr>
              <w:jc w:val="both"/>
            </w:pPr>
            <w:r>
              <w:t>Indice di scorrevolezza</w:t>
            </w:r>
          </w:p>
        </w:tc>
        <w:tc>
          <w:tcPr>
            <w:tcW w:w="3070" w:type="dxa"/>
          </w:tcPr>
          <w:p w:rsidR="00DB1749" w:rsidRDefault="00DB1749" w:rsidP="0057712C">
            <w:pPr>
              <w:jc w:val="both"/>
            </w:pPr>
            <w:r>
              <w:t>&lt; 5”/25 grammi</w:t>
            </w:r>
          </w:p>
        </w:tc>
        <w:tc>
          <w:tcPr>
            <w:tcW w:w="3071" w:type="dxa"/>
          </w:tcPr>
          <w:p w:rsidR="00DB1749" w:rsidRDefault="00DB1749" w:rsidP="0057712C">
            <w:pPr>
              <w:jc w:val="both"/>
            </w:pPr>
            <w:r>
              <w:t>Assenza di agenti chimici lungo i percorsi</w:t>
            </w:r>
            <w:r w:rsidR="00DF5C10">
              <w:t xml:space="preserve"> del sito e del circuito di distribuzione e utilizzazione.</w:t>
            </w:r>
          </w:p>
        </w:tc>
      </w:tr>
      <w:tr w:rsidR="00DB1749" w:rsidTr="00DB1749">
        <w:tc>
          <w:tcPr>
            <w:tcW w:w="3070" w:type="dxa"/>
          </w:tcPr>
          <w:p w:rsidR="00DB1749" w:rsidRDefault="00DB1749" w:rsidP="0057712C">
            <w:pPr>
              <w:jc w:val="both"/>
            </w:pPr>
            <w:r>
              <w:t>Indice di adesività</w:t>
            </w:r>
          </w:p>
        </w:tc>
        <w:tc>
          <w:tcPr>
            <w:tcW w:w="3070" w:type="dxa"/>
          </w:tcPr>
          <w:p w:rsidR="00DB1749" w:rsidRDefault="00DB1749" w:rsidP="0057712C">
            <w:pPr>
              <w:jc w:val="both"/>
            </w:pPr>
            <w:r>
              <w:t>&lt; 0,25/25</w:t>
            </w:r>
          </w:p>
        </w:tc>
        <w:tc>
          <w:tcPr>
            <w:tcW w:w="3071" w:type="dxa"/>
          </w:tcPr>
          <w:p w:rsidR="00DB1749" w:rsidRDefault="00DB1749" w:rsidP="0057712C">
            <w:pPr>
              <w:jc w:val="both"/>
            </w:pPr>
            <w:r>
              <w:t>Assenza di residui adesi alle pareti delle diverse tipologie di materiale del sito</w:t>
            </w:r>
            <w:r w:rsidR="00DF5C10">
              <w:t xml:space="preserve"> e del circuito di distribuzione ed utilizzazione</w:t>
            </w:r>
          </w:p>
        </w:tc>
      </w:tr>
      <w:tr w:rsidR="00DB1749" w:rsidTr="00DB1749">
        <w:tc>
          <w:tcPr>
            <w:tcW w:w="3070" w:type="dxa"/>
          </w:tcPr>
          <w:p w:rsidR="00DB1749" w:rsidRDefault="00DB1749" w:rsidP="0057712C">
            <w:pPr>
              <w:jc w:val="both"/>
            </w:pPr>
            <w:r>
              <w:t>Indice di emissione</w:t>
            </w:r>
          </w:p>
        </w:tc>
        <w:tc>
          <w:tcPr>
            <w:tcW w:w="3070" w:type="dxa"/>
          </w:tcPr>
          <w:p w:rsidR="00DB1749" w:rsidRDefault="00DB1749" w:rsidP="0057712C">
            <w:pPr>
              <w:jc w:val="both"/>
            </w:pPr>
            <w:r>
              <w:t>&lt; 1 mg</w:t>
            </w:r>
          </w:p>
        </w:tc>
        <w:tc>
          <w:tcPr>
            <w:tcW w:w="3071" w:type="dxa"/>
          </w:tcPr>
          <w:p w:rsidR="00E64D63" w:rsidRDefault="00E64D63" w:rsidP="0057712C">
            <w:pPr>
              <w:jc w:val="both"/>
            </w:pPr>
            <w:r>
              <w:t>Sotto soglie di accettabilità nelle emissioni interne ed esterne</w:t>
            </w:r>
            <w:r w:rsidR="00DF5C10">
              <w:t xml:space="preserve"> del sito e del circuito di distribuzione e utilizzazione.</w:t>
            </w:r>
          </w:p>
        </w:tc>
      </w:tr>
      <w:tr w:rsidR="00E64D63" w:rsidTr="00DB1749">
        <w:tc>
          <w:tcPr>
            <w:tcW w:w="3070" w:type="dxa"/>
          </w:tcPr>
          <w:p w:rsidR="00E64D63" w:rsidRDefault="00E64D63" w:rsidP="0057712C">
            <w:pPr>
              <w:jc w:val="both"/>
            </w:pPr>
            <w:r>
              <w:t>Resistenza agli stress</w:t>
            </w:r>
          </w:p>
        </w:tc>
        <w:tc>
          <w:tcPr>
            <w:tcW w:w="3070" w:type="dxa"/>
          </w:tcPr>
          <w:p w:rsidR="00E64D63" w:rsidRDefault="00E64D63" w:rsidP="0057712C">
            <w:pPr>
              <w:jc w:val="both"/>
            </w:pPr>
            <w:r>
              <w:t>Compressione</w:t>
            </w:r>
          </w:p>
          <w:p w:rsidR="00E64D63" w:rsidRDefault="00E64D63" w:rsidP="0057712C">
            <w:pPr>
              <w:jc w:val="both"/>
            </w:pPr>
            <w:r>
              <w:t>Temperatura</w:t>
            </w:r>
          </w:p>
        </w:tc>
        <w:tc>
          <w:tcPr>
            <w:tcW w:w="3071" w:type="dxa"/>
          </w:tcPr>
          <w:p w:rsidR="00E64D63" w:rsidRDefault="00E64D63" w:rsidP="0057712C">
            <w:pPr>
              <w:jc w:val="both"/>
            </w:pPr>
            <w:r>
              <w:t>Dopo convalida l’uniformità dei lotti e dei risultati.</w:t>
            </w:r>
          </w:p>
        </w:tc>
      </w:tr>
    </w:tbl>
    <w:p w:rsidR="00DB1749" w:rsidRDefault="00DB1749" w:rsidP="0057712C">
      <w:pPr>
        <w:jc w:val="both"/>
      </w:pPr>
    </w:p>
    <w:p w:rsidR="00E011D4" w:rsidRDefault="00E011D4" w:rsidP="0057712C">
      <w:pPr>
        <w:jc w:val="both"/>
      </w:pPr>
    </w:p>
    <w:p w:rsidR="00E011D4" w:rsidRDefault="00E011D4" w:rsidP="0057712C">
      <w:pPr>
        <w:jc w:val="both"/>
      </w:pPr>
    </w:p>
    <w:p w:rsidR="00E64D63" w:rsidRDefault="00DF5C10" w:rsidP="0057712C">
      <w:pPr>
        <w:jc w:val="both"/>
      </w:pPr>
      <w:r>
        <w:t>Sempre schematicamente vediamo il confronto tra il sito che non adotti oppure abbia convalidato le specifiche e quindi le stesse diventano il prerequisito per il sito stesso.</w:t>
      </w:r>
    </w:p>
    <w:p w:rsidR="005C2927" w:rsidRDefault="005C2927" w:rsidP="0057712C">
      <w:pPr>
        <w:jc w:val="both"/>
      </w:pPr>
    </w:p>
    <w:tbl>
      <w:tblPr>
        <w:tblStyle w:val="Grigliatabella"/>
        <w:tblW w:w="9308" w:type="dxa"/>
        <w:tblLook w:val="04A0" w:firstRow="1" w:lastRow="0" w:firstColumn="1" w:lastColumn="0" w:noHBand="0" w:noVBand="1"/>
      </w:tblPr>
      <w:tblGrid>
        <w:gridCol w:w="2772"/>
        <w:gridCol w:w="3070"/>
        <w:gridCol w:w="3466"/>
      </w:tblGrid>
      <w:tr w:rsidR="005C2927" w:rsidTr="002A5F26">
        <w:tc>
          <w:tcPr>
            <w:tcW w:w="2772" w:type="dxa"/>
          </w:tcPr>
          <w:p w:rsidR="005C2927" w:rsidRPr="0095758A" w:rsidRDefault="005C2927" w:rsidP="0095758A">
            <w:pPr>
              <w:jc w:val="center"/>
              <w:rPr>
                <w:b/>
              </w:rPr>
            </w:pPr>
            <w:r w:rsidRPr="0095758A">
              <w:rPr>
                <w:b/>
              </w:rPr>
              <w:lastRenderedPageBreak/>
              <w:t>Attività operativa</w:t>
            </w:r>
          </w:p>
        </w:tc>
        <w:tc>
          <w:tcPr>
            <w:tcW w:w="3070" w:type="dxa"/>
          </w:tcPr>
          <w:p w:rsidR="00E64D63" w:rsidRPr="0095758A" w:rsidRDefault="005C2927" w:rsidP="0095758A">
            <w:pPr>
              <w:jc w:val="center"/>
              <w:rPr>
                <w:b/>
              </w:rPr>
            </w:pPr>
            <w:r w:rsidRPr="0095758A">
              <w:rPr>
                <w:b/>
              </w:rPr>
              <w:t>Stato dell’arte</w:t>
            </w:r>
          </w:p>
          <w:p w:rsidR="005C2927" w:rsidRPr="0095758A" w:rsidRDefault="00E64D63" w:rsidP="0095758A">
            <w:pPr>
              <w:jc w:val="center"/>
              <w:rPr>
                <w:b/>
              </w:rPr>
            </w:pPr>
            <w:r w:rsidRPr="0095758A">
              <w:rPr>
                <w:b/>
              </w:rPr>
              <w:t>no prerequisiti</w:t>
            </w:r>
          </w:p>
        </w:tc>
        <w:tc>
          <w:tcPr>
            <w:tcW w:w="3466" w:type="dxa"/>
          </w:tcPr>
          <w:p w:rsidR="005C2927" w:rsidRPr="0095758A" w:rsidRDefault="005C2927" w:rsidP="0095758A">
            <w:pPr>
              <w:jc w:val="center"/>
              <w:rPr>
                <w:b/>
              </w:rPr>
            </w:pPr>
            <w:r w:rsidRPr="0095758A">
              <w:rPr>
                <w:b/>
              </w:rPr>
              <w:t>Prerequisiti</w:t>
            </w:r>
          </w:p>
        </w:tc>
      </w:tr>
      <w:tr w:rsidR="005C2927" w:rsidTr="002A5F26">
        <w:tc>
          <w:tcPr>
            <w:tcW w:w="2772" w:type="dxa"/>
          </w:tcPr>
          <w:p w:rsidR="005C2927" w:rsidRDefault="00DB1749" w:rsidP="0057712C">
            <w:pPr>
              <w:jc w:val="both"/>
            </w:pPr>
            <w:r>
              <w:t>Ordine della premiscela</w:t>
            </w:r>
          </w:p>
        </w:tc>
        <w:tc>
          <w:tcPr>
            <w:tcW w:w="3070" w:type="dxa"/>
          </w:tcPr>
          <w:p w:rsidR="005C2927" w:rsidRDefault="00DB1749" w:rsidP="0057712C">
            <w:pPr>
              <w:jc w:val="both"/>
            </w:pPr>
            <w:r>
              <w:t>Denominazione, quantità, confezione, prezzo</w:t>
            </w:r>
          </w:p>
        </w:tc>
        <w:tc>
          <w:tcPr>
            <w:tcW w:w="3466" w:type="dxa"/>
          </w:tcPr>
          <w:p w:rsidR="005C2927" w:rsidRDefault="00DB1749" w:rsidP="0057712C">
            <w:pPr>
              <w:jc w:val="both"/>
            </w:pPr>
            <w:r>
              <w:t>Specifiche, denominazione, quantità, confezione, prezzo</w:t>
            </w:r>
          </w:p>
        </w:tc>
      </w:tr>
      <w:tr w:rsidR="005C2927" w:rsidTr="002A5F26">
        <w:tc>
          <w:tcPr>
            <w:tcW w:w="2772" w:type="dxa"/>
          </w:tcPr>
          <w:p w:rsidR="005C2927" w:rsidRDefault="00DB1749" w:rsidP="0057712C">
            <w:pPr>
              <w:jc w:val="both"/>
            </w:pPr>
            <w:r>
              <w:t>Entrata</w:t>
            </w:r>
          </w:p>
        </w:tc>
        <w:tc>
          <w:tcPr>
            <w:tcW w:w="3070" w:type="dxa"/>
          </w:tcPr>
          <w:p w:rsidR="005C2927" w:rsidRDefault="00DB1749" w:rsidP="0057712C">
            <w:pPr>
              <w:jc w:val="both"/>
            </w:pPr>
            <w:r>
              <w:t>stoccaggio</w:t>
            </w:r>
          </w:p>
        </w:tc>
        <w:tc>
          <w:tcPr>
            <w:tcW w:w="3466" w:type="dxa"/>
          </w:tcPr>
          <w:p w:rsidR="005C2927" w:rsidRDefault="00DB1749" w:rsidP="0057712C">
            <w:pPr>
              <w:jc w:val="both"/>
            </w:pPr>
            <w:r>
              <w:t>Verifica documentazione relativa a specifiche e poi stoccaggio</w:t>
            </w:r>
          </w:p>
        </w:tc>
        <w:bookmarkStart w:id="1" w:name="_GoBack"/>
        <w:bookmarkEnd w:id="1"/>
      </w:tr>
      <w:tr w:rsidR="00E64D63" w:rsidTr="002A5F26">
        <w:tc>
          <w:tcPr>
            <w:tcW w:w="2772" w:type="dxa"/>
          </w:tcPr>
          <w:p w:rsidR="00E64D63" w:rsidRDefault="00E64D63" w:rsidP="0057712C">
            <w:pPr>
              <w:jc w:val="both"/>
            </w:pPr>
            <w:r>
              <w:t>Stabilità distribuzione</w:t>
            </w:r>
          </w:p>
        </w:tc>
        <w:tc>
          <w:tcPr>
            <w:tcW w:w="3070" w:type="dxa"/>
          </w:tcPr>
          <w:p w:rsidR="00E64D63" w:rsidRDefault="00E64D63" w:rsidP="0057712C">
            <w:pPr>
              <w:jc w:val="both"/>
            </w:pPr>
            <w:r>
              <w:t>Aleatoria, verifica per lotto</w:t>
            </w:r>
          </w:p>
        </w:tc>
        <w:tc>
          <w:tcPr>
            <w:tcW w:w="3466" w:type="dxa"/>
          </w:tcPr>
          <w:p w:rsidR="00E64D63" w:rsidRDefault="007E350D" w:rsidP="0057712C">
            <w:pPr>
              <w:jc w:val="both"/>
            </w:pPr>
            <w:proofErr w:type="spellStart"/>
            <w:r>
              <w:t>Preconvalida</w:t>
            </w:r>
            <w:proofErr w:type="spellEnd"/>
            <w:r>
              <w:t xml:space="preserve"> del prerequisito e</w:t>
            </w:r>
            <w:r w:rsidR="00E64D63">
              <w:t xml:space="preserve"> selezione fornitore</w:t>
            </w:r>
          </w:p>
        </w:tc>
      </w:tr>
      <w:tr w:rsidR="005C2927" w:rsidTr="002A5F26">
        <w:tc>
          <w:tcPr>
            <w:tcW w:w="2772" w:type="dxa"/>
          </w:tcPr>
          <w:p w:rsidR="005C2927" w:rsidRDefault="00DB1749" w:rsidP="0057712C">
            <w:pPr>
              <w:jc w:val="both"/>
            </w:pPr>
            <w:r>
              <w:t>Residui nei trasferimenti</w:t>
            </w:r>
          </w:p>
        </w:tc>
        <w:tc>
          <w:tcPr>
            <w:tcW w:w="3070" w:type="dxa"/>
          </w:tcPr>
          <w:p w:rsidR="005C2927" w:rsidRDefault="00DB1749" w:rsidP="0057712C">
            <w:pPr>
              <w:jc w:val="both"/>
            </w:pPr>
            <w:r>
              <w:t>CCP, calendarizzazione pulizia</w:t>
            </w:r>
            <w:r w:rsidR="007E350D">
              <w:t xml:space="preserve"> e smaltimento</w:t>
            </w:r>
          </w:p>
        </w:tc>
        <w:tc>
          <w:tcPr>
            <w:tcW w:w="3466" w:type="dxa"/>
          </w:tcPr>
          <w:p w:rsidR="005C2927" w:rsidRDefault="00DB1749" w:rsidP="0057712C">
            <w:pPr>
              <w:jc w:val="both"/>
            </w:pPr>
            <w:r>
              <w:t xml:space="preserve"> </w:t>
            </w:r>
            <w:proofErr w:type="spellStart"/>
            <w:r w:rsidR="00E64D63">
              <w:t>Preconvalida</w:t>
            </w:r>
            <w:proofErr w:type="spellEnd"/>
            <w:r w:rsidR="00E64D63">
              <w:t xml:space="preserve"> dei prerequisiti</w:t>
            </w:r>
            <w:r w:rsidR="002A5F26">
              <w:t xml:space="preserve"> </w:t>
            </w:r>
            <w:r w:rsidR="007E350D">
              <w:t>e</w:t>
            </w:r>
            <w:r w:rsidR="00E64D63">
              <w:t xml:space="preserve"> verifica documentale</w:t>
            </w:r>
            <w:r w:rsidR="00E836C8">
              <w:t xml:space="preserve">, </w:t>
            </w:r>
            <w:r w:rsidR="002A5F26">
              <w:t>non necessità di operazioni di pulizia</w:t>
            </w:r>
            <w:r w:rsidR="00E836C8">
              <w:t>.</w:t>
            </w:r>
          </w:p>
        </w:tc>
      </w:tr>
      <w:tr w:rsidR="00E64D63" w:rsidTr="002A5F26">
        <w:tc>
          <w:tcPr>
            <w:tcW w:w="2772" w:type="dxa"/>
          </w:tcPr>
          <w:p w:rsidR="00E64D63" w:rsidRDefault="00E64D63" w:rsidP="0057712C">
            <w:pPr>
              <w:jc w:val="both"/>
            </w:pPr>
            <w:r>
              <w:t>Residui adesi</w:t>
            </w:r>
          </w:p>
        </w:tc>
        <w:tc>
          <w:tcPr>
            <w:tcW w:w="3070" w:type="dxa"/>
          </w:tcPr>
          <w:p w:rsidR="00E64D63" w:rsidRDefault="00E64D63" w:rsidP="0057712C">
            <w:pPr>
              <w:jc w:val="both"/>
            </w:pPr>
            <w:r>
              <w:t>CCP, calendarizzazione pulizia</w:t>
            </w:r>
            <w:r w:rsidR="007E350D">
              <w:t xml:space="preserve"> e smaltimento</w:t>
            </w:r>
          </w:p>
        </w:tc>
        <w:tc>
          <w:tcPr>
            <w:tcW w:w="3466" w:type="dxa"/>
          </w:tcPr>
          <w:p w:rsidR="00E64D63" w:rsidRDefault="002A5F26" w:rsidP="0057712C">
            <w:pPr>
              <w:jc w:val="both"/>
            </w:pPr>
            <w:proofErr w:type="spellStart"/>
            <w:r>
              <w:t>Preconvalida</w:t>
            </w:r>
            <w:proofErr w:type="spellEnd"/>
            <w:r>
              <w:t xml:space="preserve"> dei prerequisiti</w:t>
            </w:r>
            <w:r w:rsidR="00E836C8">
              <w:t>, no</w:t>
            </w:r>
            <w:r>
              <w:t>n necessità  di</w:t>
            </w:r>
            <w:r w:rsidR="00E836C8">
              <w:t xml:space="preserve"> operazioni di controllo.</w:t>
            </w:r>
          </w:p>
        </w:tc>
      </w:tr>
      <w:tr w:rsidR="005C2927" w:rsidTr="002A5F26">
        <w:tc>
          <w:tcPr>
            <w:tcW w:w="2772" w:type="dxa"/>
          </w:tcPr>
          <w:p w:rsidR="005C2927" w:rsidRDefault="00E64D63" w:rsidP="0057712C">
            <w:pPr>
              <w:jc w:val="both"/>
            </w:pPr>
            <w:r>
              <w:t>Presenza nelle emissioni</w:t>
            </w:r>
          </w:p>
        </w:tc>
        <w:tc>
          <w:tcPr>
            <w:tcW w:w="3070" w:type="dxa"/>
          </w:tcPr>
          <w:p w:rsidR="005C2927" w:rsidRDefault="00E64D63" w:rsidP="0057712C">
            <w:pPr>
              <w:jc w:val="both"/>
            </w:pPr>
            <w:r>
              <w:t>CCP calendarizzazione verifica</w:t>
            </w:r>
            <w:r w:rsidR="007E350D">
              <w:t>, pulizia e smaltimento</w:t>
            </w:r>
          </w:p>
        </w:tc>
        <w:tc>
          <w:tcPr>
            <w:tcW w:w="3466" w:type="dxa"/>
          </w:tcPr>
          <w:p w:rsidR="005C2927" w:rsidRDefault="007E350D" w:rsidP="0057712C">
            <w:pPr>
              <w:jc w:val="both"/>
            </w:pPr>
            <w:proofErr w:type="spellStart"/>
            <w:r>
              <w:t>P</w:t>
            </w:r>
            <w:r w:rsidR="002A5F26">
              <w:t>reconvalida</w:t>
            </w:r>
            <w:proofErr w:type="spellEnd"/>
            <w:r w:rsidR="002A5F26">
              <w:t xml:space="preserve"> dei prerequisiti, non necessità di </w:t>
            </w:r>
            <w:r w:rsidR="00E836C8">
              <w:t>operazioni di controllo.</w:t>
            </w:r>
          </w:p>
        </w:tc>
      </w:tr>
      <w:tr w:rsidR="005C2927" w:rsidTr="002A5F26">
        <w:tc>
          <w:tcPr>
            <w:tcW w:w="2772" w:type="dxa"/>
          </w:tcPr>
          <w:p w:rsidR="005C2927" w:rsidRDefault="00E64D63" w:rsidP="0057712C">
            <w:pPr>
              <w:jc w:val="both"/>
            </w:pPr>
            <w:proofErr w:type="spellStart"/>
            <w:r>
              <w:t>Carry</w:t>
            </w:r>
            <w:proofErr w:type="spellEnd"/>
            <w:r>
              <w:t xml:space="preserve"> over</w:t>
            </w:r>
          </w:p>
        </w:tc>
        <w:tc>
          <w:tcPr>
            <w:tcW w:w="3070" w:type="dxa"/>
          </w:tcPr>
          <w:p w:rsidR="005C2927" w:rsidRDefault="00E64D63" w:rsidP="0057712C">
            <w:pPr>
              <w:jc w:val="both"/>
            </w:pPr>
            <w:r>
              <w:t>CCP verifica comunque valevole per lo specifico lotto</w:t>
            </w:r>
            <w:r w:rsidR="007E350D">
              <w:t xml:space="preserve"> di mangime.</w:t>
            </w:r>
          </w:p>
        </w:tc>
        <w:tc>
          <w:tcPr>
            <w:tcW w:w="3466" w:type="dxa"/>
          </w:tcPr>
          <w:p w:rsidR="005C2927" w:rsidRDefault="00E64D63" w:rsidP="0057712C">
            <w:pPr>
              <w:jc w:val="both"/>
            </w:pPr>
            <w:proofErr w:type="spellStart"/>
            <w:r>
              <w:t>Preconvalida</w:t>
            </w:r>
            <w:proofErr w:type="spellEnd"/>
            <w:r>
              <w:t xml:space="preserve"> del prerequ</w:t>
            </w:r>
            <w:r w:rsidR="007E350D">
              <w:t>isito e validità per tipologia di mangime.</w:t>
            </w:r>
            <w:r>
              <w:t xml:space="preserve"> </w:t>
            </w:r>
          </w:p>
          <w:p w:rsidR="007E350D" w:rsidRDefault="007E350D" w:rsidP="0057712C">
            <w:pPr>
              <w:jc w:val="both"/>
            </w:pPr>
            <w:r>
              <w:t>Procedure operative</w:t>
            </w:r>
            <w:r w:rsidR="00E836C8">
              <w:t>, relative al numero e tipo di lotti di pulizia,</w:t>
            </w:r>
            <w:r>
              <w:t xml:space="preserve"> per tracciabilità.</w:t>
            </w:r>
          </w:p>
        </w:tc>
      </w:tr>
    </w:tbl>
    <w:p w:rsidR="005C2927" w:rsidRDefault="005C2927" w:rsidP="0057712C">
      <w:pPr>
        <w:jc w:val="both"/>
      </w:pPr>
    </w:p>
    <w:p w:rsidR="00B07E4B" w:rsidRDefault="00B07E4B" w:rsidP="0057712C">
      <w:pPr>
        <w:jc w:val="both"/>
      </w:pPr>
      <w:r>
        <w:t>Lo schema è volutamente scarno. L’obiettivo è risvegliare la volontà di rivedere l’HACCP di ciascun sito, tenendo in debita considerazione le caratteristiche e gli stress di ciascun sito e del proprio circuito di distribuzione e di utilizzazione.</w:t>
      </w:r>
    </w:p>
    <w:p w:rsidR="00B07E4B" w:rsidRDefault="00B07E4B" w:rsidP="0057712C">
      <w:pPr>
        <w:jc w:val="both"/>
      </w:pPr>
      <w:r>
        <w:t xml:space="preserve">L’attività di revisione è una decisione importante da prendere con spirito responsabile, professionale ed imprenditoriale. In gioco vi è il patrimonio costituito da una autorizzazione ad operare nella filiera e di costituire un punto di valore per l’ottenimento della sicurezza alimentare. </w:t>
      </w:r>
    </w:p>
    <w:p w:rsidR="00B07E4B" w:rsidRDefault="00B07E4B" w:rsidP="0057712C">
      <w:pPr>
        <w:jc w:val="both"/>
      </w:pPr>
      <w:r>
        <w:t>Il riconoscimento dell’alto valore delle specifiche, prerequisito del sito dopo la convalida, è una occasione che merita lo sforzo di rivedere atteggiamenti e comportamenti che è bene siano aggiornati.</w:t>
      </w:r>
    </w:p>
    <w:p w:rsidR="007E350D" w:rsidRDefault="007E350D" w:rsidP="0057712C">
      <w:pPr>
        <w:jc w:val="both"/>
      </w:pPr>
      <w:r>
        <w:t>Sforzo da compiersi da ciascun sito, da centri di aggregazione di diversi siti.</w:t>
      </w:r>
    </w:p>
    <w:p w:rsidR="00B07E4B" w:rsidRPr="005C2927" w:rsidRDefault="00B07E4B" w:rsidP="0057712C">
      <w:pPr>
        <w:jc w:val="both"/>
      </w:pPr>
    </w:p>
    <w:p w:rsidR="00503CD7" w:rsidRPr="0057712C" w:rsidRDefault="00503CD7" w:rsidP="0057712C">
      <w:pPr>
        <w:jc w:val="both"/>
      </w:pPr>
    </w:p>
    <w:p w:rsidR="0057712C" w:rsidRDefault="0057712C" w:rsidP="0057712C">
      <w:pPr>
        <w:spacing w:before="240"/>
        <w:jc w:val="both"/>
      </w:pPr>
    </w:p>
    <w:p w:rsidR="0057712C" w:rsidRDefault="0057712C" w:rsidP="0057712C">
      <w:pPr>
        <w:jc w:val="both"/>
      </w:pPr>
    </w:p>
    <w:p w:rsidR="0026416A" w:rsidRPr="0026416A" w:rsidRDefault="0026416A" w:rsidP="0026416A"/>
    <w:p w:rsidR="006D2113" w:rsidRPr="006D2113" w:rsidRDefault="006D2113" w:rsidP="006D2113"/>
    <w:p w:rsidR="006D2113" w:rsidRPr="006D2113" w:rsidRDefault="006D2113" w:rsidP="006D2113"/>
    <w:p w:rsidR="00256980" w:rsidRPr="00256980" w:rsidRDefault="00256980" w:rsidP="00256980">
      <w:pPr>
        <w:spacing w:before="240"/>
      </w:pPr>
    </w:p>
    <w:p w:rsidR="00256980" w:rsidRPr="00256980" w:rsidRDefault="00256980" w:rsidP="00256980"/>
    <w:p w:rsidR="00256980" w:rsidRPr="00256980" w:rsidRDefault="00256980" w:rsidP="00256980"/>
    <w:p w:rsidR="00C40872" w:rsidRPr="00C40872" w:rsidRDefault="00C40872" w:rsidP="00C40872">
      <w:pPr>
        <w:jc w:val="both"/>
        <w:rPr>
          <w:rFonts w:ascii="Bodoni MT" w:hAnsi="Bodoni MT"/>
          <w:sz w:val="24"/>
          <w:szCs w:val="24"/>
        </w:rPr>
      </w:pPr>
    </w:p>
    <w:p w:rsidR="00DB51F2" w:rsidRDefault="00DB51F2">
      <w:pPr>
        <w:jc w:val="both"/>
      </w:pPr>
    </w:p>
    <w:p w:rsidR="00DB51F2" w:rsidRDefault="00DB51F2"/>
    <w:sectPr w:rsidR="00DB51F2">
      <w:headerReference w:type="default" r:id="rId9"/>
      <w:footerReference w:type="default" r:id="rId10"/>
      <w:pgSz w:w="11907" w:h="16840" w:code="9"/>
      <w:pgMar w:top="1418" w:right="1418" w:bottom="1418" w:left="1418" w:header="851" w:footer="851" w:gutter="0"/>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FF9" w:rsidRDefault="006E2FF9">
      <w:r>
        <w:separator/>
      </w:r>
    </w:p>
  </w:endnote>
  <w:endnote w:type="continuationSeparator" w:id="0">
    <w:p w:rsidR="006E2FF9" w:rsidRDefault="006E2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altName w:val="Nyal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E89" w:rsidRDefault="00581E89">
    <w:pPr>
      <w:pStyle w:val="Pidipagina"/>
      <w:pBdr>
        <w:top w:val="thinThickSmallGap" w:sz="24" w:space="1" w:color="622423" w:themeColor="accent2" w:themeShade="7F"/>
      </w:pBdr>
      <w:rPr>
        <w:rFonts w:asciiTheme="majorHAnsi" w:eastAsiaTheme="majorEastAsia" w:hAnsiTheme="majorHAnsi" w:cstheme="majorBidi"/>
      </w:rPr>
    </w:pPr>
    <w:proofErr w:type="spellStart"/>
    <w:r>
      <w:rPr>
        <w:rFonts w:asciiTheme="majorHAnsi" w:eastAsiaTheme="majorEastAsia" w:hAnsiTheme="majorHAnsi" w:cstheme="majorBidi"/>
      </w:rPr>
      <w:t>fv</w:t>
    </w:r>
    <w:proofErr w:type="spellEnd"/>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2A5F26" w:rsidRPr="002A5F26">
      <w:rPr>
        <w:rFonts w:asciiTheme="majorHAnsi" w:eastAsiaTheme="majorEastAsia" w:hAnsiTheme="majorHAnsi" w:cstheme="majorBidi"/>
        <w:noProof/>
      </w:rPr>
      <w:t>3</w:t>
    </w:r>
    <w:r>
      <w:rPr>
        <w:rFonts w:asciiTheme="majorHAnsi" w:eastAsiaTheme="majorEastAsia" w:hAnsiTheme="majorHAnsi" w:cstheme="majorBidi"/>
      </w:rPr>
      <w:fldChar w:fldCharType="end"/>
    </w:r>
  </w:p>
  <w:p w:rsidR="00581E89" w:rsidRDefault="00581E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FF9" w:rsidRDefault="006E2FF9">
      <w:r>
        <w:separator/>
      </w:r>
    </w:p>
  </w:footnote>
  <w:footnote w:type="continuationSeparator" w:id="0">
    <w:p w:rsidR="006E2FF9" w:rsidRDefault="006E2FF9">
      <w:r>
        <w:continuationSeparator/>
      </w:r>
    </w:p>
  </w:footnote>
  <w:footnote w:id="1">
    <w:p w:rsidR="00E37B54" w:rsidRPr="00CB39A4" w:rsidRDefault="00E37B54">
      <w:pPr>
        <w:pStyle w:val="Testonotaapidipagina"/>
        <w:rPr>
          <w:sz w:val="16"/>
          <w:szCs w:val="16"/>
        </w:rPr>
      </w:pPr>
      <w:r>
        <w:rPr>
          <w:rStyle w:val="Rimandonotaapidipagina"/>
        </w:rPr>
        <w:footnoteRef/>
      </w:r>
      <w:r>
        <w:t xml:space="preserve"> </w:t>
      </w:r>
      <w:r w:rsidRPr="00CB39A4">
        <w:rPr>
          <w:sz w:val="16"/>
          <w:szCs w:val="16"/>
        </w:rPr>
        <w:t>Articoli Giornale degli Igienisti per l’Italia, INRS per la Francia.</w:t>
      </w:r>
    </w:p>
  </w:footnote>
  <w:footnote w:id="2">
    <w:p w:rsidR="00CB39A4" w:rsidRPr="00CB39A4" w:rsidRDefault="00CB39A4">
      <w:pPr>
        <w:pStyle w:val="Testonotaapidipagina"/>
        <w:rPr>
          <w:sz w:val="16"/>
          <w:szCs w:val="16"/>
        </w:rPr>
      </w:pPr>
      <w:r w:rsidRPr="00CB39A4">
        <w:rPr>
          <w:rStyle w:val="Rimandonotaapidipagina"/>
          <w:sz w:val="16"/>
          <w:szCs w:val="16"/>
        </w:rPr>
        <w:footnoteRef/>
      </w:r>
      <w:r w:rsidRPr="00CB39A4">
        <w:rPr>
          <w:sz w:val="16"/>
          <w:szCs w:val="16"/>
        </w:rPr>
        <w:t xml:space="preserve"> Fefac nota 40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980" w:rsidRPr="00256980" w:rsidRDefault="00256980" w:rsidP="00256980">
    <w:pPr>
      <w:pStyle w:val="Intestazione"/>
      <w:pBdr>
        <w:bottom w:val="thickThinSmallGap" w:sz="24" w:space="1" w:color="622423"/>
      </w:pBdr>
      <w:rPr>
        <w:rFonts w:ascii="Cambria" w:hAnsi="Cambria"/>
        <w:sz w:val="24"/>
        <w:szCs w:val="24"/>
      </w:rPr>
    </w:pPr>
    <w:r w:rsidRPr="00256980">
      <w:rPr>
        <w:rFonts w:ascii="Cambria" w:hAnsi="Cambria"/>
        <w:sz w:val="24"/>
        <w:szCs w:val="24"/>
      </w:rPr>
      <w:t xml:space="preserve">  </w:t>
    </w:r>
    <w:proofErr w:type="spellStart"/>
    <w:r>
      <w:rPr>
        <w:rFonts w:ascii="Cambria" w:hAnsi="Cambria"/>
        <w:sz w:val="24"/>
        <w:szCs w:val="24"/>
      </w:rPr>
      <w:t>dox</w:t>
    </w:r>
    <w:proofErr w:type="spellEnd"/>
    <w:r>
      <w:rPr>
        <w:rFonts w:ascii="Cambria" w:hAnsi="Cambria"/>
        <w:sz w:val="24"/>
        <w:szCs w:val="24"/>
      </w:rPr>
      <w:t>-al</w:t>
    </w:r>
    <w:r w:rsidRPr="00256980">
      <w:rPr>
        <w:rFonts w:ascii="Cambria" w:hAnsi="Cambria"/>
        <w:sz w:val="24"/>
        <w:szCs w:val="24"/>
      </w:rPr>
      <w:t xml:space="preserve"> know-how</w:t>
    </w:r>
  </w:p>
  <w:p w:rsidR="00256980" w:rsidRDefault="0025698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528"/>
    <w:rsid w:val="00014B3D"/>
    <w:rsid w:val="00155AA7"/>
    <w:rsid w:val="001C0EEA"/>
    <w:rsid w:val="001D1B44"/>
    <w:rsid w:val="0020341E"/>
    <w:rsid w:val="00256980"/>
    <w:rsid w:val="0026416A"/>
    <w:rsid w:val="00291528"/>
    <w:rsid w:val="002A4073"/>
    <w:rsid w:val="002A5F26"/>
    <w:rsid w:val="004E75E3"/>
    <w:rsid w:val="00503CD7"/>
    <w:rsid w:val="005146A8"/>
    <w:rsid w:val="00530E98"/>
    <w:rsid w:val="0057712C"/>
    <w:rsid w:val="00581E89"/>
    <w:rsid w:val="005C2927"/>
    <w:rsid w:val="006857BC"/>
    <w:rsid w:val="006D2113"/>
    <w:rsid w:val="006E2FF9"/>
    <w:rsid w:val="007E350D"/>
    <w:rsid w:val="008046DB"/>
    <w:rsid w:val="00867E7D"/>
    <w:rsid w:val="0095758A"/>
    <w:rsid w:val="00A22188"/>
    <w:rsid w:val="00B07E4B"/>
    <w:rsid w:val="00C40872"/>
    <w:rsid w:val="00C91166"/>
    <w:rsid w:val="00CB39A4"/>
    <w:rsid w:val="00D31070"/>
    <w:rsid w:val="00DB1749"/>
    <w:rsid w:val="00DB51F2"/>
    <w:rsid w:val="00DF5C10"/>
    <w:rsid w:val="00E011D4"/>
    <w:rsid w:val="00E37B54"/>
    <w:rsid w:val="00E64D63"/>
    <w:rsid w:val="00E836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overflowPunct w:val="0"/>
      <w:autoSpaceDE w:val="0"/>
      <w:autoSpaceDN w:val="0"/>
      <w:adjustRightInd w:val="0"/>
      <w:textAlignment w:val="baseline"/>
    </w:pPr>
    <w:rPr>
      <w:rFonts w:ascii="Arial" w:hAnsi="Arial"/>
      <w:sz w:val="22"/>
    </w:rPr>
  </w:style>
  <w:style w:type="paragraph" w:styleId="Titolo1">
    <w:name w:val="heading 1"/>
    <w:basedOn w:val="Normale"/>
    <w:next w:val="Normale"/>
    <w:qFormat/>
    <w:pPr>
      <w:keepNext/>
      <w:spacing w:before="240" w:after="60"/>
      <w:outlineLvl w:val="0"/>
    </w:pPr>
    <w:rPr>
      <w:b/>
      <w:kern w:val="28"/>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IntestazioneCarattere">
    <w:name w:val="Intestazione Carattere"/>
    <w:link w:val="Intestazione"/>
    <w:uiPriority w:val="99"/>
    <w:rsid w:val="00256980"/>
    <w:rPr>
      <w:rFonts w:ascii="Arial" w:hAnsi="Arial"/>
      <w:sz w:val="22"/>
    </w:rPr>
  </w:style>
  <w:style w:type="paragraph" w:styleId="Testofumetto">
    <w:name w:val="Balloon Text"/>
    <w:basedOn w:val="Normale"/>
    <w:link w:val="TestofumettoCarattere"/>
    <w:rsid w:val="00256980"/>
    <w:rPr>
      <w:rFonts w:ascii="Tahoma" w:hAnsi="Tahoma" w:cs="Tahoma"/>
      <w:sz w:val="16"/>
      <w:szCs w:val="16"/>
    </w:rPr>
  </w:style>
  <w:style w:type="character" w:customStyle="1" w:styleId="TestofumettoCarattere">
    <w:name w:val="Testo fumetto Carattere"/>
    <w:link w:val="Testofumetto"/>
    <w:rsid w:val="00256980"/>
    <w:rPr>
      <w:rFonts w:ascii="Tahoma" w:hAnsi="Tahoma" w:cs="Tahoma"/>
      <w:sz w:val="16"/>
      <w:szCs w:val="16"/>
    </w:rPr>
  </w:style>
  <w:style w:type="table" w:styleId="Grigliatabella">
    <w:name w:val="Table Grid"/>
    <w:basedOn w:val="Tabellanormale"/>
    <w:rsid w:val="005C2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rsid w:val="00E37B54"/>
    <w:rPr>
      <w:sz w:val="20"/>
    </w:rPr>
  </w:style>
  <w:style w:type="character" w:customStyle="1" w:styleId="TestonotaapidipaginaCarattere">
    <w:name w:val="Testo nota a piè di pagina Carattere"/>
    <w:basedOn w:val="Carpredefinitoparagrafo"/>
    <w:link w:val="Testonotaapidipagina"/>
    <w:rsid w:val="00E37B54"/>
    <w:rPr>
      <w:rFonts w:ascii="Arial" w:hAnsi="Arial"/>
    </w:rPr>
  </w:style>
  <w:style w:type="character" w:styleId="Rimandonotaapidipagina">
    <w:name w:val="footnote reference"/>
    <w:basedOn w:val="Carpredefinitoparagrafo"/>
    <w:rsid w:val="00E37B54"/>
    <w:rPr>
      <w:vertAlign w:val="superscript"/>
    </w:rPr>
  </w:style>
  <w:style w:type="character" w:customStyle="1" w:styleId="PidipaginaCarattere">
    <w:name w:val="Piè di pagina Carattere"/>
    <w:basedOn w:val="Carpredefinitoparagrafo"/>
    <w:link w:val="Pidipagina"/>
    <w:uiPriority w:val="99"/>
    <w:rsid w:val="00581E89"/>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overflowPunct w:val="0"/>
      <w:autoSpaceDE w:val="0"/>
      <w:autoSpaceDN w:val="0"/>
      <w:adjustRightInd w:val="0"/>
      <w:textAlignment w:val="baseline"/>
    </w:pPr>
    <w:rPr>
      <w:rFonts w:ascii="Arial" w:hAnsi="Arial"/>
      <w:sz w:val="22"/>
    </w:rPr>
  </w:style>
  <w:style w:type="paragraph" w:styleId="Titolo1">
    <w:name w:val="heading 1"/>
    <w:basedOn w:val="Normale"/>
    <w:next w:val="Normale"/>
    <w:qFormat/>
    <w:pPr>
      <w:keepNext/>
      <w:spacing w:before="240" w:after="60"/>
      <w:outlineLvl w:val="0"/>
    </w:pPr>
    <w:rPr>
      <w:b/>
      <w:kern w:val="28"/>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IntestazioneCarattere">
    <w:name w:val="Intestazione Carattere"/>
    <w:link w:val="Intestazione"/>
    <w:uiPriority w:val="99"/>
    <w:rsid w:val="00256980"/>
    <w:rPr>
      <w:rFonts w:ascii="Arial" w:hAnsi="Arial"/>
      <w:sz w:val="22"/>
    </w:rPr>
  </w:style>
  <w:style w:type="paragraph" w:styleId="Testofumetto">
    <w:name w:val="Balloon Text"/>
    <w:basedOn w:val="Normale"/>
    <w:link w:val="TestofumettoCarattere"/>
    <w:rsid w:val="00256980"/>
    <w:rPr>
      <w:rFonts w:ascii="Tahoma" w:hAnsi="Tahoma" w:cs="Tahoma"/>
      <w:sz w:val="16"/>
      <w:szCs w:val="16"/>
    </w:rPr>
  </w:style>
  <w:style w:type="character" w:customStyle="1" w:styleId="TestofumettoCarattere">
    <w:name w:val="Testo fumetto Carattere"/>
    <w:link w:val="Testofumetto"/>
    <w:rsid w:val="00256980"/>
    <w:rPr>
      <w:rFonts w:ascii="Tahoma" w:hAnsi="Tahoma" w:cs="Tahoma"/>
      <w:sz w:val="16"/>
      <w:szCs w:val="16"/>
    </w:rPr>
  </w:style>
  <w:style w:type="table" w:styleId="Grigliatabella">
    <w:name w:val="Table Grid"/>
    <w:basedOn w:val="Tabellanormale"/>
    <w:rsid w:val="005C2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rsid w:val="00E37B54"/>
    <w:rPr>
      <w:sz w:val="20"/>
    </w:rPr>
  </w:style>
  <w:style w:type="character" w:customStyle="1" w:styleId="TestonotaapidipaginaCarattere">
    <w:name w:val="Testo nota a piè di pagina Carattere"/>
    <w:basedOn w:val="Carpredefinitoparagrafo"/>
    <w:link w:val="Testonotaapidipagina"/>
    <w:rsid w:val="00E37B54"/>
    <w:rPr>
      <w:rFonts w:ascii="Arial" w:hAnsi="Arial"/>
    </w:rPr>
  </w:style>
  <w:style w:type="character" w:styleId="Rimandonotaapidipagina">
    <w:name w:val="footnote reference"/>
    <w:basedOn w:val="Carpredefinitoparagrafo"/>
    <w:rsid w:val="00E37B54"/>
    <w:rPr>
      <w:vertAlign w:val="superscript"/>
    </w:rPr>
  </w:style>
  <w:style w:type="character" w:customStyle="1" w:styleId="PidipaginaCarattere">
    <w:name w:val="Piè di pagina Carattere"/>
    <w:basedOn w:val="Carpredefinitoparagrafo"/>
    <w:link w:val="Pidipagina"/>
    <w:uiPriority w:val="99"/>
    <w:rsid w:val="00581E8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C02E6-B187-4DFD-9C50-667987859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6052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dox-al know-how</vt:lpstr>
    </vt:vector>
  </TitlesOfParts>
  <Company>Doxal Spa</Company>
  <LinksUpToDate>false</LinksUpToDate>
  <CharactersWithSpaces>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dox-al know-how</dc:title>
  <dc:creator>vb</dc:creator>
  <cp:lastModifiedBy>Flavio Veneroni</cp:lastModifiedBy>
  <cp:revision>2</cp:revision>
  <cp:lastPrinted>1900-12-31T23:00:00Z</cp:lastPrinted>
  <dcterms:created xsi:type="dcterms:W3CDTF">2014-02-24T10:18:00Z</dcterms:created>
  <dcterms:modified xsi:type="dcterms:W3CDTF">2014-02-24T10:18:00Z</dcterms:modified>
</cp:coreProperties>
</file>